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6CC7">
      <w:pPr>
        <w:tabs>
          <w:tab w:val="center" w:pos="4201"/>
          <w:tab w:val="right" w:leader="dot" w:pos="9298"/>
        </w:tabs>
        <w:spacing w:line="360" w:lineRule="auto"/>
        <w:ind w:firstLine="0" w:firstLineChars="0"/>
        <w:rPr>
          <w:rFonts w:hint="default" w:ascii="Times New Roman" w:hAnsi="Times New Roman" w:cs="Times New Roman"/>
          <w:color w:val="auto"/>
          <w:highlight w:val="none"/>
        </w:rPr>
      </w:pPr>
    </w:p>
    <w:p w14:paraId="73F3797D">
      <w:pPr>
        <w:spacing w:line="360" w:lineRule="auto"/>
        <w:ind w:firstLine="0" w:firstLineChars="0"/>
        <w:rPr>
          <w:rFonts w:hint="default" w:ascii="Times New Roman" w:hAnsi="Times New Roman" w:cs="Times New Roman"/>
          <w:b/>
          <w:snapToGrid w:val="0"/>
          <w:color w:val="auto"/>
          <w:kern w:val="0"/>
          <w:sz w:val="52"/>
          <w:szCs w:val="84"/>
          <w:highlight w:val="none"/>
        </w:rPr>
      </w:pPr>
    </w:p>
    <w:p w14:paraId="3A512AF8">
      <w:pPr>
        <w:spacing w:line="360" w:lineRule="auto"/>
        <w:ind w:firstLine="0" w:firstLineChars="0"/>
        <w:jc w:val="center"/>
        <w:rPr>
          <w:rFonts w:hint="default" w:ascii="Times New Roman" w:hAnsi="Times New Roman" w:cs="Times New Roman"/>
          <w:b/>
          <w:snapToGrid w:val="0"/>
          <w:color w:val="auto"/>
          <w:kern w:val="0"/>
          <w:sz w:val="48"/>
          <w:szCs w:val="84"/>
          <w:highlight w:val="none"/>
        </w:rPr>
      </w:pPr>
      <w:r>
        <w:rPr>
          <w:rFonts w:hint="default" w:ascii="Times New Roman" w:hAnsi="Times New Roman" w:cs="Times New Roman"/>
          <w:b/>
          <w:snapToGrid w:val="0"/>
          <w:color w:val="auto"/>
          <w:kern w:val="0"/>
          <w:sz w:val="48"/>
          <w:szCs w:val="84"/>
          <w:highlight w:val="none"/>
        </w:rPr>
        <w:t>重庆三峡银行</w:t>
      </w:r>
    </w:p>
    <w:p w14:paraId="7919254A">
      <w:pPr>
        <w:spacing w:line="360" w:lineRule="auto"/>
        <w:ind w:firstLine="0" w:firstLineChars="0"/>
        <w:jc w:val="center"/>
        <w:rPr>
          <w:rFonts w:hint="default" w:ascii="Times New Roman" w:hAnsi="Times New Roman" w:cs="Times New Roman"/>
          <w:b/>
          <w:snapToGrid w:val="0"/>
          <w:color w:val="auto"/>
          <w:kern w:val="0"/>
          <w:sz w:val="48"/>
          <w:szCs w:val="84"/>
          <w:highlight w:val="none"/>
          <w:u w:val="none"/>
        </w:rPr>
      </w:pPr>
      <w:r>
        <w:rPr>
          <w:rFonts w:hint="default" w:ascii="Times New Roman" w:hAnsi="Times New Roman" w:cs="Times New Roman"/>
          <w:b/>
          <w:snapToGrid w:val="0"/>
          <w:color w:val="auto"/>
          <w:kern w:val="0"/>
          <w:sz w:val="48"/>
          <w:szCs w:val="84"/>
          <w:highlight w:val="none"/>
          <w:u w:val="none"/>
          <w:lang w:eastAsia="zh-CN"/>
        </w:rPr>
        <w:t>新一代数据中台项目（一期）</w:t>
      </w:r>
    </w:p>
    <w:p w14:paraId="55E79C37">
      <w:pPr>
        <w:spacing w:line="360" w:lineRule="auto"/>
        <w:ind w:firstLine="0" w:firstLineChars="0"/>
        <w:jc w:val="left"/>
        <w:rPr>
          <w:rFonts w:hint="default" w:ascii="Times New Roman" w:hAnsi="Times New Roman" w:cs="Times New Roman"/>
          <w:snapToGrid w:val="0"/>
          <w:color w:val="auto"/>
          <w:kern w:val="0"/>
          <w:sz w:val="18"/>
          <w:highlight w:val="none"/>
        </w:rPr>
      </w:pPr>
    </w:p>
    <w:p w14:paraId="0290C633">
      <w:pPr>
        <w:spacing w:line="360" w:lineRule="auto"/>
        <w:ind w:firstLine="0" w:firstLineChars="0"/>
        <w:jc w:val="left"/>
        <w:rPr>
          <w:rFonts w:hint="default" w:ascii="Times New Roman" w:hAnsi="Times New Roman" w:cs="Times New Roman"/>
          <w:snapToGrid w:val="0"/>
          <w:color w:val="auto"/>
          <w:kern w:val="0"/>
          <w:sz w:val="20"/>
          <w:highlight w:val="none"/>
        </w:rPr>
      </w:pPr>
      <w:bookmarkStart w:id="324" w:name="_GoBack"/>
      <w:bookmarkEnd w:id="324"/>
    </w:p>
    <w:p w14:paraId="523158AC">
      <w:pPr>
        <w:spacing w:line="360" w:lineRule="auto"/>
        <w:ind w:firstLine="0" w:firstLineChars="0"/>
        <w:jc w:val="left"/>
        <w:rPr>
          <w:rFonts w:hint="default" w:ascii="Times New Roman" w:hAnsi="Times New Roman" w:cs="Times New Roman"/>
          <w:snapToGrid w:val="0"/>
          <w:color w:val="auto"/>
          <w:kern w:val="0"/>
          <w:sz w:val="20"/>
          <w:highlight w:val="none"/>
        </w:rPr>
      </w:pPr>
    </w:p>
    <w:p w14:paraId="5953E997">
      <w:pPr>
        <w:spacing w:line="360" w:lineRule="auto"/>
        <w:ind w:firstLine="0" w:firstLineChars="0"/>
        <w:jc w:val="left"/>
        <w:rPr>
          <w:rFonts w:hint="default" w:ascii="Times New Roman" w:hAnsi="Times New Roman" w:cs="Times New Roman"/>
          <w:snapToGrid w:val="0"/>
          <w:color w:val="auto"/>
          <w:kern w:val="0"/>
          <w:sz w:val="20"/>
          <w:highlight w:val="none"/>
        </w:rPr>
      </w:pPr>
    </w:p>
    <w:p w14:paraId="678B468B">
      <w:pPr>
        <w:spacing w:line="360" w:lineRule="auto"/>
        <w:ind w:firstLine="0" w:firstLineChars="0"/>
        <w:jc w:val="left"/>
        <w:rPr>
          <w:rFonts w:hint="default" w:ascii="Times New Roman" w:hAnsi="Times New Roman" w:cs="Times New Roman"/>
          <w:snapToGrid w:val="0"/>
          <w:color w:val="auto"/>
          <w:kern w:val="0"/>
          <w:sz w:val="20"/>
          <w:highlight w:val="none"/>
        </w:rPr>
      </w:pPr>
    </w:p>
    <w:p w14:paraId="0F8A00A7">
      <w:pPr>
        <w:spacing w:line="360" w:lineRule="auto"/>
        <w:ind w:firstLine="0" w:firstLineChars="0"/>
        <w:jc w:val="left"/>
        <w:rPr>
          <w:rFonts w:hint="default" w:ascii="Times New Roman" w:hAnsi="Times New Roman" w:cs="Times New Roman"/>
          <w:snapToGrid w:val="0"/>
          <w:color w:val="auto"/>
          <w:kern w:val="0"/>
          <w:sz w:val="20"/>
          <w:highlight w:val="none"/>
        </w:rPr>
      </w:pPr>
    </w:p>
    <w:p w14:paraId="72F9ECF5">
      <w:pPr>
        <w:spacing w:line="360" w:lineRule="auto"/>
        <w:ind w:firstLine="0" w:firstLineChars="0"/>
        <w:jc w:val="left"/>
        <w:rPr>
          <w:rFonts w:hint="default" w:ascii="Times New Roman" w:hAnsi="Times New Roman" w:cs="Times New Roman"/>
          <w:snapToGrid w:val="0"/>
          <w:color w:val="auto"/>
          <w:kern w:val="0"/>
          <w:sz w:val="20"/>
          <w:highlight w:val="none"/>
        </w:rPr>
      </w:pPr>
    </w:p>
    <w:p w14:paraId="1D6E8A7A">
      <w:pPr>
        <w:spacing w:line="360" w:lineRule="auto"/>
        <w:ind w:firstLine="0" w:firstLineChars="0"/>
        <w:jc w:val="center"/>
        <w:rPr>
          <w:rFonts w:hint="default" w:ascii="Times New Roman" w:hAnsi="Times New Roman" w:cs="Times New Roman"/>
          <w:b/>
          <w:snapToGrid w:val="0"/>
          <w:color w:val="auto"/>
          <w:kern w:val="0"/>
          <w:sz w:val="84"/>
          <w:szCs w:val="84"/>
          <w:highlight w:val="none"/>
        </w:rPr>
      </w:pPr>
      <w:r>
        <w:rPr>
          <w:rFonts w:hint="default" w:ascii="Times New Roman" w:hAnsi="Times New Roman" w:cs="Times New Roman"/>
          <w:b/>
          <w:snapToGrid w:val="0"/>
          <w:color w:val="auto"/>
          <w:kern w:val="0"/>
          <w:sz w:val="96"/>
          <w:szCs w:val="96"/>
          <w:highlight w:val="none"/>
        </w:rPr>
        <w:t>比选文件</w:t>
      </w:r>
    </w:p>
    <w:p w14:paraId="6427C7C9">
      <w:pPr>
        <w:spacing w:line="360" w:lineRule="auto"/>
        <w:ind w:firstLine="0" w:firstLineChars="0"/>
        <w:jc w:val="center"/>
        <w:rPr>
          <w:rFonts w:hint="default" w:ascii="Times New Roman" w:hAnsi="Times New Roman" w:cs="Times New Roman"/>
          <w:b/>
          <w:snapToGrid w:val="0"/>
          <w:color w:val="auto"/>
          <w:kern w:val="0"/>
          <w:szCs w:val="28"/>
          <w:highlight w:val="none"/>
        </w:rPr>
      </w:pPr>
    </w:p>
    <w:p w14:paraId="4ECBD55D">
      <w:pPr>
        <w:spacing w:line="360" w:lineRule="auto"/>
        <w:ind w:firstLine="0" w:firstLineChars="0"/>
        <w:jc w:val="center"/>
        <w:rPr>
          <w:rFonts w:hint="default" w:ascii="Times New Roman" w:hAnsi="Times New Roman" w:cs="Times New Roman"/>
          <w:b/>
          <w:snapToGrid w:val="0"/>
          <w:color w:val="auto"/>
          <w:kern w:val="0"/>
          <w:szCs w:val="28"/>
          <w:highlight w:val="none"/>
        </w:rPr>
      </w:pPr>
    </w:p>
    <w:p w14:paraId="3139FEA0">
      <w:pPr>
        <w:spacing w:line="360" w:lineRule="auto"/>
        <w:ind w:firstLine="0" w:firstLineChars="0"/>
        <w:jc w:val="center"/>
        <w:rPr>
          <w:rFonts w:hint="default" w:ascii="Times New Roman" w:hAnsi="Times New Roman" w:cs="Times New Roman"/>
          <w:b/>
          <w:snapToGrid w:val="0"/>
          <w:color w:val="auto"/>
          <w:kern w:val="0"/>
          <w:szCs w:val="28"/>
          <w:highlight w:val="none"/>
        </w:rPr>
      </w:pPr>
    </w:p>
    <w:p w14:paraId="1B9AE810">
      <w:pPr>
        <w:ind w:firstLine="0" w:firstLineChars="0"/>
        <w:rPr>
          <w:rFonts w:hint="default" w:ascii="Times New Roman" w:hAnsi="Times New Roman" w:cs="Times New Roman"/>
          <w:color w:val="auto"/>
          <w:highlight w:val="none"/>
        </w:rPr>
      </w:pPr>
    </w:p>
    <w:p w14:paraId="05765648">
      <w:pPr>
        <w:pStyle w:val="12"/>
        <w:rPr>
          <w:rFonts w:hint="default" w:ascii="Times New Roman" w:hAnsi="Times New Roman" w:cs="Times New Roman"/>
          <w:color w:val="auto"/>
          <w:highlight w:val="none"/>
        </w:rPr>
      </w:pPr>
    </w:p>
    <w:p w14:paraId="5BD6FE91">
      <w:pPr>
        <w:rPr>
          <w:rFonts w:hint="default" w:ascii="Times New Roman" w:hAnsi="Times New Roman" w:cs="Times New Roman"/>
          <w:color w:val="auto"/>
          <w:highlight w:val="none"/>
        </w:rPr>
      </w:pPr>
    </w:p>
    <w:p w14:paraId="038748AE">
      <w:pPr>
        <w:rPr>
          <w:rFonts w:hint="default" w:ascii="Times New Roman" w:hAnsi="Times New Roman" w:cs="Times New Roman"/>
          <w:color w:val="auto"/>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D8B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1D4528A">
            <w:pPr>
              <w:spacing w:line="360" w:lineRule="auto"/>
              <w:ind w:firstLine="0" w:firstLineChars="0"/>
              <w:jc w:val="distribute"/>
              <w:rPr>
                <w:rFonts w:hint="default" w:ascii="Times New Roman" w:hAnsi="Times New Roman" w:cs="Times New Roman"/>
                <w:b/>
                <w:snapToGrid w:val="0"/>
                <w:color w:val="auto"/>
                <w:kern w:val="0"/>
                <w:sz w:val="30"/>
                <w:szCs w:val="30"/>
                <w:highlight w:val="none"/>
              </w:rPr>
            </w:pPr>
            <w:r>
              <w:rPr>
                <w:rFonts w:hint="default"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5F7F0F15">
            <w:pPr>
              <w:spacing w:line="360" w:lineRule="auto"/>
              <w:ind w:firstLine="0" w:firstLineChars="0"/>
              <w:jc w:val="center"/>
              <w:rPr>
                <w:rFonts w:hint="default" w:ascii="Times New Roman" w:hAnsi="Times New Roman" w:cs="Times New Roman"/>
                <w:b/>
                <w:snapToGrid w:val="0"/>
                <w:color w:val="auto"/>
                <w:kern w:val="0"/>
                <w:sz w:val="30"/>
                <w:szCs w:val="30"/>
                <w:highlight w:val="none"/>
              </w:rPr>
            </w:pPr>
            <w:r>
              <w:rPr>
                <w:rFonts w:hint="default"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74A8951D">
            <w:pPr>
              <w:spacing w:line="360" w:lineRule="auto"/>
              <w:ind w:firstLine="0" w:firstLineChars="0"/>
              <w:jc w:val="center"/>
              <w:rPr>
                <w:rFonts w:hint="default" w:ascii="Times New Roman" w:hAnsi="Times New Roman" w:cs="Times New Roman"/>
                <w:b/>
                <w:snapToGrid w:val="0"/>
                <w:color w:val="auto"/>
                <w:kern w:val="0"/>
                <w:sz w:val="30"/>
                <w:szCs w:val="30"/>
                <w:highlight w:val="none"/>
              </w:rPr>
            </w:pPr>
            <w:r>
              <w:rPr>
                <w:rFonts w:hint="default"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default" w:ascii="Times New Roman" w:hAnsi="Times New Roman" w:cs="Times New Roman"/>
                <w:bCs/>
                <w:snapToGrid w:val="0"/>
                <w:color w:val="auto"/>
                <w:kern w:val="0"/>
                <w:szCs w:val="24"/>
                <w:highlight w:val="none"/>
              </w:rPr>
              <w:t>章）</w:t>
            </w:r>
          </w:p>
        </w:tc>
      </w:tr>
      <w:tr w14:paraId="3227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4A23E3E">
            <w:pPr>
              <w:spacing w:line="360" w:lineRule="auto"/>
              <w:ind w:firstLine="0" w:firstLineChars="0"/>
              <w:jc w:val="distribute"/>
              <w:rPr>
                <w:rFonts w:hint="default" w:ascii="Times New Roman" w:hAnsi="Times New Roman" w:cs="Times New Roman"/>
                <w:b/>
                <w:snapToGrid w:val="0"/>
                <w:color w:val="auto"/>
                <w:kern w:val="0"/>
                <w:sz w:val="30"/>
                <w:szCs w:val="30"/>
                <w:highlight w:val="none"/>
              </w:rPr>
            </w:pPr>
            <w:r>
              <w:rPr>
                <w:rFonts w:hint="default"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2E184F27">
            <w:pPr>
              <w:spacing w:line="360" w:lineRule="auto"/>
              <w:ind w:firstLine="0" w:firstLineChars="0"/>
              <w:jc w:val="center"/>
              <w:rPr>
                <w:rFonts w:hint="default"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 xml:space="preserve">2024 </w:t>
            </w:r>
            <w:r>
              <w:rPr>
                <w:rFonts w:hint="default"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 xml:space="preserve"> 10 </w:t>
            </w:r>
            <w:r>
              <w:rPr>
                <w:rFonts w:hint="default"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6D46DE13">
            <w:pPr>
              <w:rPr>
                <w:rFonts w:hint="default" w:ascii="Times New Roman" w:hAnsi="Times New Roman" w:cs="Times New Roman"/>
                <w:color w:val="auto"/>
                <w:highlight w:val="none"/>
              </w:rPr>
            </w:pPr>
          </w:p>
        </w:tc>
      </w:tr>
    </w:tbl>
    <w:p w14:paraId="2DF3787A">
      <w:pPr>
        <w:rPr>
          <w:rFonts w:hint="default" w:ascii="Times New Roman" w:hAnsi="Times New Roman" w:cs="Times New Roman"/>
          <w:color w:val="auto"/>
          <w:highlight w:val="none"/>
        </w:rPr>
      </w:pPr>
    </w:p>
    <w:p w14:paraId="14BCA9CE">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6513128">
      <w:pPr>
        <w:snapToGrid w:val="0"/>
        <w:spacing w:line="360" w:lineRule="auto"/>
        <w:ind w:firstLine="0" w:firstLineChars="0"/>
        <w:jc w:val="center"/>
        <w:rPr>
          <w:rFonts w:hint="default" w:ascii="Times New Roman" w:hAnsi="Times New Roman" w:cs="Times New Roman"/>
          <w:b/>
          <w:snapToGrid w:val="0"/>
          <w:color w:val="auto"/>
          <w:kern w:val="0"/>
          <w:sz w:val="44"/>
          <w:szCs w:val="44"/>
          <w:highlight w:val="none"/>
        </w:rPr>
      </w:pPr>
      <w:r>
        <w:rPr>
          <w:rFonts w:hint="default" w:ascii="Times New Roman" w:hAnsi="Times New Roman" w:cs="Times New Roman"/>
          <w:b/>
          <w:snapToGrid w:val="0"/>
          <w:color w:val="auto"/>
          <w:kern w:val="0"/>
          <w:sz w:val="44"/>
          <w:szCs w:val="44"/>
          <w:highlight w:val="none"/>
        </w:rPr>
        <w:t>目录</w:t>
      </w:r>
    </w:p>
    <w:p w14:paraId="1E6D4436">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TOC \o "1-1" \h \z \u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_Toc17280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第一章 比选公告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_Toc17280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0A1C94B2">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_Toc13707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第二章 参选人须知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_Toc13707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0FF8F848">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_Toc27807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第三章 项目要求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_Toc27807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19</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5C1DC46C">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_Toc20600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第四章 评审办法（综合评估法）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_Toc20600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82</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463BAF6B">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_Toc14245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第五章 合同模板</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_Toc14245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89</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1A6F41CD">
      <w:pPr>
        <w:pStyle w:val="11"/>
        <w:tabs>
          <w:tab w:val="right" w:leader="dot" w:pos="8306"/>
        </w:tabs>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4"/>
          <w:highlight w:val="none"/>
        </w:rPr>
        <w:fldChar w:fldCharType="begin"/>
      </w:r>
      <w:r>
        <w:rPr>
          <w:rFonts w:hint="default" w:ascii="Times New Roman" w:hAnsi="Times New Roman" w:cs="Times New Roman"/>
          <w:snapToGrid w:val="0"/>
          <w:color w:val="auto"/>
          <w:kern w:val="0"/>
          <w:szCs w:val="24"/>
          <w:highlight w:val="none"/>
        </w:rPr>
        <w:instrText xml:space="preserve"> HYPERLINK \l _Toc38 </w:instrText>
      </w:r>
      <w:r>
        <w:rPr>
          <w:rFonts w:hint="default" w:ascii="Times New Roman" w:hAnsi="Times New Roman" w:cs="Times New Roman"/>
          <w:snapToGrid w:val="0"/>
          <w:color w:val="auto"/>
          <w:kern w:val="0"/>
          <w:szCs w:val="24"/>
          <w:highlight w:val="none"/>
        </w:rPr>
        <w:fldChar w:fldCharType="separate"/>
      </w:r>
      <w:r>
        <w:rPr>
          <w:rFonts w:hint="default" w:ascii="Times New Roman" w:hAnsi="Times New Roman" w:cs="Times New Roman"/>
          <w:color w:val="auto"/>
          <w:highlight w:val="none"/>
        </w:rPr>
        <w:t>第六章 参选文件格式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128</w:t>
      </w:r>
      <w:r>
        <w:rPr>
          <w:rFonts w:hint="default" w:ascii="Times New Roman" w:hAnsi="Times New Roman" w:cs="Times New Roman"/>
          <w:color w:val="auto"/>
          <w:highlight w:val="none"/>
        </w:rPr>
        <w:fldChar w:fldCharType="end"/>
      </w:r>
      <w:r>
        <w:rPr>
          <w:rFonts w:hint="default" w:ascii="Times New Roman" w:hAnsi="Times New Roman" w:cs="Times New Roman"/>
          <w:snapToGrid w:val="0"/>
          <w:color w:val="auto"/>
          <w:kern w:val="0"/>
          <w:szCs w:val="24"/>
          <w:highlight w:val="none"/>
        </w:rPr>
        <w:fldChar w:fldCharType="end"/>
      </w:r>
    </w:p>
    <w:p w14:paraId="04E07D16">
      <w:pPr>
        <w:widowControl/>
        <w:jc w:val="left"/>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fldChar w:fldCharType="end"/>
      </w:r>
    </w:p>
    <w:p w14:paraId="77C24725">
      <w:pPr>
        <w:widowControl/>
        <w:jc w:val="left"/>
        <w:rPr>
          <w:rFonts w:hint="default" w:ascii="Times New Roman" w:hAnsi="Times New Roman" w:cs="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F7B6E39">
      <w:pPr>
        <w:pStyle w:val="2"/>
        <w:rPr>
          <w:rFonts w:hint="default" w:ascii="Times New Roman" w:hAnsi="Times New Roman" w:cs="Times New Roman"/>
          <w:color w:val="auto"/>
          <w:highlight w:val="none"/>
        </w:rPr>
      </w:pPr>
      <w:bookmarkStart w:id="0" w:name="_Toc440628903"/>
      <w:bookmarkStart w:id="1" w:name="_Toc6745"/>
      <w:bookmarkStart w:id="2" w:name="_Toc469574661"/>
      <w:bookmarkStart w:id="3" w:name="_Toc17280"/>
      <w:bookmarkStart w:id="4" w:name="_Toc17491"/>
      <w:r>
        <w:rPr>
          <w:rFonts w:hint="default" w:ascii="Times New Roman" w:hAnsi="Times New Roman" w:cs="Times New Roman"/>
          <w:color w:val="auto"/>
          <w:highlight w:val="none"/>
        </w:rPr>
        <w:t>第一章</w:t>
      </w:r>
      <w:bookmarkEnd w:id="0"/>
      <w:r>
        <w:rPr>
          <w:rFonts w:hint="default" w:ascii="Times New Roman" w:hAnsi="Times New Roman" w:cs="Times New Roman"/>
          <w:color w:val="auto"/>
          <w:highlight w:val="none"/>
        </w:rPr>
        <w:t xml:space="preserve"> 比选公告</w:t>
      </w:r>
      <w:bookmarkEnd w:id="1"/>
      <w:bookmarkEnd w:id="2"/>
      <w:bookmarkEnd w:id="3"/>
      <w:bookmarkEnd w:id="4"/>
    </w:p>
    <w:p w14:paraId="05113C57">
      <w:pPr>
        <w:rPr>
          <w:rFonts w:hint="default" w:ascii="Times New Roman" w:hAnsi="Times New Roman" w:cs="Times New Roman"/>
          <w:color w:val="auto"/>
          <w:highlight w:val="none"/>
        </w:rPr>
      </w:pPr>
      <w:bookmarkStart w:id="5" w:name="_Toc55379218"/>
      <w:bookmarkStart w:id="6" w:name="_Toc89675127"/>
      <w:r>
        <w:rPr>
          <w:rFonts w:hint="default" w:ascii="Times New Roman" w:hAnsi="Times New Roman" w:cs="Times New Roman"/>
          <w:color w:val="auto"/>
          <w:highlight w:val="none"/>
        </w:rPr>
        <w:t>为更好地支撑</w:t>
      </w:r>
      <w:r>
        <w:rPr>
          <w:rFonts w:hint="eastAsia" w:ascii="Times New Roman" w:hAnsi="Times New Roman" w:cs="Times New Roman"/>
          <w:color w:val="auto"/>
          <w:highlight w:val="none"/>
          <w:lang w:val="en-US" w:eastAsia="zh-CN"/>
        </w:rPr>
        <w:t>比选人</w:t>
      </w:r>
      <w:r>
        <w:rPr>
          <w:rFonts w:hint="default" w:ascii="Times New Roman" w:hAnsi="Times New Roman" w:cs="Times New Roman"/>
          <w:color w:val="auto"/>
          <w:highlight w:val="none"/>
        </w:rPr>
        <w:t>数字化建设和业务创新发展对数据服务能力的需求，</w:t>
      </w:r>
      <w:r>
        <w:rPr>
          <w:rFonts w:hint="eastAsia" w:ascii="Times New Roman" w:hAnsi="Times New Roman" w:cs="Times New Roman"/>
          <w:color w:val="auto"/>
          <w:highlight w:val="none"/>
          <w:lang w:val="en-US" w:eastAsia="zh-CN"/>
        </w:rPr>
        <w:t>同时</w:t>
      </w:r>
      <w:r>
        <w:rPr>
          <w:rFonts w:hint="default" w:ascii="Times New Roman" w:hAnsi="Times New Roman" w:cs="Times New Roman"/>
          <w:color w:val="auto"/>
          <w:highlight w:val="none"/>
        </w:rPr>
        <w:t>满足监管对信创建设的要求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比选人将开展新一代数据中台项目（一期）（下统称“本项目”）建设</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本项目旨在</w:t>
      </w:r>
      <w:r>
        <w:rPr>
          <w:rFonts w:hint="default" w:ascii="Times New Roman" w:hAnsi="Times New Roman" w:cs="Times New Roman"/>
          <w:color w:val="auto"/>
          <w:highlight w:val="none"/>
        </w:rPr>
        <w:t>打造以</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湖仓一体</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批流</w:t>
      </w:r>
      <w:r>
        <w:rPr>
          <w:rFonts w:hint="default" w:ascii="Times New Roman" w:hAnsi="Times New Roman" w:cs="Times New Roman"/>
          <w:color w:val="auto"/>
          <w:highlight w:val="none"/>
        </w:rPr>
        <w:t>融合</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技术架构为基础，</w:t>
      </w:r>
      <w:r>
        <w:rPr>
          <w:rFonts w:hint="eastAsia" w:ascii="Times New Roman" w:hAnsi="Times New Roman" w:cs="Times New Roman"/>
          <w:color w:val="auto"/>
          <w:highlight w:val="none"/>
          <w:lang w:val="en-US" w:eastAsia="zh-CN"/>
        </w:rPr>
        <w:t>满足</w:t>
      </w:r>
      <w:r>
        <w:rPr>
          <w:rFonts w:ascii="Times New Roman" w:hAnsi="Times New Roman" w:cs="Times New Roman"/>
          <w:color w:val="auto"/>
          <w:highlight w:val="none"/>
        </w:rPr>
        <w:t>全信创技术栈的</w:t>
      </w:r>
      <w:r>
        <w:rPr>
          <w:rFonts w:hint="eastAsia" w:ascii="Times New Roman" w:hAnsi="Times New Roman" w:cs="Times New Roman"/>
          <w:color w:val="auto"/>
          <w:highlight w:val="none"/>
          <w:lang w:val="en-US" w:eastAsia="zh-CN"/>
        </w:rPr>
        <w:t>新一代</w:t>
      </w:r>
      <w:r>
        <w:rPr>
          <w:rFonts w:ascii="Times New Roman" w:hAnsi="Times New Roman" w:cs="Times New Roman"/>
          <w:color w:val="auto"/>
          <w:highlight w:val="none"/>
        </w:rPr>
        <w:t>数据中台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新一代</w:t>
      </w:r>
      <w:r>
        <w:rPr>
          <w:rFonts w:ascii="Times New Roman" w:hAnsi="Times New Roman" w:cs="Times New Roman"/>
          <w:color w:val="auto"/>
          <w:highlight w:val="none"/>
        </w:rPr>
        <w:t>数据中台</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强化数据处理基础能力，提升数据融合和统一管理效能</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做到数据</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采、存、算、管、治、用</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同步，更好助力业务创新，支持全行数字化建设。现对</w:t>
      </w:r>
      <w:r>
        <w:rPr>
          <w:rFonts w:hint="default" w:ascii="Times New Roman" w:hAnsi="Times New Roman" w:cs="Times New Roman"/>
          <w:snapToGrid w:val="0"/>
          <w:color w:val="auto"/>
          <w:kern w:val="0"/>
          <w:szCs w:val="24"/>
          <w:highlight w:val="none"/>
        </w:rPr>
        <w:t>重庆三峡银行</w:t>
      </w:r>
      <w:r>
        <w:rPr>
          <w:rFonts w:hint="default" w:ascii="Times New Roman" w:hAnsi="Times New Roman" w:cs="Times New Roman"/>
          <w:snapToGrid w:val="0"/>
          <w:color w:val="auto"/>
          <w:kern w:val="0"/>
          <w:sz w:val="24"/>
          <w:szCs w:val="24"/>
          <w:highlight w:val="none"/>
          <w:u w:val="none"/>
          <w:lang w:eastAsia="zh-CN"/>
        </w:rPr>
        <w:t>新一代数据中台</w:t>
      </w:r>
      <w:r>
        <w:rPr>
          <w:rFonts w:hint="default" w:ascii="Times New Roman" w:hAnsi="Times New Roman" w:cs="Times New Roman"/>
          <w:snapToGrid w:val="0"/>
          <w:color w:val="auto"/>
          <w:kern w:val="0"/>
          <w:szCs w:val="24"/>
          <w:highlight w:val="none"/>
          <w:u w:val="none"/>
        </w:rPr>
        <w:t>项目</w:t>
      </w:r>
      <w:r>
        <w:rPr>
          <w:rFonts w:hint="default" w:ascii="Times New Roman" w:hAnsi="Times New Roman" w:eastAsia="宋体" w:cs="Times New Roman"/>
          <w:snapToGrid w:val="0"/>
          <w:color w:val="auto"/>
          <w:kern w:val="0"/>
          <w:sz w:val="24"/>
          <w:szCs w:val="24"/>
          <w:highlight w:val="none"/>
          <w:u w:val="none"/>
        </w:rPr>
        <w:t>（一期）</w:t>
      </w:r>
      <w:r>
        <w:rPr>
          <w:rFonts w:hint="default" w:ascii="Times New Roman" w:hAnsi="Times New Roman" w:cs="Times New Roman"/>
          <w:color w:val="auto"/>
          <w:highlight w:val="none"/>
        </w:rPr>
        <w:t>进行公开比选，特邀请有</w:t>
      </w:r>
      <w:bookmarkStart w:id="7" w:name="_Hlk59455120"/>
      <w:r>
        <w:rPr>
          <w:rFonts w:hint="default" w:ascii="Times New Roman" w:hAnsi="Times New Roman" w:cs="Times New Roman"/>
          <w:color w:val="auto"/>
          <w:highlight w:val="none"/>
        </w:rPr>
        <w:t>意向</w:t>
      </w:r>
      <w:bookmarkEnd w:id="7"/>
      <w:r>
        <w:rPr>
          <w:rFonts w:hint="default" w:ascii="Times New Roman" w:hAnsi="Times New Roman" w:cs="Times New Roman"/>
          <w:color w:val="auto"/>
          <w:highlight w:val="none"/>
        </w:rPr>
        <w:t>的潜在参选人进行参选。</w:t>
      </w:r>
    </w:p>
    <w:p w14:paraId="797AD9C8">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1. 比选项目内容</w:t>
      </w:r>
      <w:bookmarkEnd w:id="5"/>
      <w:bookmarkEnd w:id="6"/>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471"/>
        <w:gridCol w:w="1377"/>
        <w:gridCol w:w="1288"/>
        <w:gridCol w:w="1760"/>
      </w:tblGrid>
      <w:tr w14:paraId="59B7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pct"/>
            <w:vAlign w:val="center"/>
          </w:tcPr>
          <w:p w14:paraId="2CBDC35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项目名称</w:t>
            </w:r>
          </w:p>
        </w:tc>
        <w:tc>
          <w:tcPr>
            <w:tcW w:w="1450" w:type="pct"/>
            <w:vAlign w:val="center"/>
          </w:tcPr>
          <w:p w14:paraId="5FBB879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lang w:eastAsia="zh-CN"/>
              </w:rPr>
            </w:pPr>
            <w:r>
              <w:rPr>
                <w:rFonts w:hint="default" w:ascii="Times New Roman" w:hAnsi="Times New Roman" w:eastAsia="宋体" w:cs="Times New Roman"/>
                <w:b/>
                <w:snapToGrid w:val="0"/>
                <w:color w:val="auto"/>
                <w:kern w:val="0"/>
                <w:sz w:val="21"/>
                <w:szCs w:val="21"/>
                <w:highlight w:val="none"/>
                <w:lang w:eastAsia="zh-CN"/>
              </w:rPr>
              <w:t>项目内容</w:t>
            </w:r>
          </w:p>
        </w:tc>
        <w:tc>
          <w:tcPr>
            <w:tcW w:w="808" w:type="pct"/>
            <w:vAlign w:val="center"/>
          </w:tcPr>
          <w:p w14:paraId="38C3913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最高限价</w:t>
            </w:r>
          </w:p>
        </w:tc>
        <w:tc>
          <w:tcPr>
            <w:tcW w:w="756" w:type="pct"/>
            <w:vAlign w:val="center"/>
          </w:tcPr>
          <w:p w14:paraId="0B75B6B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中选人数量</w:t>
            </w:r>
          </w:p>
        </w:tc>
        <w:tc>
          <w:tcPr>
            <w:tcW w:w="1031" w:type="pct"/>
            <w:vAlign w:val="center"/>
          </w:tcPr>
          <w:p w14:paraId="2445158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备注</w:t>
            </w:r>
          </w:p>
        </w:tc>
      </w:tr>
      <w:tr w14:paraId="32A4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pct"/>
            <w:vMerge w:val="restart"/>
            <w:tcBorders>
              <w:left w:val="single" w:color="auto" w:sz="4" w:space="0"/>
            </w:tcBorders>
            <w:vAlign w:val="center"/>
          </w:tcPr>
          <w:p w14:paraId="0649244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sz w:val="21"/>
                <w:szCs w:val="21"/>
                <w:highlight w:val="none"/>
              </w:rPr>
              <w:t>重庆三峡银行新一代数据中台项目（一期）</w:t>
            </w:r>
          </w:p>
        </w:tc>
        <w:tc>
          <w:tcPr>
            <w:tcW w:w="1450" w:type="pct"/>
            <w:tcBorders>
              <w:left w:val="single" w:color="auto" w:sz="4" w:space="0"/>
            </w:tcBorders>
            <w:vAlign w:val="center"/>
          </w:tcPr>
          <w:p w14:paraId="3C133A7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湖仓一体底座</w:t>
            </w:r>
          </w:p>
        </w:tc>
        <w:tc>
          <w:tcPr>
            <w:tcW w:w="808" w:type="pct"/>
            <w:tcBorders>
              <w:left w:val="single" w:color="auto" w:sz="4" w:space="0"/>
            </w:tcBorders>
            <w:vAlign w:val="center"/>
          </w:tcPr>
          <w:p w14:paraId="32B1E6C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4</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500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756" w:type="pct"/>
            <w:vMerge w:val="restart"/>
            <w:tcBorders>
              <w:left w:val="single" w:color="auto" w:sz="4" w:space="0"/>
            </w:tcBorders>
            <w:vAlign w:val="center"/>
          </w:tcPr>
          <w:p w14:paraId="161845D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1</w:t>
            </w:r>
          </w:p>
        </w:tc>
        <w:tc>
          <w:tcPr>
            <w:tcW w:w="1031" w:type="pct"/>
            <w:vMerge w:val="restart"/>
            <w:tcBorders>
              <w:left w:val="single" w:color="auto" w:sz="4" w:space="0"/>
            </w:tcBorders>
            <w:vAlign w:val="center"/>
          </w:tcPr>
          <w:p w14:paraId="0B97C88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含税价</w:t>
            </w:r>
            <w:r>
              <w:rPr>
                <w:rFonts w:hint="default" w:ascii="Times New Roman" w:hAnsi="Times New Roman" w:eastAsia="宋体" w:cs="Times New Roman"/>
                <w:snapToGrid w:val="0"/>
                <w:color w:val="auto"/>
                <w:kern w:val="0"/>
                <w:sz w:val="21"/>
                <w:szCs w:val="21"/>
                <w:highlight w:val="none"/>
                <w:shd w:val="clear" w:color="auto" w:fill="auto"/>
              </w:rPr>
              <w:t>（具体税率按国家相关规定</w:t>
            </w:r>
            <w:r>
              <w:rPr>
                <w:rFonts w:hint="default" w:ascii="Times New Roman" w:hAnsi="Times New Roman" w:eastAsia="宋体" w:cs="Times New Roman"/>
                <w:snapToGrid w:val="0"/>
                <w:color w:val="auto"/>
                <w:kern w:val="0"/>
                <w:sz w:val="21"/>
                <w:szCs w:val="21"/>
                <w:highlight w:val="none"/>
                <w:shd w:val="clear" w:color="auto" w:fill="auto"/>
                <w:lang w:eastAsia="zh-CN"/>
              </w:rPr>
              <w:t>执行</w:t>
            </w:r>
            <w:r>
              <w:rPr>
                <w:rFonts w:hint="default" w:ascii="Times New Roman" w:hAnsi="Times New Roman" w:eastAsia="宋体" w:cs="Times New Roman"/>
                <w:snapToGrid w:val="0"/>
                <w:color w:val="auto"/>
                <w:kern w:val="0"/>
                <w:sz w:val="21"/>
                <w:szCs w:val="21"/>
                <w:highlight w:val="none"/>
                <w:shd w:val="clear" w:color="auto" w:fill="auto"/>
              </w:rPr>
              <w:t>）</w:t>
            </w:r>
          </w:p>
        </w:tc>
      </w:tr>
      <w:tr w14:paraId="39D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pct"/>
            <w:vMerge w:val="continue"/>
            <w:tcBorders>
              <w:left w:val="single" w:color="auto" w:sz="4" w:space="0"/>
            </w:tcBorders>
            <w:vAlign w:val="center"/>
          </w:tcPr>
          <w:p w14:paraId="4308855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450" w:type="pct"/>
            <w:tcBorders>
              <w:left w:val="single" w:color="auto" w:sz="4" w:space="0"/>
            </w:tcBorders>
            <w:vAlign w:val="center"/>
          </w:tcPr>
          <w:p w14:paraId="6C29A82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bookmarkStart w:id="8" w:name="_Toc288224935"/>
            <w:bookmarkStart w:id="9" w:name="_Toc55379219"/>
            <w:bookmarkStart w:id="10" w:name="_Toc469574664"/>
            <w:bookmarkStart w:id="11" w:name="_Toc297817088"/>
            <w:bookmarkStart w:id="12" w:name="_Toc89675128"/>
            <w:r>
              <w:rPr>
                <w:rFonts w:hint="default" w:ascii="Times New Roman" w:hAnsi="Times New Roman" w:eastAsia="宋体" w:cs="Times New Roman"/>
                <w:snapToGrid w:val="0"/>
                <w:color w:val="auto"/>
                <w:kern w:val="0"/>
                <w:sz w:val="21"/>
                <w:szCs w:val="21"/>
                <w:highlight w:val="none"/>
                <w:lang w:val="en-US" w:eastAsia="zh-CN"/>
              </w:rPr>
              <w:t>数据作业平台</w:t>
            </w:r>
          </w:p>
        </w:tc>
        <w:tc>
          <w:tcPr>
            <w:tcW w:w="808" w:type="pct"/>
            <w:tcBorders>
              <w:left w:val="single" w:color="auto" w:sz="4" w:space="0"/>
            </w:tcBorders>
            <w:vAlign w:val="center"/>
          </w:tcPr>
          <w:p w14:paraId="61D1366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3</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756" w:type="pct"/>
            <w:vMerge w:val="continue"/>
            <w:tcBorders>
              <w:left w:val="single" w:color="auto" w:sz="4" w:space="0"/>
            </w:tcBorders>
            <w:vAlign w:val="center"/>
          </w:tcPr>
          <w:p w14:paraId="5F9E64A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031" w:type="pct"/>
            <w:vMerge w:val="continue"/>
            <w:tcBorders>
              <w:left w:val="single" w:color="auto" w:sz="4" w:space="0"/>
            </w:tcBorders>
            <w:vAlign w:val="center"/>
          </w:tcPr>
          <w:p w14:paraId="7598468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r>
      <w:tr w14:paraId="5CE6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pct"/>
            <w:vMerge w:val="continue"/>
            <w:tcBorders>
              <w:left w:val="single" w:color="auto" w:sz="4" w:space="0"/>
            </w:tcBorders>
            <w:vAlign w:val="center"/>
          </w:tcPr>
          <w:p w14:paraId="6597F73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450" w:type="pct"/>
            <w:tcBorders>
              <w:left w:val="single" w:color="auto" w:sz="4" w:space="0"/>
            </w:tcBorders>
            <w:vAlign w:val="center"/>
          </w:tcPr>
          <w:p w14:paraId="1155ED6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数据中台实施和迁移</w:t>
            </w:r>
          </w:p>
        </w:tc>
        <w:tc>
          <w:tcPr>
            <w:tcW w:w="808" w:type="pct"/>
            <w:tcBorders>
              <w:left w:val="single" w:color="auto" w:sz="4" w:space="0"/>
            </w:tcBorders>
            <w:vAlign w:val="center"/>
          </w:tcPr>
          <w:p w14:paraId="5AC0607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8</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756" w:type="pct"/>
            <w:vMerge w:val="continue"/>
            <w:tcBorders>
              <w:left w:val="single" w:color="auto" w:sz="4" w:space="0"/>
            </w:tcBorders>
            <w:vAlign w:val="center"/>
          </w:tcPr>
          <w:p w14:paraId="1F1AF86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031" w:type="pct"/>
            <w:vMerge w:val="continue"/>
            <w:tcBorders>
              <w:left w:val="single" w:color="auto" w:sz="4" w:space="0"/>
            </w:tcBorders>
            <w:vAlign w:val="center"/>
          </w:tcPr>
          <w:p w14:paraId="5B903D0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r>
      <w:tr w14:paraId="2321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03" w:type="pct"/>
            <w:gridSpan w:val="2"/>
            <w:tcBorders>
              <w:left w:val="single" w:color="auto" w:sz="4" w:space="0"/>
            </w:tcBorders>
            <w:vAlign w:val="center"/>
          </w:tcPr>
          <w:p w14:paraId="17C551C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合计最高限价</w:t>
            </w:r>
          </w:p>
        </w:tc>
        <w:tc>
          <w:tcPr>
            <w:tcW w:w="2596" w:type="pct"/>
            <w:gridSpan w:val="3"/>
            <w:tcBorders>
              <w:left w:val="single" w:color="auto" w:sz="4" w:space="0"/>
            </w:tcBorders>
            <w:vAlign w:val="center"/>
          </w:tcPr>
          <w:p w14:paraId="0C26B49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15</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500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r>
      <w:tr w14:paraId="6CAE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00" w:type="pct"/>
            <w:gridSpan w:val="5"/>
            <w:tcBorders>
              <w:left w:val="single" w:color="auto" w:sz="4" w:space="0"/>
            </w:tcBorders>
            <w:vAlign w:val="center"/>
          </w:tcPr>
          <w:p w14:paraId="2D955C01">
            <w:pPr>
              <w:keepNext w:val="0"/>
              <w:keepLines w:val="0"/>
              <w:pageBreakBefore w:val="0"/>
              <w:widowControl w:val="0"/>
              <w:tabs>
                <w:tab w:val="left" w:pos="3928"/>
              </w:tabs>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shd w:val="clear" w:color="auto" w:fill="auto"/>
              </w:rPr>
              <w:t>注：任意一项</w:t>
            </w:r>
            <w:r>
              <w:rPr>
                <w:rFonts w:hint="eastAsia" w:ascii="Times New Roman" w:hAnsi="Times New Roman" w:cs="Times New Roman"/>
                <w:snapToGrid w:val="0"/>
                <w:color w:val="auto"/>
                <w:kern w:val="0"/>
                <w:sz w:val="21"/>
                <w:szCs w:val="21"/>
                <w:highlight w:val="none"/>
                <w:shd w:val="clear" w:color="auto" w:fill="auto"/>
                <w:lang w:val="en-US" w:eastAsia="zh-CN"/>
              </w:rPr>
              <w:t>参选报</w:t>
            </w:r>
            <w:r>
              <w:rPr>
                <w:rFonts w:hint="default" w:ascii="Times New Roman" w:hAnsi="Times New Roman" w:eastAsia="宋体" w:cs="Times New Roman"/>
                <w:snapToGrid w:val="0"/>
                <w:color w:val="auto"/>
                <w:kern w:val="0"/>
                <w:sz w:val="21"/>
                <w:szCs w:val="21"/>
                <w:highlight w:val="none"/>
                <w:shd w:val="clear" w:color="auto" w:fill="auto"/>
              </w:rPr>
              <w:t>价超出其最高限价的，</w:t>
            </w:r>
            <w:r>
              <w:rPr>
                <w:rFonts w:hint="eastAsia" w:ascii="Times New Roman" w:hAnsi="Times New Roman" w:cs="Times New Roman"/>
                <w:snapToGrid w:val="0"/>
                <w:color w:val="auto"/>
                <w:kern w:val="0"/>
                <w:sz w:val="21"/>
                <w:szCs w:val="21"/>
                <w:highlight w:val="none"/>
                <w:shd w:val="clear" w:color="auto" w:fill="auto"/>
                <w:lang w:val="en-US" w:eastAsia="zh-CN"/>
              </w:rPr>
              <w:t>将被取消参选资格。</w:t>
            </w:r>
          </w:p>
        </w:tc>
      </w:tr>
    </w:tbl>
    <w:p w14:paraId="0B14F463">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2. 参选人资格要求</w:t>
      </w:r>
      <w:bookmarkEnd w:id="8"/>
      <w:bookmarkEnd w:id="9"/>
      <w:bookmarkEnd w:id="10"/>
      <w:bookmarkEnd w:id="11"/>
      <w:bookmarkEnd w:id="12"/>
    </w:p>
    <w:p w14:paraId="0AE4D0FC">
      <w:pPr>
        <w:rPr>
          <w:rFonts w:hint="eastAsia" w:ascii="Times New Roman" w:hAnsi="Times New Roman" w:eastAsia="宋体" w:cs="Times New Roman"/>
          <w:color w:val="auto"/>
          <w:highlight w:val="none"/>
          <w:lang w:eastAsia="zh-CN"/>
        </w:rPr>
      </w:pPr>
      <w:bookmarkStart w:id="13" w:name="_Hlk55488870"/>
      <w:r>
        <w:rPr>
          <w:rFonts w:hint="default" w:ascii="Times New Roman" w:hAnsi="Times New Roman" w:cs="Times New Roman"/>
          <w:color w:val="auto"/>
          <w:highlight w:val="none"/>
        </w:rPr>
        <w:t>2.1 具有独立承担民事责任的能力【提供参选人有效营业执照（副本）或事业单位法人证书（副本）或个体工商户营业执照或有效的自然人身份证明；参选人法定代表人身份证明和法定代表人授权代表委托书</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w:t>
      </w:r>
    </w:p>
    <w:p w14:paraId="5418F02B">
      <w:pPr>
        <w:rPr>
          <w:rFonts w:hint="default" w:ascii="Times New Roman" w:hAnsi="Times New Roman" w:cs="Times New Roman"/>
          <w:color w:val="auto"/>
          <w:highlight w:val="none"/>
        </w:rPr>
      </w:pPr>
      <w:r>
        <w:rPr>
          <w:rFonts w:hint="default" w:ascii="Times New Roman" w:hAnsi="Times New Roman" w:cs="Times New Roman"/>
          <w:color w:val="auto"/>
          <w:highlight w:val="none"/>
        </w:rPr>
        <w:t>2.2 具有良好的商业信誉和健全的财务会计制度【提供书面声明】；</w:t>
      </w:r>
    </w:p>
    <w:p w14:paraId="34D08B8F">
      <w:pPr>
        <w:rPr>
          <w:rFonts w:hint="default" w:ascii="Times New Roman" w:hAnsi="Times New Roman" w:cs="Times New Roman"/>
          <w:color w:val="auto"/>
          <w:highlight w:val="none"/>
        </w:rPr>
      </w:pPr>
      <w:r>
        <w:rPr>
          <w:rFonts w:hint="default" w:ascii="Times New Roman" w:hAnsi="Times New Roman" w:cs="Times New Roman"/>
          <w:color w:val="auto"/>
          <w:highlight w:val="none"/>
        </w:rPr>
        <w:t>2.3 具有履行合同所必需的设备和专业技术能力【提供书面声明】；</w:t>
      </w:r>
    </w:p>
    <w:p w14:paraId="18679916">
      <w:pPr>
        <w:rPr>
          <w:rFonts w:hint="default" w:ascii="Times New Roman" w:hAnsi="Times New Roman" w:cs="Times New Roman"/>
          <w:color w:val="auto"/>
          <w:highlight w:val="none"/>
        </w:rPr>
      </w:pPr>
      <w:r>
        <w:rPr>
          <w:rFonts w:hint="default" w:ascii="Times New Roman" w:hAnsi="Times New Roman" w:cs="Times New Roman"/>
          <w:color w:val="auto"/>
          <w:highlight w:val="none"/>
        </w:rPr>
        <w:t>2.4 有依法缴纳税收和社会保障金的良好记录【提供书面声明】；</w:t>
      </w:r>
    </w:p>
    <w:p w14:paraId="0EAEC89D">
      <w:pPr>
        <w:rPr>
          <w:rFonts w:hint="default" w:ascii="Times New Roman" w:hAnsi="Times New Roman" w:cs="Times New Roman"/>
          <w:color w:val="auto"/>
          <w:highlight w:val="none"/>
        </w:rPr>
      </w:pPr>
      <w:r>
        <w:rPr>
          <w:rFonts w:hint="default" w:ascii="Times New Roman" w:hAnsi="Times New Roman" w:cs="Times New Roman"/>
          <w:color w:val="auto"/>
          <w:highlight w:val="none"/>
        </w:rPr>
        <w:t>2.5 三年内在经营活动中没有重大违法记录【提供书面声明】；</w:t>
      </w:r>
    </w:p>
    <w:p w14:paraId="568A49D6">
      <w:pPr>
        <w:rPr>
          <w:rFonts w:hint="default" w:ascii="Times New Roman" w:hAnsi="Times New Roman" w:cs="Times New Roman"/>
          <w:color w:val="auto"/>
          <w:highlight w:val="none"/>
        </w:rPr>
      </w:pPr>
      <w:r>
        <w:rPr>
          <w:rFonts w:hint="default" w:ascii="Times New Roman" w:hAnsi="Times New Roman" w:cs="Times New Roman"/>
          <w:color w:val="auto"/>
          <w:highlight w:val="none"/>
        </w:rPr>
        <w:t>2.6 法人及法定代表人没有被人民法院列为失信被执行人名单【提供中国执行信息公开网截图并加盖单位鲜章】；</w:t>
      </w:r>
    </w:p>
    <w:p w14:paraId="78B3AD81">
      <w:pP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2.7 本项目不允许任何形式的转包【提供书面声明】</w:t>
      </w:r>
      <w:r>
        <w:rPr>
          <w:rFonts w:hint="eastAsia" w:ascii="Times New Roman" w:hAnsi="Times New Roman" w:cs="Times New Roman"/>
          <w:color w:val="auto"/>
          <w:highlight w:val="none"/>
          <w:lang w:eastAsia="zh-CN"/>
        </w:rPr>
        <w:t>；</w:t>
      </w:r>
    </w:p>
    <w:p w14:paraId="4B3024D0">
      <w:pP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2.8 本次招标不接受联合体参选</w:t>
      </w:r>
      <w:r>
        <w:rPr>
          <w:rFonts w:hint="eastAsia" w:ascii="Times New Roman" w:hAnsi="Times New Roman" w:cs="Times New Roman"/>
          <w:color w:val="auto"/>
          <w:highlight w:val="none"/>
          <w:lang w:eastAsia="zh-CN"/>
        </w:rPr>
        <w:t>；</w:t>
      </w:r>
    </w:p>
    <w:p w14:paraId="00DDBCCE">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2.9 </w:t>
      </w:r>
      <w:r>
        <w:rPr>
          <w:rFonts w:hint="eastAsia" w:ascii="Times New Roman" w:hAnsi="Times New Roman" w:cs="Times New Roman"/>
          <w:color w:val="auto"/>
          <w:highlight w:val="none"/>
          <w:lang w:val="en-US" w:eastAsia="zh-CN"/>
        </w:rPr>
        <w:t>自2019年1月1日起至参选截止日（以合同签订时间为准），参选人具有国有银行或全国性股份制银行或城市商业银行或省级农信社（农商行）的总行级别湖仓一体、数据湖或数据中台</w:t>
      </w:r>
      <w:r>
        <w:rPr>
          <w:rFonts w:hint="default" w:ascii="Times New Roman" w:hAnsi="Times New Roman" w:cs="Times New Roman"/>
          <w:color w:val="auto"/>
          <w:highlight w:val="none"/>
          <w:lang w:val="en-US" w:eastAsia="zh-CN"/>
        </w:rPr>
        <w:t>相关实施案例不少于3</w:t>
      </w:r>
      <w:r>
        <w:rPr>
          <w:rFonts w:hint="eastAsia" w:ascii="Times New Roman" w:hAnsi="Times New Roman" w:cs="Times New Roman"/>
          <w:color w:val="auto"/>
          <w:highlight w:val="none"/>
          <w:lang w:val="en-US" w:eastAsia="zh-CN"/>
        </w:rPr>
        <w:t>个（含）且至少有1个案例为城市商业银行的实施案例</w:t>
      </w:r>
      <w:r>
        <w:rPr>
          <w:rFonts w:hint="default" w:ascii="Times New Roman" w:hAnsi="Times New Roman" w:cs="Times New Roman"/>
          <w:color w:val="auto"/>
          <w:highlight w:val="none"/>
          <w:lang w:val="en-US" w:eastAsia="zh-CN"/>
        </w:rPr>
        <w:t>（以合同签订时间为准</w:t>
      </w:r>
      <w:r>
        <w:rPr>
          <w:rFonts w:hint="eastAsia" w:ascii="Times New Roman" w:hAnsi="Times New Roman" w:cs="Times New Roman"/>
          <w:color w:val="auto"/>
          <w:highlight w:val="none"/>
          <w:lang w:val="en-US" w:eastAsia="zh-CN"/>
        </w:rPr>
        <w:t>，合同买方必须为银行总行，且合同名称或合同关键页应包含“数据湖”或“大数据平台”或“湖仓一体”或“数据中台”关键字</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【提供合同关键页</w:t>
      </w:r>
      <w:r>
        <w:rPr>
          <w:rFonts w:hint="eastAsia" w:ascii="Times New Roman" w:hAnsi="Times New Roman"/>
          <w:color w:val="auto"/>
          <w:highlight w:val="none"/>
          <w:lang w:val="en-US" w:eastAsia="zh-CN"/>
        </w:rPr>
        <w:t>、项目简介、</w:t>
      </w:r>
      <w:r>
        <w:rPr>
          <w:rFonts w:hint="default" w:ascii="Times New Roman" w:hAnsi="Times New Roman" w:cs="Times New Roman"/>
          <w:color w:val="auto"/>
          <w:highlight w:val="none"/>
        </w:rPr>
        <w:t>合同对应的发票之一和网上税务系统查询该发票截图。</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w:t>
      </w:r>
      <w:r>
        <w:rPr>
          <w:rFonts w:hint="default" w:ascii="Times New Roman" w:hAnsi="Times New Roman" w:cs="Times New Roman"/>
          <w:color w:val="auto"/>
          <w:highlight w:val="none"/>
        </w:rPr>
        <w:t>发票开具日期须晚于合同签订日期、发票购买方须与合同买方一致、发票销售方须与合同卖方（参选人）一致】；</w:t>
      </w:r>
    </w:p>
    <w:p w14:paraId="3F234826">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2.10 </w:t>
      </w:r>
      <w:r>
        <w:rPr>
          <w:rFonts w:hint="default"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人须具备软件研发体系CMMI5级认证证书，并通过IS</w:t>
      </w:r>
      <w:r>
        <w:rPr>
          <w:rFonts w:hint="eastAsia" w:ascii="Times New Roman" w:hAnsi="Times New Roman" w:cs="Times New Roman"/>
          <w:color w:val="auto"/>
          <w:highlight w:val="none"/>
          <w:lang w:val="en-US" w:eastAsia="zh-CN"/>
        </w:rPr>
        <w:t>O</w:t>
      </w:r>
      <w:r>
        <w:rPr>
          <w:rFonts w:hint="default" w:ascii="Times New Roman" w:hAnsi="Times New Roman" w:cs="Times New Roman"/>
          <w:color w:val="auto"/>
          <w:highlight w:val="none"/>
        </w:rPr>
        <w:t>9001质量管理体系认证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提供软件能力成熟度模型集成认证</w:t>
      </w:r>
      <w:r>
        <w:rPr>
          <w:rFonts w:hint="eastAsia" w:ascii="Times New Roman" w:hAnsi="Times New Roman" w:cs="Times New Roman"/>
          <w:color w:val="auto"/>
          <w:highlight w:val="none"/>
          <w:lang w:val="en-US" w:eastAsia="zh-CN"/>
        </w:rPr>
        <w:t>5级证书和</w:t>
      </w:r>
      <w:r>
        <w:rPr>
          <w:rFonts w:hint="default" w:ascii="Times New Roman" w:hAnsi="Times New Roman" w:cs="Times New Roman"/>
          <w:color w:val="auto"/>
          <w:highlight w:val="none"/>
          <w:lang w:val="en-US" w:eastAsia="zh-CN"/>
        </w:rPr>
        <w:t>IS</w:t>
      </w:r>
      <w:r>
        <w:rPr>
          <w:rFonts w:hint="eastAsia" w:ascii="Times New Roman" w:hAnsi="Times New Roman" w:cs="Times New Roman"/>
          <w:color w:val="auto"/>
          <w:highlight w:val="none"/>
          <w:lang w:val="en-US" w:eastAsia="zh-CN"/>
        </w:rPr>
        <w:t>O</w:t>
      </w:r>
      <w:r>
        <w:rPr>
          <w:rFonts w:hint="default" w:ascii="Times New Roman" w:hAnsi="Times New Roman" w:cs="Times New Roman"/>
          <w:color w:val="auto"/>
          <w:highlight w:val="none"/>
          <w:lang w:val="en-US" w:eastAsia="zh-CN"/>
        </w:rPr>
        <w:t>9001质量管理体系认证证书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14:paraId="13EA68C0">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2.11 参选人注册资本不得低于1亿元（含）人民币【提供营业执照】；</w:t>
      </w:r>
    </w:p>
    <w:p w14:paraId="6A9148B6">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2.12 参选人提供的产品若为原厂产品，须提供针对本项目的原厂售后服务质保承诺函；参选人提供的产品若为第三方产品，则必须有产品供应商针对本项目的原厂授权函和原厂售后服务质保承诺函，且单个供应商最多仅能向2名参选人提供针对本项目的原厂授权，否则取消参选资格【参选人提供的产品若为原厂产品，提供原厂售后服务质保承诺函；参选人提供的产品若为第三方产品，提供原厂授权函和原厂售后服务质保承诺函】；</w:t>
      </w:r>
    </w:p>
    <w:p w14:paraId="472959C0">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2.13 参选人需承诺产品（湖仓一体底座、数据作业平台）后续的扩容单价应在项目验收通过后的一定时限内（不少</w:t>
      </w:r>
      <w:r>
        <w:rPr>
          <w:rFonts w:hint="default" w:ascii="Times New Roman" w:hAnsi="Times New Roman" w:cs="Times New Roman"/>
          <w:color w:val="auto"/>
          <w:highlight w:val="none"/>
          <w:lang w:val="en-US" w:eastAsia="zh-CN"/>
        </w:rPr>
        <w:t>于5年</w:t>
      </w:r>
      <w:r>
        <w:rPr>
          <w:rFonts w:hint="eastAsia" w:ascii="Times New Roman" w:hAnsi="Times New Roman" w:cs="Times New Roman"/>
          <w:color w:val="auto"/>
          <w:highlight w:val="none"/>
          <w:lang w:val="en-US" w:eastAsia="zh-CN"/>
        </w:rPr>
        <w:t>）不高于本项目采购的单价</w:t>
      </w:r>
      <w:r>
        <w:rPr>
          <w:rFonts w:hint="eastAsia" w:ascii="宋体" w:hAnsi="宋体" w:cs="宋体"/>
          <w:color w:val="auto"/>
          <w:kern w:val="0"/>
          <w:sz w:val="24"/>
          <w:szCs w:val="24"/>
          <w:highlight w:val="none"/>
          <w:lang w:val="en-US" w:eastAsia="zh-CN" w:bidi="ar"/>
        </w:rPr>
        <w:t>，并加盖公章</w:t>
      </w:r>
      <w:r>
        <w:rPr>
          <w:rFonts w:hint="eastAsia" w:ascii="宋体" w:hAnsi="宋体" w:eastAsia="宋体" w:cs="宋体"/>
          <w:color w:val="auto"/>
          <w:kern w:val="0"/>
          <w:sz w:val="24"/>
          <w:szCs w:val="24"/>
          <w:highlight w:val="none"/>
          <w:lang w:val="en-US" w:eastAsia="zh-CN" w:bidi="ar"/>
        </w:rPr>
        <w:t>。参选人提供的产品</w:t>
      </w:r>
      <w:r>
        <w:rPr>
          <w:rFonts w:hint="eastAsia" w:ascii="宋体" w:hAnsi="宋体" w:cs="宋体"/>
          <w:color w:val="auto"/>
          <w:kern w:val="0"/>
          <w:sz w:val="24"/>
          <w:szCs w:val="24"/>
          <w:highlight w:val="none"/>
          <w:lang w:val="en-US" w:eastAsia="zh-CN" w:bidi="ar"/>
        </w:rPr>
        <w:t>或功能模块</w:t>
      </w:r>
      <w:r>
        <w:rPr>
          <w:rFonts w:hint="eastAsia" w:ascii="宋体" w:hAnsi="宋体" w:eastAsia="宋体" w:cs="宋体"/>
          <w:color w:val="auto"/>
          <w:kern w:val="0"/>
          <w:sz w:val="24"/>
          <w:szCs w:val="24"/>
          <w:highlight w:val="none"/>
          <w:lang w:val="en-US" w:eastAsia="zh-CN" w:bidi="ar"/>
        </w:rPr>
        <w:t>若为第三方产品，则产品供应商也须出具承诺书</w:t>
      </w:r>
      <w:r>
        <w:rPr>
          <w:rFonts w:hint="eastAsia" w:ascii="宋体" w:hAnsi="宋体" w:cs="宋体"/>
          <w:color w:val="auto"/>
          <w:kern w:val="0"/>
          <w:sz w:val="24"/>
          <w:szCs w:val="24"/>
          <w:highlight w:val="none"/>
          <w:lang w:val="en-US" w:eastAsia="zh-CN" w:bidi="ar"/>
        </w:rPr>
        <w:t>并加盖</w:t>
      </w:r>
      <w:r>
        <w:rPr>
          <w:rFonts w:hint="eastAsia" w:ascii="宋体" w:hAnsi="宋体" w:eastAsia="宋体" w:cs="宋体"/>
          <w:color w:val="auto"/>
          <w:kern w:val="0"/>
          <w:sz w:val="24"/>
          <w:szCs w:val="24"/>
          <w:highlight w:val="none"/>
          <w:lang w:val="en-US" w:eastAsia="zh-CN" w:bidi="ar"/>
        </w:rPr>
        <w:t>产品供应商</w:t>
      </w:r>
      <w:r>
        <w:rPr>
          <w:rFonts w:hint="eastAsia" w:ascii="宋体" w:hAnsi="宋体" w:cs="宋体"/>
          <w:color w:val="auto"/>
          <w:kern w:val="0"/>
          <w:sz w:val="24"/>
          <w:szCs w:val="24"/>
          <w:highlight w:val="none"/>
          <w:lang w:val="en-US" w:eastAsia="zh-CN" w:bidi="ar"/>
        </w:rPr>
        <w:t>公章</w:t>
      </w:r>
      <w:r>
        <w:rPr>
          <w:rFonts w:hint="eastAsia" w:ascii="Times New Roman" w:hAnsi="Times New Roman" w:cs="Times New Roman"/>
          <w:color w:val="auto"/>
          <w:highlight w:val="none"/>
          <w:lang w:val="en-US" w:eastAsia="zh-CN"/>
        </w:rPr>
        <w:t>【提供承诺书】</w:t>
      </w:r>
    </w:p>
    <w:p w14:paraId="454024B7">
      <w:pPr>
        <w:rPr>
          <w:rFonts w:hint="default" w:ascii="Times New Roman" w:hAnsi="Times New Roman" w:cs="Times New Roman"/>
          <w:color w:val="auto"/>
          <w:highlight w:val="none"/>
        </w:rPr>
      </w:pPr>
      <w:r>
        <w:rPr>
          <w:rFonts w:hint="default" w:ascii="Times New Roman" w:hAnsi="Times New Roman" w:cs="Times New Roman"/>
          <w:color w:val="auto"/>
          <w:highlight w:val="none"/>
        </w:rPr>
        <w:t>注</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以上证明文件若比选人存疑，参选人需提供原件备查，参选文件中须附相关证明文件复印件并逐页加盖公章。</w:t>
      </w:r>
    </w:p>
    <w:p w14:paraId="53245E3E">
      <w:pPr>
        <w:rPr>
          <w:rFonts w:hint="default" w:ascii="Times New Roman" w:hAnsi="Times New Roman" w:cs="Times New Roman"/>
          <w:color w:val="auto"/>
          <w:highlight w:val="none"/>
        </w:rPr>
      </w:pPr>
      <w:r>
        <w:rPr>
          <w:rFonts w:hint="default" w:ascii="Times New Roman" w:hAnsi="Times New Roman" w:cs="Times New Roman"/>
          <w:color w:val="auto"/>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7ED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F2A04D3">
            <w:pPr>
              <w:spacing w:line="36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4933" w:type="dxa"/>
          </w:tcPr>
          <w:p w14:paraId="4BBD745E">
            <w:pPr>
              <w:spacing w:line="360" w:lineRule="auto"/>
              <w:ind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公司</w:t>
            </w:r>
          </w:p>
        </w:tc>
      </w:tr>
      <w:tr w14:paraId="359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BB03E69">
            <w:pPr>
              <w:spacing w:line="36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933" w:type="dxa"/>
            <w:tcBorders>
              <w:left w:val="single" w:color="auto" w:sz="4" w:space="0"/>
            </w:tcBorders>
          </w:tcPr>
          <w:p w14:paraId="354A7D47">
            <w:pPr>
              <w:spacing w:line="36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依米康软件技术（深圳）有限责任公司</w:t>
            </w:r>
          </w:p>
        </w:tc>
      </w:tr>
      <w:bookmarkEnd w:id="13"/>
    </w:tbl>
    <w:p w14:paraId="415D2343">
      <w:pPr>
        <w:pStyle w:val="3"/>
        <w:rPr>
          <w:rFonts w:hint="default" w:ascii="Times New Roman" w:hAnsi="Times New Roman" w:cs="Times New Roman"/>
          <w:color w:val="auto"/>
          <w:highlight w:val="none"/>
        </w:rPr>
      </w:pPr>
      <w:bookmarkStart w:id="14" w:name="_Toc55379220"/>
      <w:bookmarkStart w:id="15" w:name="_Toc297817090"/>
      <w:bookmarkStart w:id="16" w:name="_Toc469574667"/>
      <w:bookmarkStart w:id="17" w:name="_Toc89675130"/>
      <w:r>
        <w:rPr>
          <w:rFonts w:hint="default" w:ascii="Times New Roman" w:hAnsi="Times New Roman" w:cs="Times New Roman"/>
          <w:color w:val="auto"/>
          <w:highlight w:val="none"/>
        </w:rPr>
        <w:t>3. 比选文件的获取</w:t>
      </w:r>
      <w:bookmarkEnd w:id="14"/>
    </w:p>
    <w:p w14:paraId="171DE80B">
      <w:pPr>
        <w:bidi w:val="0"/>
        <w:ind w:firstLine="480" w:firstLineChars="200"/>
        <w:rPr>
          <w:rFonts w:hint="default"/>
          <w:color w:val="auto"/>
          <w:highlight w:val="none"/>
          <w:lang w:val="en-US" w:eastAsia="zh-CN"/>
        </w:rPr>
      </w:pPr>
      <w:r>
        <w:rPr>
          <w:rFonts w:hint="default" w:ascii="Times New Roman" w:hAnsi="Times New Roman" w:cs="Times New Roman"/>
          <w:color w:val="auto"/>
          <w:highlight w:val="none"/>
        </w:rPr>
        <w:t xml:space="preserve">3.1 </w:t>
      </w:r>
      <w:r>
        <w:rPr>
          <w:rFonts w:hint="eastAsia"/>
          <w:color w:val="auto"/>
          <w:highlight w:val="none"/>
          <w:lang w:val="en-US" w:eastAsia="zh-CN"/>
        </w:rPr>
        <w:t>参选截止时间</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11</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18</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9</w:t>
      </w:r>
      <w:r>
        <w:rPr>
          <w:rFonts w:hint="default" w:ascii="Times New Roman" w:hAnsi="Times New Roman" w:cs="Times New Roman"/>
          <w:color w:val="auto"/>
          <w:highlight w:val="none"/>
          <w:u w:val="single"/>
        </w:rPr>
        <w:t xml:space="preserve"> </w:t>
      </w:r>
      <w:r>
        <w:rPr>
          <w:rFonts w:hint="eastAsia"/>
          <w:color w:val="auto"/>
          <w:highlight w:val="none"/>
        </w:rPr>
        <w:t>时</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30</w:t>
      </w:r>
      <w:r>
        <w:rPr>
          <w:rFonts w:hint="default" w:ascii="Times New Roman" w:hAnsi="Times New Roman" w:cs="Times New Roman"/>
          <w:color w:val="auto"/>
          <w:highlight w:val="none"/>
          <w:u w:val="single"/>
        </w:rPr>
        <w:t xml:space="preserve"> </w:t>
      </w:r>
      <w:r>
        <w:rPr>
          <w:rFonts w:hint="eastAsia"/>
          <w:color w:val="auto"/>
          <w:highlight w:val="none"/>
        </w:rPr>
        <w:t>分（北京时间）</w:t>
      </w:r>
    </w:p>
    <w:p w14:paraId="7A194352">
      <w:pPr>
        <w:rPr>
          <w:rFonts w:hint="default" w:ascii="Times New Roman" w:hAnsi="Times New Roman" w:cs="Times New Roman"/>
          <w:color w:val="auto"/>
          <w:highlight w:val="none"/>
        </w:rPr>
      </w:pPr>
      <w:r>
        <w:rPr>
          <w:rFonts w:hint="eastAsia" w:ascii="Times New Roman" w:hAnsi="Times New Roman"/>
          <w:color w:val="auto"/>
          <w:highlight w:val="none"/>
          <w:lang w:val="en-US" w:eastAsia="zh-CN"/>
        </w:rPr>
        <w:t xml:space="preserve">3.2 </w:t>
      </w:r>
      <w:r>
        <w:rPr>
          <w:rFonts w:hint="eastAsia" w:ascii="Times New Roman" w:hAnsi="Times New Roman"/>
          <w:color w:val="auto"/>
          <w:highlight w:val="none"/>
        </w:rPr>
        <w:t>获取时间和方式：</w:t>
      </w:r>
      <w:r>
        <w:rPr>
          <w:rFonts w:hint="eastAsia"/>
          <w:color w:val="auto"/>
          <w:highlight w:val="none"/>
        </w:rPr>
        <w:t>从</w:t>
      </w:r>
      <w:r>
        <w:rPr>
          <w:rFonts w:hint="eastAsia"/>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10</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8</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r>
        <w:rPr>
          <w:rFonts w:hint="eastAsia"/>
          <w:color w:val="auto"/>
          <w:highlight w:val="none"/>
        </w:rPr>
        <w:t>到</w:t>
      </w:r>
      <w:r>
        <w:rPr>
          <w:rFonts w:hint="eastAsia"/>
          <w:color w:val="auto"/>
          <w:highlight w:val="none"/>
          <w:u w:val="single"/>
          <w:lang w:val="en-US" w:eastAsia="zh-CN"/>
        </w:rPr>
        <w:t>参选截止</w:t>
      </w:r>
      <w:r>
        <w:rPr>
          <w:rFonts w:hint="default" w:ascii="Times New Roman" w:hAnsi="Times New Roman" w:cs="Times New Roman"/>
          <w:color w:val="auto"/>
          <w:highlight w:val="none"/>
        </w:rPr>
        <w:t>时间，在重庆市公共资源交易网（www.cqggzy.com）下载比选文件。</w:t>
      </w:r>
    </w:p>
    <w:p w14:paraId="05B08023">
      <w:pP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10</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11</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17</w:t>
      </w:r>
      <w:r>
        <w:rPr>
          <w:rFonts w:hint="default" w:ascii="Times New Roman" w:hAnsi="Times New Roman" w:cs="Times New Roman"/>
          <w:color w:val="auto"/>
          <w:highlight w:val="none"/>
          <w:u w:val="single"/>
        </w:rPr>
        <w:t xml:space="preserve"> </w:t>
      </w:r>
      <w:r>
        <w:rPr>
          <w:rFonts w:hint="eastAsia"/>
          <w:color w:val="auto"/>
          <w:highlight w:val="none"/>
        </w:rPr>
        <w:t>时</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00</w:t>
      </w:r>
      <w:r>
        <w:rPr>
          <w:rFonts w:hint="default" w:ascii="Times New Roman" w:hAnsi="Times New Roman" w:cs="Times New Roman"/>
          <w:color w:val="auto"/>
          <w:highlight w:val="none"/>
          <w:u w:val="single"/>
        </w:rPr>
        <w:t xml:space="preserve"> </w:t>
      </w:r>
      <w:r>
        <w:rPr>
          <w:rFonts w:hint="eastAsia"/>
          <w:color w:val="auto"/>
          <w:highlight w:val="none"/>
        </w:rPr>
        <w:t>分</w:t>
      </w:r>
      <w:r>
        <w:rPr>
          <w:rFonts w:hint="default" w:ascii="Times New Roman" w:hAnsi="Times New Roman" w:cs="Times New Roman"/>
          <w:color w:val="auto"/>
          <w:highlight w:val="none"/>
        </w:rPr>
        <w:t>（北京时间）前自行在重庆市公共资源交易网（http://www.cqggzy.com/）比选公告的</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我要提问</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栏目匿名提出。参选人未提出，则视为参选人已全面确认比选文件内容。</w:t>
      </w:r>
    </w:p>
    <w:p w14:paraId="0F8E91FF">
      <w:pP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比选人在认为有必要对参选人所提问题进行答复或对比选文件进行补充时，将在《重庆市公共资源交易网（www.cqggzy.com）》</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答疑补遗</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栏上发布答疑补遗文件。不论参选人下载与否，都视为参选人收到有关本项目在《重庆市公共资源交易网（www.cqggzy.com）》上发布的所有资料并全部知晓有关比选过程和事宜，由此产生的一切后果由参选人自负。</w:t>
      </w:r>
    </w:p>
    <w:p w14:paraId="38DFFD15">
      <w:pPr>
        <w:pStyle w:val="3"/>
        <w:rPr>
          <w:rFonts w:hint="default" w:ascii="Times New Roman" w:hAnsi="Times New Roman" w:cs="Times New Roman"/>
          <w:color w:val="auto"/>
          <w:highlight w:val="none"/>
        </w:rPr>
      </w:pPr>
      <w:bookmarkStart w:id="18" w:name="_Toc55379221"/>
      <w:r>
        <w:rPr>
          <w:rFonts w:hint="default" w:ascii="Times New Roman" w:hAnsi="Times New Roman" w:cs="Times New Roman"/>
          <w:color w:val="auto"/>
          <w:highlight w:val="none"/>
        </w:rPr>
        <w:t>4. 参选保证金的递交</w:t>
      </w:r>
      <w:bookmarkEnd w:id="15"/>
      <w:bookmarkEnd w:id="16"/>
      <w:bookmarkEnd w:id="17"/>
      <w:bookmarkEnd w:id="18"/>
    </w:p>
    <w:p w14:paraId="0198BB57">
      <w:pPr>
        <w:rPr>
          <w:rFonts w:hint="default" w:ascii="Times New Roman" w:hAnsi="Times New Roman" w:cs="Times New Roman"/>
          <w:color w:val="auto"/>
          <w:highlight w:val="none"/>
        </w:rPr>
      </w:pPr>
      <w:bookmarkStart w:id="19" w:name="_Toc469574668"/>
      <w:bookmarkStart w:id="20" w:name="_Toc297817091"/>
      <w:bookmarkStart w:id="21" w:name="_Toc55379222"/>
      <w:bookmarkStart w:id="22" w:name="_Toc89675131"/>
      <w:r>
        <w:rPr>
          <w:rFonts w:hint="default" w:ascii="Times New Roman" w:hAnsi="Times New Roman" w:cs="Times New Roman"/>
          <w:color w:val="auto"/>
          <w:highlight w:val="none"/>
        </w:rPr>
        <w:t>4.1 参选保证金的金额：</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u w:val="single"/>
          <w:lang w:val="en-US" w:eastAsia="zh-CN"/>
        </w:rPr>
        <w:t>310</w:t>
      </w:r>
      <w:r>
        <w:rPr>
          <w:rStyle w:val="41"/>
          <w:rFonts w:hint="eastAsia" w:ascii="Times New Roman" w:hAnsi="Times New Roman" w:cs="Times New Roman"/>
          <w:color w:val="auto"/>
          <w:highlight w:val="none"/>
          <w:lang w:val="en-US" w:eastAsia="zh-CN"/>
        </w:rPr>
        <w:t>,</w:t>
      </w:r>
      <w:r>
        <w:rPr>
          <w:rFonts w:hint="default" w:ascii="Times New Roman" w:hAnsi="Times New Roman" w:cs="Times New Roman"/>
          <w:b/>
          <w:bCs/>
          <w:color w:val="auto"/>
          <w:highlight w:val="none"/>
          <w:u w:val="single"/>
          <w:lang w:val="en-US" w:eastAsia="zh-CN"/>
        </w:rPr>
        <w:t>000</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rPr>
        <w:t>元整（大写：</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u w:val="single"/>
          <w:lang w:eastAsia="zh-CN"/>
        </w:rPr>
        <w:t>叁拾壹万元整</w:t>
      </w:r>
      <w:r>
        <w:rPr>
          <w:rFonts w:hint="default" w:ascii="Times New Roman" w:hAnsi="Times New Roman" w:cs="Times New Roman"/>
          <w:b/>
          <w:bCs/>
          <w:color w:val="auto"/>
          <w:highlight w:val="none"/>
          <w:u w:val="single"/>
        </w:rPr>
        <w:t xml:space="preserve"> </w:t>
      </w:r>
      <w:r>
        <w:rPr>
          <w:rFonts w:hint="default" w:ascii="Times New Roman" w:hAnsi="Times New Roman" w:cs="Times New Roman"/>
          <w:b/>
          <w:bCs/>
          <w:color w:val="auto"/>
          <w:highlight w:val="none"/>
        </w:rPr>
        <w:t>）</w:t>
      </w:r>
      <w:r>
        <w:rPr>
          <w:rFonts w:hint="default" w:ascii="Times New Roman" w:hAnsi="Times New Roman" w:cs="Times New Roman"/>
          <w:color w:val="auto"/>
          <w:highlight w:val="none"/>
        </w:rPr>
        <w:t>。</w:t>
      </w:r>
    </w:p>
    <w:p w14:paraId="0CDE3EE2">
      <w:pPr>
        <w:rPr>
          <w:rFonts w:hint="default" w:ascii="Times New Roman" w:hAnsi="Times New Roman" w:cs="Times New Roman"/>
          <w:color w:val="auto"/>
          <w:highlight w:val="none"/>
        </w:rPr>
      </w:pPr>
      <w:r>
        <w:rPr>
          <w:rFonts w:hint="default" w:ascii="Times New Roman" w:hAnsi="Times New Roman" w:cs="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08DE139">
      <w:pPr>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参选人必须在付款凭证备注栏中注明项目简称。可简写成：</w:t>
      </w:r>
      <w:r>
        <w:rPr>
          <w:rFonts w:hint="eastAsia" w:ascii="Times New Roman" w:hAnsi="Times New Roman" w:cs="Times New Roman"/>
          <w:b/>
          <w:bCs/>
          <w:color w:val="auto"/>
          <w:highlight w:val="none"/>
          <w:u w:val="single"/>
          <w:lang w:val="en-US" w:eastAsia="zh-CN"/>
        </w:rPr>
        <w:t>新</w:t>
      </w:r>
      <w:r>
        <w:rPr>
          <w:rFonts w:hint="default" w:ascii="Times New Roman" w:hAnsi="Times New Roman" w:cs="Times New Roman"/>
          <w:b/>
          <w:bCs/>
          <w:color w:val="auto"/>
          <w:highlight w:val="none"/>
          <w:u w:val="single"/>
          <w:lang w:eastAsia="zh-CN"/>
        </w:rPr>
        <w:t>数据中台</w:t>
      </w:r>
      <w:r>
        <w:rPr>
          <w:rFonts w:hint="default" w:ascii="Times New Roman" w:hAnsi="Times New Roman" w:cs="Times New Roman"/>
          <w:b/>
          <w:bCs/>
          <w:color w:val="auto"/>
          <w:highlight w:val="none"/>
          <w:u w:val="single"/>
          <w:lang w:val="en-US" w:eastAsia="zh-CN"/>
        </w:rPr>
        <w:t>一期</w:t>
      </w:r>
      <w:r>
        <w:rPr>
          <w:rFonts w:hint="default" w:ascii="Times New Roman" w:hAnsi="Times New Roman" w:cs="Times New Roman"/>
          <w:b/>
          <w:bCs/>
          <w:color w:val="auto"/>
          <w:highlight w:val="none"/>
        </w:rPr>
        <w:t>。</w:t>
      </w:r>
    </w:p>
    <w:p w14:paraId="41A0D28F">
      <w:pPr>
        <w:rPr>
          <w:rFonts w:hint="default" w:ascii="Times New Roman" w:hAnsi="Times New Roman" w:cs="Times New Roman"/>
          <w:color w:val="auto"/>
          <w:highlight w:val="none"/>
        </w:rPr>
      </w:pPr>
      <w:r>
        <w:rPr>
          <w:rFonts w:hint="default" w:ascii="Times New Roman" w:hAnsi="Times New Roman" w:cs="Times New Roman"/>
          <w:color w:val="auto"/>
          <w:highlight w:val="none"/>
        </w:rPr>
        <w:t>4.3 参选保证金递交的截止时间为</w:t>
      </w:r>
      <w:r>
        <w:rPr>
          <w:rFonts w:hint="eastAsia"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11</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18</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9</w:t>
      </w:r>
      <w:r>
        <w:rPr>
          <w:rFonts w:hint="default" w:ascii="Times New Roman" w:hAnsi="Times New Roman" w:cs="Times New Roman"/>
          <w:color w:val="auto"/>
          <w:highlight w:val="none"/>
          <w:u w:val="single"/>
        </w:rPr>
        <w:t xml:space="preserve"> </w:t>
      </w:r>
      <w:r>
        <w:rPr>
          <w:rFonts w:hint="eastAsia"/>
          <w:color w:val="auto"/>
          <w:highlight w:val="none"/>
        </w:rPr>
        <w:t>时</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30</w:t>
      </w:r>
      <w:r>
        <w:rPr>
          <w:rFonts w:hint="default" w:ascii="Times New Roman" w:hAnsi="Times New Roman" w:cs="Times New Roman"/>
          <w:color w:val="auto"/>
          <w:highlight w:val="none"/>
          <w:u w:val="single"/>
        </w:rPr>
        <w:t xml:space="preserve"> </w:t>
      </w:r>
      <w:r>
        <w:rPr>
          <w:rFonts w:hint="eastAsia"/>
          <w:color w:val="auto"/>
          <w:highlight w:val="none"/>
        </w:rPr>
        <w:t>分</w:t>
      </w:r>
      <w:r>
        <w:rPr>
          <w:rFonts w:hint="default" w:ascii="Times New Roman" w:hAnsi="Times New Roman" w:cs="Times New Roman"/>
          <w:color w:val="auto"/>
          <w:highlight w:val="none"/>
        </w:rPr>
        <w:t>（北京时间）。</w:t>
      </w:r>
    </w:p>
    <w:p w14:paraId="6F79B398">
      <w:pPr>
        <w:rPr>
          <w:rFonts w:hint="default" w:ascii="Times New Roman" w:hAnsi="Times New Roman" w:cs="Times New Roman"/>
          <w:color w:val="auto"/>
          <w:highlight w:val="none"/>
        </w:rPr>
      </w:pPr>
      <w:r>
        <w:rPr>
          <w:rFonts w:hint="default" w:ascii="Times New Roman" w:hAnsi="Times New Roman" w:cs="Times New Roman"/>
          <w:color w:val="auto"/>
          <w:highlight w:val="none"/>
        </w:rPr>
        <w:t>4.4 参选保证金专用账户如下：</w:t>
      </w:r>
    </w:p>
    <w:p w14:paraId="1D4B357D">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A00A7D9">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参选保证金以重庆市公共资源交易中心比选现场展示的保证金交纳情况为准。</w:t>
      </w:r>
    </w:p>
    <w:bookmarkEnd w:id="19"/>
    <w:bookmarkEnd w:id="20"/>
    <w:bookmarkEnd w:id="21"/>
    <w:bookmarkEnd w:id="22"/>
    <w:p w14:paraId="629A9B61">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5. 参选文件的递交</w:t>
      </w:r>
    </w:p>
    <w:p w14:paraId="3F60E149">
      <w:pPr>
        <w:rPr>
          <w:rFonts w:hint="default" w:ascii="Times New Roman" w:hAnsi="Times New Roman" w:cs="Times New Roman"/>
          <w:color w:val="auto"/>
          <w:highlight w:val="none"/>
        </w:rPr>
      </w:pPr>
      <w:bookmarkStart w:id="23" w:name="_Toc469574669"/>
      <w:bookmarkStart w:id="24" w:name="_Toc55379223"/>
      <w:bookmarkStart w:id="25" w:name="_Toc89675132"/>
      <w:r>
        <w:rPr>
          <w:rFonts w:hint="default" w:ascii="Times New Roman" w:hAnsi="Times New Roman" w:cs="Times New Roman"/>
          <w:color w:val="auto"/>
          <w:highlight w:val="none"/>
        </w:rPr>
        <w:t>5.1 参选文件现场递交的开始时间为</w:t>
      </w:r>
      <w:r>
        <w:rPr>
          <w:rFonts w:hint="eastAsia"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11</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18</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9</w:t>
      </w:r>
      <w:r>
        <w:rPr>
          <w:rFonts w:hint="default" w:ascii="Times New Roman" w:hAnsi="Times New Roman" w:cs="Times New Roman"/>
          <w:color w:val="auto"/>
          <w:highlight w:val="none"/>
          <w:u w:val="single"/>
        </w:rPr>
        <w:t xml:space="preserve"> </w:t>
      </w:r>
      <w:r>
        <w:rPr>
          <w:rFonts w:hint="eastAsia"/>
          <w:color w:val="auto"/>
          <w:highlight w:val="none"/>
        </w:rPr>
        <w:t>时</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00</w:t>
      </w:r>
      <w:r>
        <w:rPr>
          <w:rFonts w:hint="default" w:ascii="Times New Roman" w:hAnsi="Times New Roman" w:cs="Times New Roman"/>
          <w:color w:val="auto"/>
          <w:highlight w:val="none"/>
          <w:u w:val="single"/>
        </w:rPr>
        <w:t xml:space="preserve"> </w:t>
      </w:r>
      <w:r>
        <w:rPr>
          <w:rFonts w:hint="eastAsia"/>
          <w:color w:val="auto"/>
          <w:highlight w:val="none"/>
        </w:rPr>
        <w:t>分</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北京时间</w:t>
      </w:r>
      <w:r>
        <w:rPr>
          <w:rFonts w:hint="eastAsia" w:ascii="Times New Roman" w:hAnsi="Times New Roman" w:cs="Times New Roman"/>
          <w:color w:val="auto"/>
          <w:highlight w:val="none"/>
          <w:lang w:eastAsia="zh-CN"/>
        </w:rPr>
        <w:t>）</w:t>
      </w:r>
      <w:r>
        <w:rPr>
          <w:rFonts w:hint="eastAsia"/>
          <w:color w:val="auto"/>
          <w:highlight w:val="none"/>
          <w:u w:val="single"/>
          <w:lang w:val="en-US" w:eastAsia="zh-CN"/>
        </w:rPr>
        <w:t>至参选截止时间</w:t>
      </w:r>
      <w:r>
        <w:rPr>
          <w:rFonts w:hint="default" w:ascii="Times New Roman" w:hAnsi="Times New Roman" w:cs="Times New Roman"/>
          <w:color w:val="auto"/>
          <w:highlight w:val="none"/>
        </w:rPr>
        <w:t>。</w:t>
      </w:r>
    </w:p>
    <w:p w14:paraId="535B8798">
      <w:pPr>
        <w:rPr>
          <w:rFonts w:hint="default" w:ascii="Times New Roman" w:hAnsi="Times New Roman" w:cs="Times New Roman"/>
          <w:color w:val="auto"/>
          <w:highlight w:val="none"/>
        </w:rPr>
      </w:pPr>
      <w:r>
        <w:rPr>
          <w:rFonts w:hint="default" w:ascii="Times New Roman" w:hAnsi="Times New Roman" w:cs="Times New Roman"/>
          <w:color w:val="auto"/>
          <w:highlight w:val="none"/>
        </w:rPr>
        <w:t>5.2 递交地点为</w:t>
      </w:r>
      <w:r>
        <w:rPr>
          <w:rFonts w:hint="eastAsia"/>
          <w:color w:val="auto"/>
          <w:highlight w:val="none"/>
        </w:rPr>
        <w:t>重庆市渝北</w:t>
      </w:r>
      <w:r>
        <w:rPr>
          <w:rFonts w:hint="default" w:ascii="Times New Roman" w:hAnsi="Times New Roman" w:cs="Times New Roman"/>
          <w:color w:val="auto"/>
          <w:highlight w:val="none"/>
        </w:rPr>
        <w:t>区青枫北路6号渝兴广场B10栋重庆市公共资源交易中心开标区（具体请</w:t>
      </w:r>
      <w:r>
        <w:rPr>
          <w:rFonts w:hint="eastAsia" w:ascii="Times New Roman" w:hAnsi="Times New Roman" w:cs="Times New Roman"/>
          <w:color w:val="auto"/>
          <w:highlight w:val="none"/>
          <w:lang w:val="en-US" w:eastAsia="zh-CN"/>
        </w:rPr>
        <w:t>登录</w:t>
      </w:r>
      <w:r>
        <w:rPr>
          <w:rFonts w:hint="default" w:ascii="Times New Roman" w:hAnsi="Times New Roman" w:cs="Times New Roman"/>
          <w:color w:val="auto"/>
          <w:highlight w:val="none"/>
        </w:rPr>
        <w:t>重庆市公共资源交易网（www.cqggzy.com）查询或递交文件当日见交易中心大厅电子显示屏）。</w:t>
      </w:r>
    </w:p>
    <w:p w14:paraId="74CB0B24">
      <w:pPr>
        <w:rPr>
          <w:rFonts w:hint="default" w:ascii="Times New Roman" w:hAnsi="Times New Roman" w:cs="Times New Roman"/>
          <w:color w:val="auto"/>
          <w:highlight w:val="none"/>
        </w:rPr>
      </w:pPr>
      <w:r>
        <w:rPr>
          <w:rFonts w:hint="default" w:ascii="Times New Roman" w:hAnsi="Times New Roman" w:cs="Times New Roman"/>
          <w:color w:val="auto"/>
          <w:highlight w:val="none"/>
        </w:rPr>
        <w:t>5.3 逾期送达的参选文件，不予接收。</w:t>
      </w:r>
    </w:p>
    <w:p w14:paraId="286E9A16">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6. 发布公告的媒介</w:t>
      </w:r>
      <w:bookmarkEnd w:id="23"/>
      <w:bookmarkEnd w:id="24"/>
      <w:bookmarkEnd w:id="25"/>
    </w:p>
    <w:p w14:paraId="7121A2AE">
      <w:pPr>
        <w:rPr>
          <w:rFonts w:hint="default" w:ascii="Times New Roman" w:hAnsi="Times New Roman" w:cs="Times New Roman"/>
          <w:color w:val="auto"/>
          <w:highlight w:val="none"/>
        </w:rPr>
      </w:pPr>
      <w:bookmarkStart w:id="26" w:name="_Toc469574670"/>
      <w:bookmarkStart w:id="27" w:name="_Toc250565211"/>
      <w:bookmarkStart w:id="28" w:name="_Toc89675133"/>
      <w:bookmarkStart w:id="29" w:name="_Toc55379224"/>
      <w:r>
        <w:rPr>
          <w:rFonts w:hint="default" w:ascii="Times New Roman" w:hAnsi="Times New Roman" w:cs="Times New Roman"/>
          <w:color w:val="auto"/>
          <w:highlight w:val="none"/>
        </w:rPr>
        <w:t>本次比选公告同时在《重庆市公共资源交易网（www.cqggzy.com）》《重庆三峡银行官网（https://www.ccqtgb.com）》和《中国</w:t>
      </w:r>
      <w:r>
        <w:rPr>
          <w:rFonts w:hint="eastAsia" w:ascii="Times New Roman" w:hAnsi="Times New Roman" w:cs="Times New Roman"/>
          <w:color w:val="auto"/>
          <w:highlight w:val="none"/>
          <w:lang w:val="en-US" w:eastAsia="zh-CN"/>
        </w:rPr>
        <w:t>招标投标</w:t>
      </w:r>
      <w:r>
        <w:rPr>
          <w:rFonts w:hint="default" w:ascii="Times New Roman" w:hAnsi="Times New Roman" w:cs="Times New Roman"/>
          <w:color w:val="auto"/>
          <w:highlight w:val="none"/>
        </w:rPr>
        <w:t>公共服务平台（http://www.cebpubservice.com）》上发布。</w:t>
      </w:r>
    </w:p>
    <w:p w14:paraId="1F73D98A">
      <w:pPr>
        <w:pStyle w:val="3"/>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 报名方式</w:t>
      </w:r>
    </w:p>
    <w:p w14:paraId="327DBCE0">
      <w:pPr>
        <w:bidi w:val="0"/>
        <w:rPr>
          <w:rFonts w:hint="default" w:ascii="Times New Roman" w:hAnsi="Times New Roman" w:cs="Times New Roman"/>
          <w:color w:val="auto"/>
          <w:highlight w:val="none"/>
          <w:shd w:val="clear" w:color="auto" w:fill="auto"/>
          <w:lang w:val="en-US" w:eastAsia="zh-CN"/>
        </w:rPr>
      </w:pPr>
      <w:r>
        <w:rPr>
          <w:rFonts w:hint="default" w:ascii="Times New Roman" w:hAnsi="Times New Roman" w:cs="Times New Roman"/>
          <w:color w:val="auto"/>
          <w:highlight w:val="none"/>
          <w:lang w:val="en-US" w:eastAsia="zh-CN"/>
        </w:rPr>
        <w:t>本项目从比选文件发出之日起至</w:t>
      </w:r>
      <w:r>
        <w:rPr>
          <w:rFonts w:hint="default" w:ascii="Times New Roman" w:hAnsi="Times New Roman" w:cs="Times New Roman"/>
          <w:color w:val="auto"/>
          <w:highlight w:val="none"/>
          <w:u w:val="single"/>
          <w:lang w:val="en-US" w:eastAsia="zh-CN"/>
        </w:rPr>
        <w:t>2024</w:t>
      </w:r>
      <w:r>
        <w:rPr>
          <w:rFonts w:hint="default" w:ascii="Times New Roman" w:hAnsi="Times New Roman" w:cs="Times New Roman"/>
          <w:color w:val="auto"/>
          <w:highlight w:val="none"/>
          <w:u w:val="none"/>
          <w:lang w:val="en-US" w:eastAsia="zh-CN"/>
        </w:rPr>
        <w:t>年</w:t>
      </w:r>
      <w:r>
        <w:rPr>
          <w:rFonts w:hint="eastAsia" w:ascii="Times New Roman" w:hAnsi="Times New Roman" w:cs="Times New Roman"/>
          <w:color w:val="auto"/>
          <w:highlight w:val="none"/>
          <w:u w:val="single"/>
          <w:lang w:val="en-US" w:eastAsia="zh-CN"/>
        </w:rPr>
        <w:t>10</w:t>
      </w:r>
      <w:r>
        <w:rPr>
          <w:rFonts w:hint="default" w:ascii="Times New Roman" w:hAnsi="Times New Roman" w:cs="Times New Roman"/>
          <w:color w:val="auto"/>
          <w:highlight w:val="none"/>
          <w:u w:val="none"/>
          <w:lang w:val="en-US" w:eastAsia="zh-CN"/>
        </w:rPr>
        <w:t>月</w:t>
      </w:r>
      <w:r>
        <w:rPr>
          <w:rFonts w:hint="eastAsia" w:ascii="Times New Roman" w:hAnsi="Times New Roman" w:cs="Times New Roman"/>
          <w:color w:val="auto"/>
          <w:highlight w:val="none"/>
          <w:u w:val="single"/>
          <w:lang w:val="en-US" w:eastAsia="zh-CN"/>
        </w:rPr>
        <w:t>12</w:t>
      </w:r>
      <w:r>
        <w:rPr>
          <w:rFonts w:hint="default" w:ascii="Times New Roman" w:hAnsi="Times New Roman" w:cs="Times New Roman"/>
          <w:color w:val="auto"/>
          <w:highlight w:val="none"/>
          <w:u w:val="none"/>
          <w:lang w:val="en-US" w:eastAsia="zh-CN"/>
        </w:rPr>
        <w:t>日</w:t>
      </w:r>
      <w:r>
        <w:rPr>
          <w:rFonts w:hint="default" w:ascii="Times New Roman" w:hAnsi="Times New Roman" w:cs="Times New Roman"/>
          <w:color w:val="auto"/>
          <w:highlight w:val="none"/>
          <w:u w:val="single"/>
          <w:lang w:val="en-US" w:eastAsia="zh-CN"/>
        </w:rPr>
        <w:t>17</w:t>
      </w:r>
      <w:r>
        <w:rPr>
          <w:rFonts w:hint="default" w:ascii="Times New Roman" w:hAnsi="Times New Roman" w:cs="Times New Roman"/>
          <w:color w:val="auto"/>
          <w:highlight w:val="none"/>
          <w:u w:val="none"/>
          <w:lang w:val="en-US" w:eastAsia="zh-CN"/>
        </w:rPr>
        <w:t>时</w:t>
      </w:r>
      <w:r>
        <w:rPr>
          <w:rFonts w:hint="default" w:ascii="Times New Roman" w:hAnsi="Times New Roman" w:cs="Times New Roman"/>
          <w:color w:val="auto"/>
          <w:highlight w:val="none"/>
          <w:u w:val="single"/>
          <w:lang w:val="en-US" w:eastAsia="zh-CN"/>
        </w:rPr>
        <w:t>00</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rPr>
        <w:instrText xml:space="preserve">HYPERLINK "mailto:分进行报名，供应商将《报名函》（加盖供应商公章）扫描后发送至邮箱wangming@ccqtgb.com。《报名函》详见比选文件第三章附件一。"</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分进行报名，</w:t>
      </w:r>
      <w:r>
        <w:rPr>
          <w:rFonts w:hint="eastAsia" w:ascii="Times New Roman" w:hAnsi="Times New Roman" w:cs="Times New Roman"/>
          <w:color w:val="auto"/>
          <w:highlight w:val="none"/>
          <w:lang w:val="en-US" w:eastAsia="zh-CN"/>
        </w:rPr>
        <w:t>参选人需</w:t>
      </w:r>
      <w:r>
        <w:rPr>
          <w:rFonts w:hint="default" w:ascii="Times New Roman" w:hAnsi="Times New Roman" w:cs="Times New Roman"/>
          <w:color w:val="auto"/>
          <w:highlight w:val="none"/>
          <w:lang w:val="en-US" w:eastAsia="zh-CN"/>
        </w:rPr>
        <w:t>将《报名函》（加盖</w:t>
      </w:r>
      <w:r>
        <w:rPr>
          <w:rFonts w:hint="eastAsia" w:ascii="Times New Roman" w:hAnsi="Times New Roman" w:cs="Times New Roman"/>
          <w:color w:val="auto"/>
          <w:highlight w:val="none"/>
          <w:lang w:val="en-US" w:eastAsia="zh-CN"/>
        </w:rPr>
        <w:t>参选人</w:t>
      </w:r>
      <w:r>
        <w:rPr>
          <w:rFonts w:hint="default" w:ascii="Times New Roman" w:hAnsi="Times New Roman" w:cs="Times New Roman"/>
          <w:color w:val="auto"/>
          <w:highlight w:val="none"/>
          <w:lang w:val="en-US" w:eastAsia="zh-CN"/>
        </w:rPr>
        <w:t>公章）扫描后发送至邮箱hujianquan@ccqtgb.com</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《报名函》详见比选文件</w:t>
      </w:r>
      <w:r>
        <w:rPr>
          <w:rFonts w:hint="eastAsia" w:ascii="Times New Roman" w:hAnsi="Times New Roman" w:cs="Times New Roman"/>
          <w:color w:val="auto"/>
          <w:highlight w:val="none"/>
          <w:lang w:val="en-US" w:eastAsia="zh-CN"/>
        </w:rPr>
        <w:t>第三章</w:t>
      </w:r>
      <w:r>
        <w:rPr>
          <w:rFonts w:hint="default" w:ascii="Times New Roman" w:hAnsi="Times New Roman" w:cs="Times New Roman"/>
          <w:color w:val="auto"/>
          <w:highlight w:val="none"/>
          <w:lang w:val="en-US" w:eastAsia="zh-CN"/>
        </w:rPr>
        <w:t>附件</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fldChar w:fldCharType="end"/>
      </w:r>
    </w:p>
    <w:p w14:paraId="51C13735">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报名联系人：</w:t>
      </w:r>
      <w:r>
        <w:rPr>
          <w:rFonts w:hint="eastAsia" w:ascii="Times New Roman" w:hAnsi="Times New Roman" w:cs="Times New Roman"/>
          <w:color w:val="auto"/>
          <w:highlight w:val="none"/>
          <w:lang w:val="en-US" w:eastAsia="zh-CN"/>
        </w:rPr>
        <w:t>滕磊，</w:t>
      </w:r>
      <w:r>
        <w:rPr>
          <w:rFonts w:hint="default" w:ascii="Times New Roman" w:hAnsi="Times New Roman" w:cs="Times New Roman"/>
          <w:color w:val="auto"/>
          <w:highlight w:val="none"/>
          <w:lang w:val="en-US" w:eastAsia="zh-CN"/>
        </w:rPr>
        <w:t>联系电话：023-8889</w:t>
      </w:r>
      <w:r>
        <w:rPr>
          <w:rFonts w:hint="eastAsia" w:ascii="Times New Roman" w:hAnsi="Times New Roman" w:cs="Times New Roman"/>
          <w:color w:val="auto"/>
          <w:highlight w:val="none"/>
          <w:lang w:val="en-US" w:eastAsia="zh-CN"/>
        </w:rPr>
        <w:t>0368。</w:t>
      </w:r>
    </w:p>
    <w:p w14:paraId="7A9433AD">
      <w:pPr>
        <w:pStyle w:val="3"/>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 POC测试安排</w:t>
      </w:r>
    </w:p>
    <w:p w14:paraId="6233D404">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本项目POC测试环节根据项目实际情况安排，测试方案详见比选文件</w:t>
      </w:r>
      <w:r>
        <w:rPr>
          <w:rFonts w:hint="eastAsia" w:ascii="Times New Roman" w:hAnsi="Times New Roman" w:cs="Times New Roman"/>
          <w:color w:val="auto"/>
          <w:highlight w:val="none"/>
          <w:lang w:val="en-US" w:eastAsia="zh-CN"/>
        </w:rPr>
        <w:t>第三章</w:t>
      </w:r>
      <w:r>
        <w:rPr>
          <w:rFonts w:hint="default" w:ascii="Times New Roman" w:hAnsi="Times New Roman" w:cs="Times New Roman"/>
          <w:color w:val="auto"/>
          <w:highlight w:val="none"/>
          <w:lang w:val="en-US" w:eastAsia="zh-CN"/>
        </w:rPr>
        <w:t>附件</w:t>
      </w:r>
      <w:r>
        <w:rPr>
          <w:rFonts w:hint="eastAsia" w:ascii="Times New Roman" w:hAnsi="Times New Roman" w:cs="Times New Roman"/>
          <w:color w:val="auto"/>
          <w:highlight w:val="none"/>
          <w:lang w:val="en-US" w:eastAsia="zh-CN"/>
        </w:rPr>
        <w:t>二</w:t>
      </w:r>
      <w:r>
        <w:rPr>
          <w:rFonts w:hint="default" w:ascii="Times New Roman" w:hAnsi="Times New Roman" w:cs="Times New Roman"/>
          <w:color w:val="auto"/>
          <w:highlight w:val="none"/>
          <w:lang w:val="en-US" w:eastAsia="zh-CN"/>
        </w:rPr>
        <w:t>。</w:t>
      </w:r>
    </w:p>
    <w:p w14:paraId="20F7BFCC">
      <w:pPr>
        <w:pStyle w:val="3"/>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lang w:val="en-US" w:eastAsia="zh-CN"/>
        </w:rPr>
        <w:t>. 联系方式</w:t>
      </w:r>
      <w:bookmarkEnd w:id="26"/>
      <w:bookmarkEnd w:id="27"/>
      <w:bookmarkEnd w:id="28"/>
      <w:bookmarkEnd w:id="29"/>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3C1AB1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D302BD9">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.1 项目需求咨询</w:t>
            </w:r>
          </w:p>
        </w:tc>
      </w:tr>
      <w:tr w14:paraId="4738725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549044D">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项目联系人：</w:t>
            </w:r>
            <w:r>
              <w:rPr>
                <w:rFonts w:hint="default" w:ascii="Times New Roman" w:hAnsi="Times New Roman" w:eastAsia="宋体" w:cs="Times New Roman"/>
                <w:color w:val="auto"/>
                <w:sz w:val="24"/>
                <w:szCs w:val="24"/>
                <w:highlight w:val="none"/>
                <w:lang w:val="en-US" w:eastAsia="zh-CN"/>
              </w:rPr>
              <w:t>滕磊</w:t>
            </w:r>
          </w:p>
        </w:tc>
        <w:tc>
          <w:tcPr>
            <w:tcW w:w="5333" w:type="dxa"/>
            <w:tcBorders>
              <w:top w:val="nil"/>
              <w:left w:val="nil"/>
              <w:bottom w:val="nil"/>
              <w:right w:val="single" w:color="auto" w:sz="4" w:space="0"/>
            </w:tcBorders>
          </w:tcPr>
          <w:p w14:paraId="5539828E">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023-88890368</w:t>
            </w:r>
          </w:p>
        </w:tc>
      </w:tr>
      <w:tr w14:paraId="7CE591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97A7B4">
            <w:pPr>
              <w:spacing w:line="360" w:lineRule="auto"/>
              <w:ind w:firstLine="0" w:firstLineChars="0"/>
              <w:jc w:val="left"/>
              <w:rPr>
                <w:rFonts w:hint="default" w:ascii="Times New Roman" w:hAnsi="Times New Roman" w:eastAsia="宋体" w:cs="Times New Roman"/>
                <w:color w:val="auto"/>
                <w:sz w:val="24"/>
                <w:szCs w:val="24"/>
                <w:highlight w:val="none"/>
              </w:rPr>
            </w:pPr>
          </w:p>
        </w:tc>
      </w:tr>
      <w:tr w14:paraId="1118B881">
        <w:tblPrEx>
          <w:tblCellMar>
            <w:top w:w="0" w:type="dxa"/>
            <w:left w:w="108" w:type="dxa"/>
            <w:bottom w:w="0" w:type="dxa"/>
            <w:right w:w="108" w:type="dxa"/>
          </w:tblCellMar>
        </w:tblPrEx>
        <w:trPr>
          <w:trHeight w:val="90" w:hRule="atLeast"/>
        </w:trPr>
        <w:tc>
          <w:tcPr>
            <w:tcW w:w="8423" w:type="dxa"/>
            <w:gridSpan w:val="2"/>
            <w:tcBorders>
              <w:top w:val="nil"/>
              <w:left w:val="single" w:color="auto" w:sz="4" w:space="0"/>
              <w:bottom w:val="nil"/>
              <w:right w:val="single" w:color="auto" w:sz="4" w:space="0"/>
            </w:tcBorders>
          </w:tcPr>
          <w:p w14:paraId="5299EC56">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.2 项目流程咨询</w:t>
            </w:r>
          </w:p>
        </w:tc>
      </w:tr>
      <w:tr w14:paraId="6FC374F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D00D92">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平台服务机构：重庆联合产权交易所集团股份有限公司</w:t>
            </w:r>
          </w:p>
        </w:tc>
      </w:tr>
      <w:tr w14:paraId="6AFECC9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8426AF8">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平台联系人：</w:t>
            </w:r>
            <w:r>
              <w:rPr>
                <w:rFonts w:hint="default"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老师</w:t>
            </w:r>
          </w:p>
        </w:tc>
        <w:tc>
          <w:tcPr>
            <w:tcW w:w="5333" w:type="dxa"/>
            <w:tcBorders>
              <w:top w:val="nil"/>
              <w:left w:val="nil"/>
              <w:bottom w:val="nil"/>
              <w:right w:val="single" w:color="auto" w:sz="4" w:space="0"/>
            </w:tcBorders>
          </w:tcPr>
          <w:p w14:paraId="06B8FCBC">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联系方式：023-63621694</w:t>
            </w:r>
          </w:p>
        </w:tc>
      </w:tr>
      <w:tr w14:paraId="54FD231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100F63">
            <w:pPr>
              <w:spacing w:line="360" w:lineRule="auto"/>
              <w:ind w:firstLine="0" w:firstLineChars="0"/>
              <w:jc w:val="left"/>
              <w:rPr>
                <w:rFonts w:hint="default" w:ascii="Times New Roman" w:hAnsi="Times New Roman" w:eastAsia="宋体" w:cs="Times New Roman"/>
                <w:color w:val="auto"/>
                <w:sz w:val="24"/>
                <w:szCs w:val="24"/>
                <w:highlight w:val="none"/>
              </w:rPr>
            </w:pPr>
          </w:p>
        </w:tc>
      </w:tr>
      <w:tr w14:paraId="397FF03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BF5774">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.3 比选人联系方式</w:t>
            </w:r>
          </w:p>
        </w:tc>
      </w:tr>
      <w:tr w14:paraId="5AFBA83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8BE79E2">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联系人：敬希</w:t>
            </w:r>
          </w:p>
        </w:tc>
        <w:tc>
          <w:tcPr>
            <w:tcW w:w="5333" w:type="dxa"/>
            <w:tcBorders>
              <w:top w:val="nil"/>
              <w:left w:val="nil"/>
              <w:bottom w:val="nil"/>
              <w:right w:val="single" w:color="auto" w:sz="4" w:space="0"/>
            </w:tcBorders>
          </w:tcPr>
          <w:p w14:paraId="5A49AC28">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联系方式：023-88890395</w:t>
            </w:r>
          </w:p>
        </w:tc>
      </w:tr>
      <w:tr w14:paraId="752FEAA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7ED97ED">
            <w:pPr>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比选人地址：重庆市渝北区嘉州路88号中渝国际都会4号写字楼21层</w:t>
            </w:r>
          </w:p>
        </w:tc>
      </w:tr>
    </w:tbl>
    <w:p w14:paraId="74086D9D">
      <w:pPr>
        <w:numPr>
          <w:ilvl w:val="-1"/>
          <w:numId w:val="0"/>
        </w:numPr>
        <w:ind w:firstLine="0" w:firstLineChars="0"/>
        <w:rPr>
          <w:rFonts w:hint="default"/>
          <w:color w:val="auto"/>
          <w:highlight w:val="none"/>
        </w:rPr>
      </w:pPr>
    </w:p>
    <w:p w14:paraId="7F9C737D">
      <w:pPr>
        <w:rPr>
          <w:rFonts w:hint="default" w:ascii="Times New Roman" w:hAnsi="Times New Roman" w:cs="Times New Roman"/>
          <w:color w:val="auto"/>
          <w:highlight w:val="none"/>
        </w:rPr>
      </w:pPr>
    </w:p>
    <w:p w14:paraId="2BF59FCD">
      <w:pPr>
        <w:rPr>
          <w:rFonts w:hint="default" w:ascii="Times New Roman" w:hAnsi="Times New Roman" w:cs="Times New Roman"/>
          <w:color w:val="auto"/>
          <w:highlight w:val="none"/>
        </w:rPr>
      </w:pPr>
    </w:p>
    <w:p w14:paraId="6EF7F3E4">
      <w:pPr>
        <w:spacing w:line="240" w:lineRule="auto"/>
        <w:ind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重庆三峡银行股份有限公司</w:t>
      </w:r>
    </w:p>
    <w:p w14:paraId="3B8EA405">
      <w:pPr>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日</w:t>
      </w:r>
    </w:p>
    <w:p w14:paraId="1D665A67">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bookmarkStart w:id="30" w:name="_Toc89675159"/>
      <w:bookmarkStart w:id="31" w:name="_Toc303066033"/>
    </w:p>
    <w:p w14:paraId="2505900C">
      <w:pPr>
        <w:ind w:firstLine="0" w:firstLineChars="0"/>
        <w:rPr>
          <w:rFonts w:hint="default" w:ascii="Times New Roman" w:hAnsi="Times New Roman" w:cs="Times New Roman"/>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478F12C">
      <w:pPr>
        <w:pStyle w:val="2"/>
        <w:rPr>
          <w:rFonts w:hint="default" w:ascii="Times New Roman" w:hAnsi="Times New Roman" w:cs="Times New Roman"/>
          <w:color w:val="auto"/>
          <w:highlight w:val="none"/>
        </w:rPr>
      </w:pPr>
      <w:bookmarkStart w:id="32" w:name="_Toc16213"/>
      <w:bookmarkStart w:id="33" w:name="_Toc13707"/>
      <w:r>
        <w:rPr>
          <w:rFonts w:hint="default" w:ascii="Times New Roman" w:hAnsi="Times New Roman" w:cs="Times New Roman"/>
          <w:color w:val="auto"/>
          <w:highlight w:val="none"/>
        </w:rPr>
        <w:t>第二章 参选人须知</w:t>
      </w:r>
      <w:bookmarkEnd w:id="30"/>
      <w:bookmarkEnd w:id="31"/>
      <w:bookmarkEnd w:id="32"/>
      <w:bookmarkEnd w:id="33"/>
    </w:p>
    <w:p w14:paraId="5458CA9E">
      <w:pPr>
        <w:pStyle w:val="3"/>
        <w:rPr>
          <w:rFonts w:hint="default" w:ascii="Times New Roman" w:hAnsi="Times New Roman" w:cs="Times New Roman"/>
          <w:color w:val="auto"/>
          <w:highlight w:val="none"/>
        </w:rPr>
      </w:pPr>
      <w:bookmarkStart w:id="34" w:name="_Toc89675160"/>
      <w:r>
        <w:rPr>
          <w:rFonts w:hint="default" w:ascii="Times New Roman" w:hAnsi="Times New Roman" w:cs="Times New Roman"/>
          <w:color w:val="auto"/>
          <w:highlight w:val="none"/>
        </w:rPr>
        <w:t>1. 项目信息</w:t>
      </w:r>
    </w:p>
    <w:p w14:paraId="664B1E68">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1.1 比选人</w:t>
      </w:r>
    </w:p>
    <w:p w14:paraId="22455BFE">
      <w:pPr>
        <w:rPr>
          <w:rFonts w:hint="default" w:ascii="Times New Roman" w:hAnsi="Times New Roman" w:cs="Times New Roman"/>
          <w:color w:val="auto"/>
          <w:highlight w:val="none"/>
        </w:rPr>
      </w:pPr>
      <w:r>
        <w:rPr>
          <w:rFonts w:hint="default" w:ascii="Times New Roman" w:hAnsi="Times New Roman" w:cs="Times New Roman"/>
          <w:color w:val="auto"/>
          <w:highlight w:val="none"/>
        </w:rPr>
        <w:t>重庆三峡银行股份有限公司。</w:t>
      </w:r>
    </w:p>
    <w:p w14:paraId="47A4E919">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1.2 最高限价</w:t>
      </w:r>
    </w:p>
    <w:p w14:paraId="01D2DC6F">
      <w:pP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本项目最高限价为：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15</w:t>
      </w:r>
      <w:r>
        <w:rPr>
          <w:rStyle w:val="41"/>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u w:val="single"/>
          <w:lang w:val="en-US" w:eastAsia="zh-CN"/>
        </w:rPr>
        <w:t>500</w:t>
      </w:r>
      <w:r>
        <w:rPr>
          <w:rFonts w:hint="eastAsia" w:ascii="Times New Roman" w:hAnsi="Times New Roman" w:cs="Times New Roman"/>
          <w:color w:val="auto"/>
          <w:highlight w:val="none"/>
          <w:u w:val="single"/>
          <w:lang w:val="en-US" w:eastAsia="zh-CN"/>
        </w:rPr>
        <w:t>,</w:t>
      </w:r>
      <w:r>
        <w:rPr>
          <w:rFonts w:hint="default" w:ascii="Times New Roman" w:hAnsi="Times New Roman" w:cs="Times New Roman"/>
          <w:color w:val="auto"/>
          <w:highlight w:val="none"/>
          <w:u w:val="single"/>
          <w:lang w:val="en-US" w:eastAsia="zh-CN"/>
        </w:rPr>
        <w:t>000元</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（人民币大写：</w:t>
      </w:r>
      <w:r>
        <w:rPr>
          <w:rFonts w:hint="default" w:ascii="Times New Roman" w:hAnsi="Times New Roman" w:cs="Times New Roman"/>
          <w:color w:val="auto"/>
          <w:highlight w:val="none"/>
          <w:u w:val="single"/>
        </w:rPr>
        <w:t xml:space="preserve"> 壹仟伍佰伍拾万元整 </w:t>
      </w:r>
      <w:r>
        <w:rPr>
          <w:rFonts w:hint="default" w:ascii="Times New Roman" w:hAnsi="Times New Roman" w:cs="Times New Roman"/>
          <w:color w:val="auto"/>
          <w:highlight w:val="none"/>
        </w:rPr>
        <w:t>）。</w:t>
      </w:r>
    </w:p>
    <w:tbl>
      <w:tblPr>
        <w:tblStyle w:val="22"/>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215"/>
        <w:gridCol w:w="1419"/>
        <w:gridCol w:w="1274"/>
        <w:gridCol w:w="1597"/>
      </w:tblGrid>
      <w:tr w14:paraId="3DED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vAlign w:val="center"/>
          </w:tcPr>
          <w:p w14:paraId="4735FA2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项目名称</w:t>
            </w:r>
          </w:p>
        </w:tc>
        <w:tc>
          <w:tcPr>
            <w:tcW w:w="2215" w:type="dxa"/>
            <w:vAlign w:val="center"/>
          </w:tcPr>
          <w:p w14:paraId="10B6048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lang w:eastAsia="zh-CN"/>
              </w:rPr>
            </w:pPr>
            <w:r>
              <w:rPr>
                <w:rFonts w:hint="default" w:ascii="Times New Roman" w:hAnsi="Times New Roman" w:eastAsia="宋体" w:cs="Times New Roman"/>
                <w:b/>
                <w:snapToGrid w:val="0"/>
                <w:color w:val="auto"/>
                <w:kern w:val="0"/>
                <w:sz w:val="21"/>
                <w:szCs w:val="21"/>
                <w:highlight w:val="none"/>
                <w:lang w:eastAsia="zh-CN"/>
              </w:rPr>
              <w:t>项目内容</w:t>
            </w:r>
          </w:p>
        </w:tc>
        <w:tc>
          <w:tcPr>
            <w:tcW w:w="1419" w:type="dxa"/>
            <w:vAlign w:val="center"/>
          </w:tcPr>
          <w:p w14:paraId="39F7DDC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最高限价</w:t>
            </w:r>
          </w:p>
        </w:tc>
        <w:tc>
          <w:tcPr>
            <w:tcW w:w="1274" w:type="dxa"/>
            <w:vAlign w:val="center"/>
          </w:tcPr>
          <w:p w14:paraId="11CECBF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中选人数量</w:t>
            </w:r>
          </w:p>
        </w:tc>
        <w:tc>
          <w:tcPr>
            <w:tcW w:w="1597" w:type="dxa"/>
            <w:vAlign w:val="center"/>
          </w:tcPr>
          <w:p w14:paraId="4A658B7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snapToGrid w:val="0"/>
                <w:color w:val="auto"/>
                <w:kern w:val="0"/>
                <w:sz w:val="21"/>
                <w:szCs w:val="21"/>
                <w:highlight w:val="none"/>
              </w:rPr>
            </w:pPr>
            <w:r>
              <w:rPr>
                <w:rFonts w:hint="default" w:ascii="Times New Roman" w:hAnsi="Times New Roman" w:eastAsia="宋体" w:cs="Times New Roman"/>
                <w:b/>
                <w:snapToGrid w:val="0"/>
                <w:color w:val="auto"/>
                <w:kern w:val="0"/>
                <w:sz w:val="21"/>
                <w:szCs w:val="21"/>
                <w:highlight w:val="none"/>
              </w:rPr>
              <w:t>备注</w:t>
            </w:r>
          </w:p>
        </w:tc>
      </w:tr>
      <w:tr w14:paraId="3D08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3" w:type="dxa"/>
            <w:vMerge w:val="restart"/>
            <w:tcBorders>
              <w:left w:val="single" w:color="auto" w:sz="4" w:space="0"/>
            </w:tcBorders>
            <w:vAlign w:val="center"/>
          </w:tcPr>
          <w:p w14:paraId="5A39C52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sz w:val="21"/>
                <w:szCs w:val="21"/>
                <w:highlight w:val="none"/>
              </w:rPr>
              <w:t>新一代数据中台项目（一期）</w:t>
            </w:r>
          </w:p>
        </w:tc>
        <w:tc>
          <w:tcPr>
            <w:tcW w:w="2215" w:type="dxa"/>
            <w:tcBorders>
              <w:left w:val="single" w:color="auto" w:sz="4" w:space="0"/>
            </w:tcBorders>
            <w:vAlign w:val="center"/>
          </w:tcPr>
          <w:p w14:paraId="3CEFD22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湖仓一体底座</w:t>
            </w:r>
          </w:p>
        </w:tc>
        <w:tc>
          <w:tcPr>
            <w:tcW w:w="1419" w:type="dxa"/>
            <w:tcBorders>
              <w:left w:val="single" w:color="auto" w:sz="4" w:space="0"/>
            </w:tcBorders>
            <w:vAlign w:val="center"/>
          </w:tcPr>
          <w:p w14:paraId="7287A3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4</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500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1274" w:type="dxa"/>
            <w:vMerge w:val="restart"/>
            <w:tcBorders>
              <w:left w:val="single" w:color="auto" w:sz="4" w:space="0"/>
            </w:tcBorders>
            <w:vAlign w:val="center"/>
          </w:tcPr>
          <w:p w14:paraId="1E0FA70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1</w:t>
            </w:r>
          </w:p>
        </w:tc>
        <w:tc>
          <w:tcPr>
            <w:tcW w:w="1597" w:type="dxa"/>
            <w:vMerge w:val="restart"/>
            <w:tcBorders>
              <w:left w:val="single" w:color="auto" w:sz="4" w:space="0"/>
            </w:tcBorders>
            <w:vAlign w:val="center"/>
          </w:tcPr>
          <w:p w14:paraId="7402627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含税价</w:t>
            </w:r>
            <w:r>
              <w:rPr>
                <w:rFonts w:hint="default" w:ascii="Times New Roman" w:hAnsi="Times New Roman" w:eastAsia="宋体" w:cs="Times New Roman"/>
                <w:snapToGrid w:val="0"/>
                <w:color w:val="auto"/>
                <w:kern w:val="0"/>
                <w:sz w:val="21"/>
                <w:szCs w:val="21"/>
                <w:highlight w:val="none"/>
                <w:shd w:val="clear" w:color="auto" w:fill="auto"/>
              </w:rPr>
              <w:t>（具体税率按国家相关规定</w:t>
            </w:r>
            <w:r>
              <w:rPr>
                <w:rFonts w:hint="default" w:ascii="Times New Roman" w:hAnsi="Times New Roman" w:eastAsia="宋体" w:cs="Times New Roman"/>
                <w:snapToGrid w:val="0"/>
                <w:color w:val="auto"/>
                <w:kern w:val="0"/>
                <w:sz w:val="21"/>
                <w:szCs w:val="21"/>
                <w:highlight w:val="none"/>
                <w:shd w:val="clear" w:color="auto" w:fill="auto"/>
                <w:lang w:eastAsia="zh-CN"/>
              </w:rPr>
              <w:t>执行</w:t>
            </w:r>
            <w:r>
              <w:rPr>
                <w:rFonts w:hint="default" w:ascii="Times New Roman" w:hAnsi="Times New Roman" w:eastAsia="宋体" w:cs="Times New Roman"/>
                <w:snapToGrid w:val="0"/>
                <w:color w:val="auto"/>
                <w:kern w:val="0"/>
                <w:sz w:val="21"/>
                <w:szCs w:val="21"/>
                <w:highlight w:val="none"/>
                <w:shd w:val="clear" w:color="auto" w:fill="auto"/>
              </w:rPr>
              <w:t>）</w:t>
            </w:r>
          </w:p>
        </w:tc>
      </w:tr>
      <w:tr w14:paraId="4490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11" w:type="dxa"/>
            <w:vMerge w:val="continue"/>
            <w:tcBorders>
              <w:left w:val="single" w:color="auto" w:sz="4" w:space="0"/>
            </w:tcBorders>
            <w:vAlign w:val="center"/>
          </w:tcPr>
          <w:p w14:paraId="5DD1CB2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2215" w:type="dxa"/>
            <w:tcBorders>
              <w:left w:val="single" w:color="auto" w:sz="4" w:space="0"/>
            </w:tcBorders>
            <w:vAlign w:val="center"/>
          </w:tcPr>
          <w:p w14:paraId="27639B6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数据作业平台</w:t>
            </w:r>
          </w:p>
        </w:tc>
        <w:tc>
          <w:tcPr>
            <w:tcW w:w="1419" w:type="dxa"/>
            <w:tcBorders>
              <w:left w:val="single" w:color="auto" w:sz="4" w:space="0"/>
            </w:tcBorders>
            <w:vAlign w:val="center"/>
          </w:tcPr>
          <w:p w14:paraId="65126CD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3</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1329" w:type="dxa"/>
            <w:vMerge w:val="continue"/>
            <w:tcBorders>
              <w:left w:val="single" w:color="auto" w:sz="4" w:space="0"/>
            </w:tcBorders>
            <w:vAlign w:val="center"/>
          </w:tcPr>
          <w:p w14:paraId="55321C2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597" w:type="dxa"/>
            <w:vMerge w:val="continue"/>
            <w:tcBorders>
              <w:left w:val="single" w:color="auto" w:sz="4" w:space="0"/>
            </w:tcBorders>
            <w:vAlign w:val="center"/>
          </w:tcPr>
          <w:p w14:paraId="18CCCDC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r>
      <w:tr w14:paraId="2C03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11" w:type="dxa"/>
            <w:vMerge w:val="continue"/>
            <w:tcBorders>
              <w:left w:val="single" w:color="auto" w:sz="4" w:space="0"/>
            </w:tcBorders>
            <w:vAlign w:val="center"/>
          </w:tcPr>
          <w:p w14:paraId="54C36A6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2215" w:type="dxa"/>
            <w:tcBorders>
              <w:left w:val="single" w:color="auto" w:sz="4" w:space="0"/>
            </w:tcBorders>
            <w:vAlign w:val="center"/>
          </w:tcPr>
          <w:p w14:paraId="7B1741A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数据中台实施和迁移</w:t>
            </w:r>
          </w:p>
        </w:tc>
        <w:tc>
          <w:tcPr>
            <w:tcW w:w="1419" w:type="dxa"/>
            <w:tcBorders>
              <w:left w:val="single" w:color="auto" w:sz="4" w:space="0"/>
            </w:tcBorders>
            <w:vAlign w:val="center"/>
          </w:tcPr>
          <w:p w14:paraId="3C5C19C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8</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c>
          <w:tcPr>
            <w:tcW w:w="1329" w:type="dxa"/>
            <w:vMerge w:val="continue"/>
            <w:tcBorders>
              <w:left w:val="single" w:color="auto" w:sz="4" w:space="0"/>
            </w:tcBorders>
            <w:vAlign w:val="center"/>
          </w:tcPr>
          <w:p w14:paraId="0ADCFC1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c>
          <w:tcPr>
            <w:tcW w:w="1597" w:type="dxa"/>
            <w:vMerge w:val="continue"/>
            <w:tcBorders>
              <w:left w:val="single" w:color="auto" w:sz="4" w:space="0"/>
            </w:tcBorders>
            <w:vAlign w:val="center"/>
          </w:tcPr>
          <w:p w14:paraId="47F7C6C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 w:val="21"/>
                <w:szCs w:val="21"/>
                <w:highlight w:val="none"/>
              </w:rPr>
            </w:pPr>
          </w:p>
        </w:tc>
      </w:tr>
      <w:tr w14:paraId="0726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38" w:type="dxa"/>
            <w:gridSpan w:val="2"/>
            <w:tcBorders>
              <w:left w:val="single" w:color="auto" w:sz="4" w:space="0"/>
            </w:tcBorders>
            <w:vAlign w:val="center"/>
          </w:tcPr>
          <w:p w14:paraId="56053F0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合计最高限价</w:t>
            </w:r>
          </w:p>
        </w:tc>
        <w:tc>
          <w:tcPr>
            <w:tcW w:w="4290" w:type="dxa"/>
            <w:gridSpan w:val="3"/>
            <w:tcBorders>
              <w:left w:val="single" w:color="auto" w:sz="4" w:space="0"/>
            </w:tcBorders>
            <w:vAlign w:val="center"/>
          </w:tcPr>
          <w:p w14:paraId="37B4A27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15</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500</w:t>
            </w:r>
            <w:r>
              <w:rPr>
                <w:rStyle w:val="41"/>
                <w:rFonts w:hint="eastAsia" w:ascii="Times New Roman" w:hAnsi="Times New Roman" w:cs="Times New Roman"/>
                <w:color w:val="auto"/>
                <w:highlight w:val="none"/>
                <w:lang w:val="en-US" w:eastAsia="zh-CN"/>
              </w:rPr>
              <w:t>,</w:t>
            </w:r>
            <w:r>
              <w:rPr>
                <w:rFonts w:hint="default" w:ascii="Times New Roman" w:hAnsi="Times New Roman" w:eastAsia="宋体" w:cs="Times New Roman"/>
                <w:snapToGrid w:val="0"/>
                <w:color w:val="auto"/>
                <w:kern w:val="0"/>
                <w:sz w:val="21"/>
                <w:szCs w:val="21"/>
                <w:highlight w:val="none"/>
                <w:lang w:val="en-US" w:eastAsia="zh-CN"/>
              </w:rPr>
              <w:t>000元</w:t>
            </w:r>
          </w:p>
        </w:tc>
      </w:tr>
      <w:tr w14:paraId="7A6B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29" w:type="dxa"/>
            <w:gridSpan w:val="5"/>
            <w:tcBorders>
              <w:left w:val="single" w:color="auto" w:sz="4" w:space="0"/>
            </w:tcBorders>
            <w:vAlign w:val="center"/>
          </w:tcPr>
          <w:p w14:paraId="4C3D7FDE">
            <w:pPr>
              <w:keepNext w:val="0"/>
              <w:keepLines w:val="0"/>
              <w:pageBreakBefore w:val="0"/>
              <w:widowControl w:val="0"/>
              <w:tabs>
                <w:tab w:val="left" w:pos="3928"/>
              </w:tabs>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shd w:val="clear" w:color="auto" w:fill="auto"/>
              </w:rPr>
              <w:t>注：任意一项</w:t>
            </w:r>
            <w:r>
              <w:rPr>
                <w:rFonts w:hint="eastAsia" w:ascii="Times New Roman" w:hAnsi="Times New Roman" w:cs="Times New Roman"/>
                <w:snapToGrid w:val="0"/>
                <w:color w:val="auto"/>
                <w:kern w:val="0"/>
                <w:sz w:val="21"/>
                <w:szCs w:val="21"/>
                <w:highlight w:val="none"/>
                <w:shd w:val="clear" w:color="auto" w:fill="auto"/>
                <w:lang w:val="en-US" w:eastAsia="zh-CN"/>
              </w:rPr>
              <w:t>参选报</w:t>
            </w:r>
            <w:r>
              <w:rPr>
                <w:rFonts w:hint="default" w:ascii="Times New Roman" w:hAnsi="Times New Roman" w:eastAsia="宋体" w:cs="Times New Roman"/>
                <w:snapToGrid w:val="0"/>
                <w:color w:val="auto"/>
                <w:kern w:val="0"/>
                <w:sz w:val="21"/>
                <w:szCs w:val="21"/>
                <w:highlight w:val="none"/>
                <w:shd w:val="clear" w:color="auto" w:fill="auto"/>
              </w:rPr>
              <w:t>价超出其最高限价的，</w:t>
            </w:r>
            <w:r>
              <w:rPr>
                <w:rFonts w:hint="eastAsia" w:ascii="Times New Roman" w:hAnsi="Times New Roman" w:cs="Times New Roman"/>
                <w:snapToGrid w:val="0"/>
                <w:color w:val="auto"/>
                <w:kern w:val="0"/>
                <w:sz w:val="21"/>
                <w:szCs w:val="21"/>
                <w:highlight w:val="none"/>
                <w:shd w:val="clear" w:color="auto" w:fill="auto"/>
                <w:lang w:val="en-US" w:eastAsia="zh-CN"/>
              </w:rPr>
              <w:t>将被取消参选资格。</w:t>
            </w:r>
          </w:p>
        </w:tc>
      </w:tr>
    </w:tbl>
    <w:p w14:paraId="637A7B19">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1.3 项目概况</w:t>
      </w:r>
    </w:p>
    <w:bookmarkEnd w:id="34"/>
    <w:p w14:paraId="67505EFA">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color w:val="auto"/>
          <w:highlight w:val="none"/>
          <w:lang w:val="en-US" w:eastAsia="zh-CN"/>
        </w:rPr>
      </w:pPr>
      <w:bookmarkStart w:id="35" w:name="_Toc89675161"/>
      <w:r>
        <w:rPr>
          <w:rFonts w:hint="eastAsia" w:ascii="Times New Roman" w:hAnsi="Times New Roman" w:cs="Times New Roman"/>
          <w:color w:val="auto"/>
          <w:highlight w:val="none"/>
          <w:lang w:val="en-US" w:eastAsia="zh-CN"/>
        </w:rPr>
        <w:t>本项目的主要建设内容包含引入和部署集成两套软件产品，并在此基础上完成湖仓实施及迁移重构。</w:t>
      </w:r>
    </w:p>
    <w:p w14:paraId="6E1AD0C1">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两套软件产品具体包括：一</w:t>
      </w:r>
      <w:r>
        <w:rPr>
          <w:rFonts w:hint="eastAsia" w:ascii="Times New Roman" w:hAnsi="Times New Roman" w:eastAsia="宋体" w:cs="Times New Roman"/>
          <w:color w:val="auto"/>
          <w:highlight w:val="none"/>
          <w:lang w:val="en-US" w:eastAsia="zh-CN"/>
        </w:rPr>
        <w:t>是以</w:t>
      </w:r>
      <w:r>
        <w:rPr>
          <w:rFonts w:hint="eastAsia" w:ascii="Times New Roman" w:hAnsi="Times New Roman" w:cs="Times New Roman"/>
          <w:color w:val="auto"/>
          <w:highlight w:val="none"/>
          <w:lang w:val="en-US" w:eastAsia="zh-CN"/>
        </w:rPr>
        <w:t>分布式大数据技术体系</w:t>
      </w:r>
      <w:r>
        <w:rPr>
          <w:rFonts w:hint="eastAsia" w:ascii="Times New Roman" w:hAnsi="Times New Roman" w:eastAsia="宋体" w:cs="Times New Roman"/>
          <w:color w:val="auto"/>
          <w:highlight w:val="none"/>
          <w:lang w:val="en-US" w:eastAsia="zh-CN"/>
        </w:rPr>
        <w:t>为主的湖仓一体底座，为新一代数据中台提供统一的数据基础设施，实现</w:t>
      </w:r>
      <w:r>
        <w:rPr>
          <w:rFonts w:hint="eastAsia" w:ascii="Times New Roman" w:hAnsi="Times New Roman" w:cs="Times New Roman"/>
          <w:color w:val="auto"/>
          <w:highlight w:val="none"/>
          <w:lang w:val="en-US" w:eastAsia="zh-CN"/>
        </w:rPr>
        <w:t>数据资产的集中管理和高效利用；二是以“</w:t>
      </w:r>
      <w:r>
        <w:rPr>
          <w:rFonts w:hint="default" w:ascii="Times New Roman" w:hAnsi="Times New Roman" w:cs="Times New Roman"/>
          <w:color w:val="auto"/>
          <w:highlight w:val="none"/>
        </w:rPr>
        <w:t>DataOps</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数据敏捷研发体系</w:t>
      </w:r>
      <w:r>
        <w:rPr>
          <w:rFonts w:hint="eastAsia" w:ascii="Times New Roman" w:hAnsi="Times New Roman" w:cs="Times New Roman"/>
          <w:color w:val="auto"/>
          <w:highlight w:val="none"/>
          <w:lang w:val="en-US" w:eastAsia="zh-CN"/>
        </w:rPr>
        <w:t>为基础</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深度融合</w:t>
      </w:r>
      <w:r>
        <w:rPr>
          <w:rFonts w:hint="eastAsia" w:ascii="Times New Roman" w:hAnsi="Times New Roman" w:cs="Times New Roman"/>
          <w:color w:val="auto"/>
          <w:highlight w:val="none"/>
          <w:lang w:eastAsia="zh-CN"/>
        </w:rPr>
        <w:t>数据治理、数据质量</w:t>
      </w:r>
      <w:r>
        <w:rPr>
          <w:rFonts w:hint="eastAsia" w:ascii="Times New Roman" w:hAnsi="Times New Roman" w:cs="Times New Roman"/>
          <w:color w:val="auto"/>
          <w:highlight w:val="none"/>
          <w:lang w:val="en-US" w:eastAsia="zh-CN"/>
        </w:rPr>
        <w:t>和</w:t>
      </w:r>
      <w:r>
        <w:rPr>
          <w:rFonts w:hint="eastAsia" w:ascii="Times New Roman" w:hAnsi="Times New Roman" w:cs="Times New Roman"/>
          <w:color w:val="auto"/>
          <w:highlight w:val="none"/>
          <w:lang w:eastAsia="zh-CN"/>
        </w:rPr>
        <w:t>数据安全管控要求</w:t>
      </w:r>
      <w:r>
        <w:rPr>
          <w:rFonts w:hint="eastAsia" w:ascii="Times New Roman" w:hAnsi="Times New Roman" w:cs="Times New Roman"/>
          <w:color w:val="auto"/>
          <w:highlight w:val="none"/>
          <w:lang w:val="en-US" w:eastAsia="zh-CN"/>
        </w:rPr>
        <w:t>的数据作业平台</w:t>
      </w:r>
      <w:r>
        <w:rPr>
          <w:rFonts w:hint="eastAsia" w:ascii="Times New Roman" w:hAnsi="Times New Roman" w:cs="Times New Roman"/>
          <w:color w:val="auto"/>
          <w:highlight w:val="none"/>
          <w:lang w:eastAsia="zh-CN"/>
        </w:rPr>
        <w:t>，进一步优化数据作业及需求交付流程</w:t>
      </w:r>
      <w:r>
        <w:rPr>
          <w:rFonts w:hint="eastAsia" w:ascii="Times New Roman" w:hAnsi="Times New Roman" w:cs="Times New Roman"/>
          <w:color w:val="auto"/>
          <w:highlight w:val="none"/>
          <w:lang w:val="en-US" w:eastAsia="zh-CN"/>
        </w:rPr>
        <w:t>和质效。</w:t>
      </w:r>
    </w:p>
    <w:p w14:paraId="3965B6E3">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湖仓实施及迁移重构具体包括：对本行现有数据平台进行调研分析，完成湖仓整体建设规划。在建设规划成果基础上，基于湖仓一体底座和数据作业平台完成湖仓实施及迁移重构，包括数据标准化建设、数据采集版块建设、主题模型版块建设、应用集市版块建设、数据服务版块建设、实时数仓版块建设、数据实验区建设和灾备建设，以及按新架构迁移整合现有的历史数据、数据服务、业务报表等，最后根据湖仓实施经验和成果建立成熟且完善的数据管理与运营体系。</w:t>
      </w:r>
    </w:p>
    <w:p w14:paraId="43B0121C">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1.4 项目目标</w:t>
      </w:r>
    </w:p>
    <w:p w14:paraId="2D4A818D">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本项目以建设</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采、存、算、管、治、用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一体的新一代数据中台为核心目标，</w:t>
      </w:r>
      <w:r>
        <w:rPr>
          <w:rFonts w:hint="default" w:ascii="Times New Roman" w:hAnsi="Times New Roman" w:cs="Times New Roman"/>
          <w:color w:val="auto"/>
          <w:highlight w:val="none"/>
        </w:rPr>
        <w:t>实现全行数据的统一汇聚、整合、管理和应用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具体建设目标包括但不限于：</w:t>
      </w:r>
    </w:p>
    <w:p w14:paraId="62B68CAB">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ascii="Times New Roman" w:hAnsi="Times New Roman" w:cs="Times New Roman"/>
          <w:b/>
          <w:bCs/>
          <w:color w:val="auto"/>
          <w:highlight w:val="none"/>
          <w:lang w:eastAsia="zh-CN"/>
        </w:rPr>
      </w:pPr>
      <w:r>
        <w:rPr>
          <w:rFonts w:hint="eastAsia" w:ascii="Times New Roman" w:hAnsi="Times New Roman" w:cs="Times New Roman"/>
          <w:b/>
          <w:bCs/>
          <w:color w:val="auto"/>
          <w:kern w:val="2"/>
          <w:sz w:val="24"/>
          <w:szCs w:val="20"/>
          <w:highlight w:val="none"/>
          <w:lang w:val="en-US" w:eastAsia="zh-CN" w:bidi="ar-SA"/>
        </w:rPr>
        <w:t>（1）</w:t>
      </w:r>
      <w:r>
        <w:rPr>
          <w:rFonts w:hint="default" w:ascii="Times New Roman" w:hAnsi="Times New Roman" w:cs="Times New Roman"/>
          <w:b/>
          <w:bCs/>
          <w:color w:val="auto"/>
          <w:highlight w:val="none"/>
        </w:rPr>
        <w:t>全面落实</w:t>
      </w:r>
      <w:r>
        <w:rPr>
          <w:rFonts w:hint="eastAsia" w:ascii="Times New Roman" w:hAnsi="Times New Roman" w:cs="Times New Roman"/>
          <w:b/>
          <w:bCs/>
          <w:color w:val="auto"/>
          <w:highlight w:val="none"/>
          <w:lang w:val="en-US" w:eastAsia="zh-CN"/>
        </w:rPr>
        <w:t>信创</w:t>
      </w:r>
      <w:r>
        <w:rPr>
          <w:rFonts w:hint="default" w:ascii="Times New Roman" w:hAnsi="Times New Roman" w:cs="Times New Roman"/>
          <w:b/>
          <w:bCs/>
          <w:color w:val="auto"/>
          <w:highlight w:val="none"/>
        </w:rPr>
        <w:t>要求</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强化</w:t>
      </w:r>
      <w:r>
        <w:rPr>
          <w:rFonts w:hint="eastAsia" w:ascii="Times New Roman" w:hAnsi="Times New Roman" w:cs="Times New Roman"/>
          <w:b/>
          <w:bCs/>
          <w:color w:val="auto"/>
          <w:highlight w:val="none"/>
          <w:lang w:eastAsia="zh-CN"/>
        </w:rPr>
        <w:t>自主可控能力</w:t>
      </w:r>
    </w:p>
    <w:p w14:paraId="49E389A1">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b w:val="0"/>
          <w:bCs w:val="0"/>
          <w:color w:val="auto"/>
          <w:kern w:val="2"/>
          <w:sz w:val="24"/>
          <w:szCs w:val="20"/>
          <w:highlight w:val="none"/>
          <w:lang w:val="en-US" w:eastAsia="zh-CN" w:bidi="ar-SA"/>
        </w:rPr>
      </w:pPr>
      <w:r>
        <w:rPr>
          <w:rFonts w:hint="eastAsia" w:ascii="Times New Roman" w:hAnsi="Times New Roman" w:cs="Times New Roman"/>
          <w:b w:val="0"/>
          <w:bCs w:val="0"/>
          <w:color w:val="auto"/>
          <w:kern w:val="2"/>
          <w:sz w:val="24"/>
          <w:szCs w:val="20"/>
          <w:highlight w:val="none"/>
          <w:lang w:val="en-US" w:eastAsia="zh-CN" w:bidi="ar-SA"/>
        </w:rPr>
        <w:t>严格遵循信创相关要求和全行IT整体规划，实现新一代数据中台全面信创化，确保软硬件环境（如主机、操作系统、中间件、数据库等）完全国产化适配，落实监管对信创建设的要求，强化自主可控能力，增强业务连续性保障能力。</w:t>
      </w:r>
    </w:p>
    <w:p w14:paraId="54B06B5E">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ascii="Times New Roman" w:hAnsi="Times New Roman" w:cs="Times New Roman"/>
          <w:b/>
          <w:bCs/>
          <w:color w:val="auto"/>
          <w:kern w:val="2"/>
          <w:sz w:val="24"/>
          <w:szCs w:val="20"/>
          <w:highlight w:val="none"/>
          <w:lang w:val="en-US" w:eastAsia="zh-CN" w:bidi="ar-SA"/>
        </w:rPr>
      </w:pPr>
      <w:r>
        <w:rPr>
          <w:rFonts w:hint="eastAsia" w:ascii="Times New Roman" w:hAnsi="Times New Roman" w:cs="Times New Roman"/>
          <w:b/>
          <w:bCs/>
          <w:color w:val="auto"/>
          <w:kern w:val="2"/>
          <w:sz w:val="24"/>
          <w:szCs w:val="20"/>
          <w:highlight w:val="none"/>
          <w:lang w:val="en-US" w:eastAsia="zh-CN" w:bidi="ar-SA"/>
        </w:rPr>
        <w:t>（</w:t>
      </w:r>
      <w:r>
        <w:rPr>
          <w:rFonts w:hint="eastAsia" w:ascii="Times New Roman" w:hAnsi="Times New Roman" w:eastAsia="宋体" w:cs="Times New Roman"/>
          <w:b/>
          <w:bCs/>
          <w:color w:val="auto"/>
          <w:kern w:val="2"/>
          <w:sz w:val="24"/>
          <w:szCs w:val="20"/>
          <w:highlight w:val="none"/>
          <w:lang w:val="en-US" w:eastAsia="zh-CN" w:bidi="ar-SA"/>
        </w:rPr>
        <w:t>2）</w:t>
      </w:r>
      <w:r>
        <w:rPr>
          <w:rFonts w:hint="eastAsia" w:ascii="Times New Roman" w:hAnsi="Times New Roman" w:cs="Times New Roman"/>
          <w:b/>
          <w:bCs/>
          <w:color w:val="auto"/>
          <w:kern w:val="2"/>
          <w:sz w:val="24"/>
          <w:szCs w:val="20"/>
          <w:highlight w:val="none"/>
          <w:lang w:val="en-US" w:eastAsia="zh-CN" w:bidi="ar-SA"/>
        </w:rPr>
        <w:t>统一技术架构体系，增强存储计算能力</w:t>
      </w:r>
    </w:p>
    <w:p w14:paraId="6F4EDD96">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b w:val="0"/>
          <w:bCs w:val="0"/>
          <w:color w:val="auto"/>
          <w:kern w:val="2"/>
          <w:sz w:val="24"/>
          <w:szCs w:val="20"/>
          <w:highlight w:val="none"/>
          <w:lang w:val="en-US" w:eastAsia="zh-CN" w:bidi="ar-SA"/>
        </w:rPr>
      </w:pPr>
      <w:r>
        <w:rPr>
          <w:rFonts w:hint="eastAsia" w:ascii="Times New Roman" w:hAnsi="Times New Roman" w:cs="Times New Roman"/>
          <w:b w:val="0"/>
          <w:bCs w:val="0"/>
          <w:color w:val="auto"/>
          <w:kern w:val="2"/>
          <w:sz w:val="24"/>
          <w:szCs w:val="20"/>
          <w:highlight w:val="none"/>
          <w:lang w:val="en-US" w:eastAsia="zh-CN" w:bidi="ar-SA"/>
        </w:rPr>
        <w:t>构建以</w:t>
      </w:r>
      <w:r>
        <w:rPr>
          <w:rFonts w:hint="eastAsia" w:ascii="Times New Roman" w:hAnsi="Times New Roman" w:cs="Times New Roman"/>
          <w:color w:val="auto"/>
          <w:highlight w:val="none"/>
          <w:lang w:val="en-US" w:eastAsia="zh-CN"/>
        </w:rPr>
        <w:t>分布式大数据技术体系</w:t>
      </w:r>
      <w:r>
        <w:rPr>
          <w:rFonts w:hint="eastAsia" w:ascii="Times New Roman" w:hAnsi="Times New Roman" w:cs="Times New Roman"/>
          <w:b w:val="0"/>
          <w:bCs w:val="0"/>
          <w:color w:val="auto"/>
          <w:kern w:val="2"/>
          <w:sz w:val="24"/>
          <w:szCs w:val="20"/>
          <w:highlight w:val="none"/>
          <w:lang w:val="en-US" w:eastAsia="zh-CN" w:bidi="ar-SA"/>
        </w:rPr>
        <w:t>为主的湖仓一体底座，统一新一代数据中台技术架构体系，实现数据统一采集、存储和管理，减少因数据搬迁导致的数据一致性问题。同时，强化分布式数据存储和计算服务，提升数据处理效率和数据计算能力，以支撑PB级的数据处理需求，满足创新业务和新兴用数场景。</w:t>
      </w:r>
    </w:p>
    <w:p w14:paraId="3E589CA0">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kern w:val="2"/>
          <w:sz w:val="24"/>
          <w:szCs w:val="20"/>
          <w:highlight w:val="none"/>
          <w:lang w:val="en-US" w:eastAsia="zh-CN" w:bidi="ar-SA"/>
        </w:rPr>
        <w:t>（3</w:t>
      </w:r>
      <w:r>
        <w:rPr>
          <w:rFonts w:hint="eastAsia" w:ascii="Times New Roman" w:hAnsi="Times New Roman" w:eastAsia="宋体" w:cs="Times New Roman"/>
          <w:b/>
          <w:bCs/>
          <w:color w:val="auto"/>
          <w:kern w:val="2"/>
          <w:sz w:val="24"/>
          <w:szCs w:val="20"/>
          <w:highlight w:val="none"/>
          <w:lang w:val="en-US" w:eastAsia="zh-CN" w:bidi="ar-SA"/>
        </w:rPr>
        <w:t>）</w:t>
      </w:r>
      <w:r>
        <w:rPr>
          <w:rFonts w:hint="eastAsia" w:ascii="Times New Roman" w:hAnsi="Times New Roman" w:cs="Times New Roman"/>
          <w:b/>
          <w:bCs/>
          <w:color w:val="auto"/>
          <w:kern w:val="2"/>
          <w:sz w:val="24"/>
          <w:szCs w:val="20"/>
          <w:highlight w:val="none"/>
          <w:lang w:val="en-US" w:eastAsia="zh-CN" w:bidi="ar-SA"/>
        </w:rPr>
        <w:t>深度融合数据治理，提升数据作业</w:t>
      </w:r>
      <w:r>
        <w:rPr>
          <w:rFonts w:hint="eastAsia" w:ascii="Times New Roman" w:hAnsi="Times New Roman" w:cs="Times New Roman"/>
          <w:b/>
          <w:bCs/>
          <w:color w:val="auto"/>
          <w:highlight w:val="none"/>
          <w:lang w:val="en-US" w:eastAsia="zh-CN"/>
        </w:rPr>
        <w:t>质效</w:t>
      </w:r>
    </w:p>
    <w:p w14:paraId="4B14E8B8">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b w:val="0"/>
          <w:bCs w:val="0"/>
          <w:color w:val="auto"/>
          <w:kern w:val="2"/>
          <w:sz w:val="24"/>
          <w:szCs w:val="20"/>
          <w:highlight w:val="none"/>
          <w:lang w:val="en-US" w:eastAsia="zh-CN" w:bidi="ar-SA"/>
        </w:rPr>
      </w:pPr>
      <w:r>
        <w:rPr>
          <w:rFonts w:hint="eastAsia" w:ascii="Times New Roman" w:hAnsi="Times New Roman" w:cs="Times New Roman"/>
          <w:color w:val="auto"/>
          <w:highlight w:val="none"/>
          <w:lang w:val="en-US" w:eastAsia="zh-CN"/>
        </w:rPr>
        <w:t>搭建以“</w:t>
      </w:r>
      <w:r>
        <w:rPr>
          <w:rFonts w:hint="default" w:ascii="Times New Roman" w:hAnsi="Times New Roman" w:cs="Times New Roman"/>
          <w:color w:val="auto"/>
          <w:highlight w:val="none"/>
        </w:rPr>
        <w:t>DataOps</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数据敏捷研发体系</w:t>
      </w:r>
      <w:r>
        <w:rPr>
          <w:rFonts w:hint="eastAsia" w:ascii="Times New Roman" w:hAnsi="Times New Roman" w:cs="Times New Roman"/>
          <w:color w:val="auto"/>
          <w:highlight w:val="none"/>
          <w:lang w:val="en-US" w:eastAsia="zh-CN"/>
        </w:rPr>
        <w:t>为基础，</w:t>
      </w:r>
      <w:r>
        <w:rPr>
          <w:rFonts w:hint="eastAsia" w:ascii="Times New Roman" w:hAnsi="Times New Roman" w:cs="Times New Roman"/>
          <w:b w:val="0"/>
          <w:bCs w:val="0"/>
          <w:color w:val="auto"/>
          <w:kern w:val="2"/>
          <w:sz w:val="24"/>
          <w:szCs w:val="20"/>
          <w:highlight w:val="none"/>
          <w:lang w:val="en-US" w:eastAsia="zh-CN" w:bidi="ar-SA"/>
        </w:rPr>
        <w:t>将数据治理的流程与数据的全生命周期相融合的数据作业平台，实现“规范即设计，设计即开发，开发即治理”的开发治理一体化理念，使数据治理贯穿需求分析、设计开发、测试上线、运营维护等全流程，进一步提升数据研发、运营、管控和应用的质效。</w:t>
      </w:r>
    </w:p>
    <w:p w14:paraId="0D513AD1">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b/>
          <w:bCs/>
          <w:color w:val="auto"/>
          <w:highlight w:val="none"/>
          <w:lang w:val="en-US" w:eastAsia="zh-CN"/>
        </w:rPr>
        <w:t>（4）</w:t>
      </w:r>
      <w:r>
        <w:rPr>
          <w:rFonts w:hint="default" w:ascii="Times New Roman" w:hAnsi="Times New Roman" w:cs="Times New Roman"/>
          <w:b/>
          <w:bCs/>
          <w:color w:val="auto"/>
          <w:highlight w:val="none"/>
        </w:rPr>
        <w:t>提</w:t>
      </w:r>
      <w:r>
        <w:rPr>
          <w:rFonts w:hint="eastAsia" w:ascii="Times New Roman" w:hAnsi="Times New Roman" w:cs="Times New Roman"/>
          <w:b/>
          <w:bCs/>
          <w:color w:val="auto"/>
          <w:highlight w:val="none"/>
          <w:lang w:val="en-US" w:eastAsia="zh-CN"/>
        </w:rPr>
        <w:t>高</w:t>
      </w:r>
      <w:r>
        <w:rPr>
          <w:rFonts w:hint="default" w:ascii="Times New Roman" w:hAnsi="Times New Roman" w:cs="Times New Roman"/>
          <w:b/>
          <w:bCs/>
          <w:color w:val="auto"/>
          <w:highlight w:val="none"/>
        </w:rPr>
        <w:t>数据</w:t>
      </w:r>
      <w:r>
        <w:rPr>
          <w:rFonts w:hint="eastAsia" w:ascii="Times New Roman" w:hAnsi="Times New Roman" w:cs="Times New Roman"/>
          <w:b/>
          <w:bCs/>
          <w:color w:val="auto"/>
          <w:highlight w:val="none"/>
          <w:lang w:val="en-US" w:eastAsia="zh-CN"/>
        </w:rPr>
        <w:t>处理效能</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满足</w:t>
      </w:r>
      <w:r>
        <w:rPr>
          <w:rFonts w:hint="eastAsia" w:ascii="Times New Roman" w:hAnsi="Times New Roman" w:cs="Times New Roman"/>
          <w:b/>
          <w:bCs/>
          <w:color w:val="auto"/>
          <w:highlight w:val="none"/>
          <w:lang w:val="en-US" w:eastAsia="zh-CN"/>
        </w:rPr>
        <w:t>数据即时性要</w:t>
      </w:r>
      <w:r>
        <w:rPr>
          <w:rFonts w:hint="default" w:ascii="Times New Roman" w:hAnsi="Times New Roman" w:cs="Times New Roman"/>
          <w:b/>
          <w:bCs/>
          <w:color w:val="auto"/>
          <w:highlight w:val="none"/>
        </w:rPr>
        <w:t>求</w:t>
      </w:r>
    </w:p>
    <w:p w14:paraId="361EEFAD">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优化</w:t>
      </w:r>
      <w:r>
        <w:rPr>
          <w:rFonts w:hint="eastAsia" w:ascii="Times New Roman" w:hAnsi="Times New Roman" w:eastAsia="宋体" w:cs="Times New Roman"/>
          <w:color w:val="auto"/>
          <w:highlight w:val="none"/>
          <w:lang w:val="en-US" w:eastAsia="zh-CN"/>
        </w:rPr>
        <w:t>批量</w:t>
      </w:r>
      <w:r>
        <w:rPr>
          <w:rFonts w:hint="eastAsia" w:ascii="Times New Roman" w:hAnsi="Times New Roman" w:cs="Times New Roman"/>
          <w:color w:val="auto"/>
          <w:highlight w:val="none"/>
          <w:lang w:val="en-US" w:eastAsia="zh-CN"/>
        </w:rPr>
        <w:t>处理</w:t>
      </w:r>
      <w:r>
        <w:rPr>
          <w:rFonts w:hint="eastAsia" w:ascii="Times New Roman" w:hAnsi="Times New Roman" w:eastAsia="宋体" w:cs="Times New Roman"/>
          <w:color w:val="auto"/>
          <w:highlight w:val="none"/>
          <w:lang w:val="en-US" w:eastAsia="zh-CN"/>
        </w:rPr>
        <w:t>效率</w:t>
      </w:r>
      <w:r>
        <w:rPr>
          <w:rFonts w:hint="eastAsia" w:ascii="Times New Roman" w:hAnsi="Times New Roman" w:cs="Times New Roman"/>
          <w:color w:val="auto"/>
          <w:highlight w:val="none"/>
          <w:lang w:val="en-US" w:eastAsia="zh-CN"/>
        </w:rPr>
        <w:t>。充分利用系统资源，优化数据加工链路，合理配置数据作业调度任务，满足日终批量处理时间要求，严格按照时间要求提供批量数据处理结果。</w:t>
      </w:r>
    </w:p>
    <w:p w14:paraId="76EE7CC9">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增强实时处理能力。提升数据采集时效性，支撑秒级数据采集或统计场景，为业务营销、风险防控、内部运营等领域提供更及时的数据支持，满足业务对数据的快速响应要求。</w:t>
      </w:r>
    </w:p>
    <w:p w14:paraId="349159E9">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（5）增强数据服务能力，释放数据价值</w:t>
      </w:r>
    </w:p>
    <w:p w14:paraId="705CF29F">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通过构建</w:t>
      </w:r>
      <w:r>
        <w:rPr>
          <w:rFonts w:hint="default" w:ascii="Times New Roman" w:hAnsi="Times New Roman" w:cs="Times New Roman"/>
          <w:color w:val="auto"/>
          <w:highlight w:val="none"/>
          <w:lang w:val="en-US" w:eastAsia="zh-CN"/>
        </w:rPr>
        <w:t>数据主题模型</w:t>
      </w:r>
      <w:r>
        <w:rPr>
          <w:rFonts w:hint="eastAsia" w:ascii="Times New Roman" w:hAnsi="Times New Roman" w:cs="Times New Roman"/>
          <w:color w:val="auto"/>
          <w:highlight w:val="none"/>
          <w:lang w:val="en-US" w:eastAsia="zh-CN"/>
        </w:rPr>
        <w:t>和各类应用集市，提升数据应用的开发交付效率，为个人客户数字营销平台、操作风险系统、标签管理平台等系统提供精准高效的数据支持；建立业务自助分析模式，降低数据提取和分析门槛，减少数据建设到决策分析的时间，充分释放数据价值。</w:t>
      </w:r>
    </w:p>
    <w:p w14:paraId="74D76148">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2. 参选人</w:t>
      </w:r>
      <w:bookmarkEnd w:id="35"/>
    </w:p>
    <w:p w14:paraId="358E3C5D">
      <w:pPr>
        <w:rPr>
          <w:rFonts w:hint="default" w:ascii="Times New Roman" w:hAnsi="Times New Roman" w:cs="Times New Roman"/>
          <w:color w:val="auto"/>
          <w:highlight w:val="none"/>
        </w:rPr>
      </w:pPr>
      <w:r>
        <w:rPr>
          <w:rFonts w:hint="default" w:ascii="Times New Roman" w:hAnsi="Times New Roman" w:cs="Times New Roman"/>
          <w:color w:val="auto"/>
          <w:highlight w:val="none"/>
        </w:rPr>
        <w:t>2.1 合格参选人条件</w:t>
      </w:r>
    </w:p>
    <w:p w14:paraId="3FC7DB7D">
      <w:pPr>
        <w:rPr>
          <w:rFonts w:hint="default" w:ascii="Times New Roman" w:hAnsi="Times New Roman" w:cs="Times New Roman"/>
          <w:color w:val="auto"/>
          <w:highlight w:val="none"/>
        </w:rPr>
      </w:pPr>
      <w:r>
        <w:rPr>
          <w:rFonts w:hint="default" w:ascii="Times New Roman" w:hAnsi="Times New Roman" w:cs="Times New Roman"/>
          <w:color w:val="auto"/>
          <w:highlight w:val="none"/>
        </w:rPr>
        <w:t>合格参选人应完全符合比选文件第一章中规定的参选人资格条件，并对比选文件作出实质性响应。</w:t>
      </w:r>
    </w:p>
    <w:p w14:paraId="74F829FA">
      <w:pPr>
        <w:rPr>
          <w:rFonts w:hint="default" w:ascii="Times New Roman" w:hAnsi="Times New Roman" w:cs="Times New Roman"/>
          <w:color w:val="auto"/>
          <w:highlight w:val="none"/>
        </w:rPr>
      </w:pPr>
      <w:r>
        <w:rPr>
          <w:rFonts w:hint="default" w:ascii="Times New Roman" w:hAnsi="Times New Roman" w:cs="Times New Roman"/>
          <w:color w:val="auto"/>
          <w:highlight w:val="none"/>
        </w:rPr>
        <w:t>2.2 参选人的风险</w:t>
      </w:r>
    </w:p>
    <w:p w14:paraId="63B3131E">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参选人没有按照比选文件要求提供全部资料，或者参选人没有对比选文件在各方面作出实质性响应，可能导致参选被拒绝或评定为无效参选。</w:t>
      </w:r>
    </w:p>
    <w:p w14:paraId="515B3F89">
      <w:pPr>
        <w:pStyle w:val="3"/>
        <w:rPr>
          <w:rFonts w:hint="default" w:ascii="Times New Roman" w:hAnsi="Times New Roman" w:cs="Times New Roman"/>
          <w:color w:val="auto"/>
          <w:highlight w:val="none"/>
        </w:rPr>
      </w:pPr>
      <w:bookmarkStart w:id="36" w:name="_Toc89675162"/>
      <w:r>
        <w:rPr>
          <w:rFonts w:hint="default" w:ascii="Times New Roman" w:hAnsi="Times New Roman" w:cs="Times New Roman"/>
          <w:color w:val="auto"/>
          <w:highlight w:val="none"/>
        </w:rPr>
        <w:t>3. 比选文件</w:t>
      </w:r>
      <w:bookmarkEnd w:id="36"/>
    </w:p>
    <w:p w14:paraId="6D2AF9D8">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比选文件是参选人编制参选文件的依据，是评审委员会评判依据和标准。比选文件也是比选人与中选人签订合同的基础。</w:t>
      </w:r>
    </w:p>
    <w:p w14:paraId="5E71210D">
      <w:pPr>
        <w:rPr>
          <w:rFonts w:hint="default" w:ascii="Times New Roman" w:hAnsi="Times New Roman" w:cs="Times New Roman"/>
          <w:color w:val="auto"/>
          <w:highlight w:val="none"/>
        </w:rPr>
      </w:pPr>
      <w:r>
        <w:rPr>
          <w:rFonts w:hint="default" w:ascii="Times New Roman" w:hAnsi="Times New Roman" w:cs="Times New Roman"/>
          <w:color w:val="auto"/>
          <w:highlight w:val="none"/>
        </w:rPr>
        <w:t>本行对比选文件所作的一切有效的书面通知、修改及补充，都是比选文件不可分割的部分。</w:t>
      </w:r>
    </w:p>
    <w:p w14:paraId="6F76B173">
      <w:pPr>
        <w:pStyle w:val="3"/>
        <w:rPr>
          <w:rFonts w:hint="default" w:ascii="Times New Roman" w:hAnsi="Times New Roman" w:cs="Times New Roman"/>
          <w:color w:val="auto"/>
          <w:highlight w:val="none"/>
        </w:rPr>
      </w:pPr>
      <w:bookmarkStart w:id="37" w:name="_Toc89675163"/>
      <w:r>
        <w:rPr>
          <w:rFonts w:hint="default" w:ascii="Times New Roman" w:hAnsi="Times New Roman" w:cs="Times New Roman"/>
          <w:color w:val="auto"/>
          <w:highlight w:val="none"/>
        </w:rPr>
        <w:t>4. 参选</w:t>
      </w:r>
      <w:bookmarkEnd w:id="37"/>
    </w:p>
    <w:p w14:paraId="35A295DD">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参选人应当按照比选文件的要求编制参选文件，并对比选文件提出的要求和条件作出实质性响应。</w:t>
      </w:r>
    </w:p>
    <w:p w14:paraId="2265E64B">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4.1 参选文件组成</w:t>
      </w:r>
    </w:p>
    <w:p w14:paraId="013AE4DF">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参选文件由参选人所作的一切有效补充、修改和承诺等文件组成，参选人应按照第六章</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参选文件格式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规定的目录顺序组织编写和装订，否则有可能影响参选人的参选文件评审。</w:t>
      </w:r>
    </w:p>
    <w:p w14:paraId="3DB1377F">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4.2 联合参选</w:t>
      </w:r>
    </w:p>
    <w:p w14:paraId="5E553AD2">
      <w:pPr>
        <w:rPr>
          <w:rFonts w:hint="default" w:ascii="Times New Roman" w:hAnsi="Times New Roman" w:cs="Times New Roman"/>
          <w:color w:val="auto"/>
          <w:highlight w:val="none"/>
        </w:rPr>
      </w:pPr>
      <w:r>
        <w:rPr>
          <w:rFonts w:hint="default" w:ascii="Times New Roman" w:hAnsi="Times New Roman" w:cs="Times New Roman"/>
          <w:color w:val="auto"/>
          <w:highlight w:val="none"/>
        </w:rPr>
        <w:t>本比选项目不接受联合参选</w:t>
      </w:r>
    </w:p>
    <w:p w14:paraId="165FA4D2">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4.3 参选有效期</w:t>
      </w:r>
    </w:p>
    <w:p w14:paraId="4E9FC86A">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参选有效期为参选截止日期后90天内。</w:t>
      </w:r>
    </w:p>
    <w:p w14:paraId="12F08E62">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4.4 参选保证金</w:t>
      </w:r>
    </w:p>
    <w:p w14:paraId="2BECA780">
      <w:pPr>
        <w:rPr>
          <w:rFonts w:hint="default" w:ascii="Times New Roman" w:hAnsi="Times New Roman" w:cs="Times New Roman"/>
          <w:color w:val="auto"/>
          <w:highlight w:val="none"/>
        </w:rPr>
      </w:pPr>
      <w:r>
        <w:rPr>
          <w:rFonts w:hint="default" w:ascii="Times New Roman" w:hAnsi="Times New Roman" w:cs="Times New Roman"/>
          <w:color w:val="auto"/>
          <w:highlight w:val="none"/>
        </w:rPr>
        <w:t>4.4.1 参选人应在参选截止时间前，按比选文件第一章规定向比选人缴纳参选保证金。</w:t>
      </w:r>
    </w:p>
    <w:p w14:paraId="6BBF385D">
      <w:pPr>
        <w:rPr>
          <w:rFonts w:hint="default" w:ascii="Times New Roman" w:hAnsi="Times New Roman" w:cs="Times New Roman"/>
          <w:color w:val="auto"/>
          <w:highlight w:val="none"/>
        </w:rPr>
      </w:pPr>
      <w:r>
        <w:rPr>
          <w:rFonts w:hint="default" w:ascii="Times New Roman" w:hAnsi="Times New Roman" w:cs="Times New Roman"/>
          <w:color w:val="auto"/>
          <w:highlight w:val="none"/>
        </w:rPr>
        <w:t>4.4.2 参选保证金为参选的有效约束条件。</w:t>
      </w:r>
    </w:p>
    <w:p w14:paraId="46BA325C">
      <w:pPr>
        <w:rPr>
          <w:rFonts w:hint="default" w:ascii="Times New Roman" w:hAnsi="Times New Roman" w:cs="Times New Roman"/>
          <w:color w:val="auto"/>
          <w:highlight w:val="none"/>
        </w:rPr>
      </w:pPr>
      <w:r>
        <w:rPr>
          <w:rFonts w:hint="default" w:ascii="Times New Roman" w:hAnsi="Times New Roman" w:cs="Times New Roman"/>
          <w:color w:val="auto"/>
          <w:highlight w:val="none"/>
        </w:rPr>
        <w:t>4.4.3 参选保证金有效期与参选文件有效期一致。</w:t>
      </w:r>
    </w:p>
    <w:p w14:paraId="4FA05A42">
      <w:pPr>
        <w:rPr>
          <w:rFonts w:hint="default" w:ascii="Times New Roman" w:hAnsi="Times New Roman" w:cs="Times New Roman"/>
          <w:color w:val="auto"/>
          <w:highlight w:val="none"/>
        </w:rPr>
      </w:pPr>
      <w:r>
        <w:rPr>
          <w:rFonts w:hint="default" w:ascii="Times New Roman" w:hAnsi="Times New Roman" w:cs="Times New Roman"/>
          <w:color w:val="auto"/>
          <w:highlight w:val="none"/>
        </w:rPr>
        <w:t>4.4.4 参选保证金币种应与参选报价币种相同。</w:t>
      </w:r>
    </w:p>
    <w:p w14:paraId="29F52B55">
      <w:pPr>
        <w:rPr>
          <w:rFonts w:hint="default" w:ascii="Times New Roman" w:hAnsi="Times New Roman" w:cs="Times New Roman"/>
          <w:color w:val="auto"/>
          <w:highlight w:val="none"/>
        </w:rPr>
      </w:pPr>
      <w:r>
        <w:rPr>
          <w:rFonts w:hint="default" w:ascii="Times New Roman" w:hAnsi="Times New Roman" w:cs="Times New Roman"/>
          <w:color w:val="auto"/>
          <w:highlight w:val="none"/>
        </w:rPr>
        <w:t>4.4.5 参选保证金的退还：</w:t>
      </w:r>
    </w:p>
    <w:p w14:paraId="7E2AF52C">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2F00D555">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CF896E3">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参选保证金专用账户由重庆市公共资源交易中心制定，关于保证金相关情况的问题请咨询重庆市公共资源交易中心，联系电话023-63621694。</w:t>
      </w:r>
    </w:p>
    <w:p w14:paraId="793A9613">
      <w:pPr>
        <w:rPr>
          <w:rFonts w:hint="default" w:ascii="Times New Roman" w:hAnsi="Times New Roman" w:cs="Times New Roman"/>
          <w:color w:val="auto"/>
          <w:highlight w:val="none"/>
        </w:rPr>
      </w:pPr>
      <w:r>
        <w:rPr>
          <w:rFonts w:hint="default" w:ascii="Times New Roman" w:hAnsi="Times New Roman" w:cs="Times New Roman"/>
          <w:color w:val="auto"/>
          <w:highlight w:val="none"/>
        </w:rPr>
        <w:t>4.4.6 参选人有下列情形之一的，参选保证金将不予退还：</w:t>
      </w:r>
    </w:p>
    <w:p w14:paraId="087F424F">
      <w:pPr>
        <w:rPr>
          <w:rFonts w:hint="default" w:ascii="Times New Roman" w:hAnsi="Times New Roman" w:cs="Times New Roman"/>
          <w:color w:val="auto"/>
          <w:highlight w:val="none"/>
        </w:rPr>
      </w:pPr>
      <w:r>
        <w:rPr>
          <w:rFonts w:hint="default" w:ascii="Times New Roman" w:hAnsi="Times New Roman" w:cs="Times New Roman"/>
          <w:color w:val="auto"/>
          <w:highlight w:val="none"/>
        </w:rPr>
        <w:t>4.4.6.1 参选人在参选有效期内撤销参选文件的；</w:t>
      </w:r>
    </w:p>
    <w:p w14:paraId="6028E2ED">
      <w:pPr>
        <w:rPr>
          <w:rFonts w:hint="default" w:ascii="Times New Roman" w:hAnsi="Times New Roman" w:cs="Times New Roman"/>
          <w:color w:val="auto"/>
          <w:highlight w:val="none"/>
        </w:rPr>
      </w:pPr>
      <w:r>
        <w:rPr>
          <w:rFonts w:hint="default" w:ascii="Times New Roman" w:hAnsi="Times New Roman" w:cs="Times New Roman"/>
          <w:color w:val="auto"/>
          <w:highlight w:val="none"/>
        </w:rPr>
        <w:t>4.4.6.2 参选人在参选过程中弄虚作假，提供虚假材料的；</w:t>
      </w:r>
    </w:p>
    <w:p w14:paraId="1912C42E">
      <w:pPr>
        <w:rPr>
          <w:rFonts w:hint="default" w:ascii="Times New Roman" w:hAnsi="Times New Roman" w:cs="Times New Roman"/>
          <w:color w:val="auto"/>
          <w:highlight w:val="none"/>
        </w:rPr>
      </w:pPr>
      <w:r>
        <w:rPr>
          <w:rFonts w:hint="default" w:ascii="Times New Roman" w:hAnsi="Times New Roman" w:cs="Times New Roman"/>
          <w:color w:val="auto"/>
          <w:highlight w:val="none"/>
        </w:rPr>
        <w:t>4.4.6.3 中选人无正当理由不与比选人签订合同的；</w:t>
      </w:r>
    </w:p>
    <w:p w14:paraId="04BA0D0B">
      <w:pPr>
        <w:rPr>
          <w:rFonts w:hint="default" w:ascii="Times New Roman" w:hAnsi="Times New Roman" w:cs="Times New Roman"/>
          <w:color w:val="auto"/>
          <w:highlight w:val="none"/>
        </w:rPr>
      </w:pPr>
      <w:r>
        <w:rPr>
          <w:rFonts w:hint="default" w:ascii="Times New Roman" w:hAnsi="Times New Roman" w:cs="Times New Roman"/>
          <w:color w:val="auto"/>
          <w:highlight w:val="none"/>
        </w:rPr>
        <w:t>4.4.6.4 中选人将中选项目转让给他人或者在参选文件中未说明且未经比选单位同意，将中选项目分包给他人的；</w:t>
      </w:r>
    </w:p>
    <w:p w14:paraId="547553EE">
      <w:pPr>
        <w:rPr>
          <w:rFonts w:hint="default" w:ascii="Times New Roman" w:hAnsi="Times New Roman" w:cs="Times New Roman"/>
          <w:color w:val="auto"/>
          <w:highlight w:val="none"/>
        </w:rPr>
      </w:pPr>
      <w:r>
        <w:rPr>
          <w:rFonts w:hint="default" w:ascii="Times New Roman" w:hAnsi="Times New Roman" w:cs="Times New Roman"/>
          <w:color w:val="auto"/>
          <w:highlight w:val="none"/>
        </w:rPr>
        <w:t>4.4.6.5 中选人拒绝履行合同义务的；</w:t>
      </w:r>
    </w:p>
    <w:p w14:paraId="22ABCDD9">
      <w:pPr>
        <w:rPr>
          <w:rFonts w:hint="default" w:ascii="Times New Roman" w:hAnsi="Times New Roman" w:cs="Times New Roman"/>
          <w:color w:val="auto"/>
          <w:highlight w:val="none"/>
        </w:rPr>
      </w:pPr>
      <w:r>
        <w:rPr>
          <w:rFonts w:hint="default" w:ascii="Times New Roman" w:hAnsi="Times New Roman" w:cs="Times New Roman"/>
          <w:color w:val="auto"/>
          <w:highlight w:val="none"/>
        </w:rPr>
        <w:t>4.4.6.6 其他严重扰乱比选程序的；</w:t>
      </w:r>
    </w:p>
    <w:p w14:paraId="5AD363E4">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4.5 参选文件的份数和签署</w:t>
      </w:r>
    </w:p>
    <w:p w14:paraId="4AB13DFF">
      <w:pPr>
        <w:rPr>
          <w:rFonts w:hint="default" w:ascii="Times New Roman" w:hAnsi="Times New Roman" w:cs="Times New Roman"/>
          <w:color w:val="auto"/>
          <w:highlight w:val="none"/>
        </w:rPr>
      </w:pPr>
      <w:r>
        <w:rPr>
          <w:rFonts w:hint="default" w:ascii="Times New Roman" w:hAnsi="Times New Roman" w:cs="Times New Roman"/>
          <w:color w:val="auto"/>
          <w:highlight w:val="none"/>
        </w:rPr>
        <w:t>4.5.1 参选文件一式三份，其中正本一份，副本一份，电子文件一份（U盘），正本和副本的封面上应清楚地标记</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正本</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副本</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的字样，副本可为正本的复印件，当副本和正本不一致时，以纸质正本为准。电子文件</w:t>
      </w:r>
      <w:r>
        <w:rPr>
          <w:rFonts w:hint="eastAsia"/>
          <w:color w:val="auto"/>
          <w:highlight w:val="none"/>
        </w:rPr>
        <w:t>应为参选文件盖章</w:t>
      </w:r>
      <w:r>
        <w:rPr>
          <w:rFonts w:hint="default" w:ascii="Times New Roman" w:hAnsi="Times New Roman" w:cs="Times New Roman"/>
          <w:color w:val="auto"/>
          <w:highlight w:val="none"/>
        </w:rPr>
        <w:t>后的PDF格式扫</w:t>
      </w:r>
      <w:r>
        <w:rPr>
          <w:rFonts w:hint="eastAsia"/>
          <w:color w:val="auto"/>
          <w:highlight w:val="none"/>
        </w:rPr>
        <w:t>描件，文件名为“参选人单位名简称+项目名简称”</w:t>
      </w:r>
      <w:r>
        <w:rPr>
          <w:rFonts w:hint="default" w:ascii="Times New Roman" w:hAnsi="Times New Roman" w:cs="Times New Roman"/>
          <w:color w:val="auto"/>
          <w:highlight w:val="none"/>
        </w:rPr>
        <w:t>。</w:t>
      </w:r>
    </w:p>
    <w:p w14:paraId="597131CC">
      <w:pPr>
        <w:rPr>
          <w:rFonts w:hint="default" w:ascii="Times New Roman" w:hAnsi="Times New Roman" w:cs="Times New Roman"/>
          <w:color w:val="auto"/>
          <w:highlight w:val="none"/>
        </w:rPr>
      </w:pPr>
      <w:r>
        <w:rPr>
          <w:rFonts w:hint="default" w:ascii="Times New Roman" w:hAnsi="Times New Roman" w:cs="Times New Roman"/>
          <w:color w:val="auto"/>
          <w:highlight w:val="none"/>
        </w:rPr>
        <w:t>4.5.2 参选文件正本中，每一页均应由参选人加盖公章，其中规定格式的文件应当按要求签名和加盖参选人公章。</w:t>
      </w:r>
    </w:p>
    <w:p w14:paraId="13522A4B">
      <w:pPr>
        <w:rPr>
          <w:rFonts w:hint="default" w:ascii="Times New Roman" w:hAnsi="Times New Roman" w:cs="Times New Roman"/>
          <w:color w:val="auto"/>
          <w:highlight w:val="none"/>
        </w:rPr>
      </w:pPr>
      <w:r>
        <w:rPr>
          <w:rFonts w:hint="default" w:ascii="Times New Roman" w:hAnsi="Times New Roman" w:cs="Times New Roman"/>
          <w:color w:val="auto"/>
          <w:highlight w:val="none"/>
        </w:rPr>
        <w:t>4.5.3 若参选人对参选文件的错处作必要修改，则应在修改处加盖参选人公章或由法人或法人授权代表签字确认。</w:t>
      </w:r>
    </w:p>
    <w:p w14:paraId="3A1D23D2">
      <w:pPr>
        <w:rPr>
          <w:rFonts w:hint="default" w:ascii="Times New Roman" w:hAnsi="Times New Roman" w:cs="Times New Roman"/>
          <w:color w:val="auto"/>
          <w:highlight w:val="none"/>
        </w:rPr>
      </w:pPr>
      <w:r>
        <w:rPr>
          <w:rFonts w:hint="default" w:ascii="Times New Roman" w:hAnsi="Times New Roman" w:cs="Times New Roman"/>
          <w:color w:val="auto"/>
          <w:highlight w:val="none"/>
        </w:rPr>
        <w:t>4.5.4 电报、电话、邮寄、传真形式的参选文件概不接受。</w:t>
      </w:r>
    </w:p>
    <w:p w14:paraId="54414247">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4.6 参选文件的密封与标记</w:t>
      </w:r>
    </w:p>
    <w:p w14:paraId="456C2DE6">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参选文件的正本、副本、电子文件装入一个文件大袋进行密封。密封袋上注明项目名称、参选人名称及</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不准提前启封</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字样。信封的封口须加盖参选人公章或授权代表签字。</w:t>
      </w:r>
    </w:p>
    <w:p w14:paraId="4165BEC6">
      <w:pPr>
        <w:rPr>
          <w:rFonts w:hint="default" w:ascii="Times New Roman" w:hAnsi="Times New Roman" w:cs="Times New Roman"/>
          <w:color w:val="auto"/>
          <w:highlight w:val="none"/>
        </w:rPr>
      </w:pPr>
      <w:r>
        <w:rPr>
          <w:rFonts w:hint="default" w:ascii="Times New Roman" w:hAnsi="Times New Roman" w:cs="Times New Roman"/>
          <w:color w:val="auto"/>
          <w:highlight w:val="none"/>
        </w:rPr>
        <w:t>如果未按上述规定进行密封和标记，则其参选将作为无效参选处理。</w:t>
      </w:r>
    </w:p>
    <w:p w14:paraId="1C4737CD">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4.7 参选报价</w:t>
      </w:r>
    </w:p>
    <w:p w14:paraId="4C1AE53D">
      <w:pPr>
        <w:rPr>
          <w:rFonts w:hint="default" w:ascii="Times New Roman" w:hAnsi="Times New Roman" w:cs="Times New Roman"/>
          <w:color w:val="auto"/>
          <w:highlight w:val="none"/>
        </w:rPr>
      </w:pPr>
      <w:r>
        <w:rPr>
          <w:rFonts w:hint="default" w:ascii="Times New Roman" w:hAnsi="Times New Roman" w:cs="Times New Roman"/>
          <w:color w:val="auto"/>
          <w:highlight w:val="none"/>
        </w:rPr>
        <w:t>4.7.1 参选人应严格按照</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参选文件格式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填写报价。</w:t>
      </w:r>
    </w:p>
    <w:p w14:paraId="3CB72881">
      <w:pPr>
        <w:rPr>
          <w:rFonts w:hint="default" w:ascii="Times New Roman" w:hAnsi="Times New Roman" w:cs="Times New Roman"/>
          <w:color w:val="auto"/>
          <w:highlight w:val="none"/>
        </w:rPr>
      </w:pPr>
      <w:r>
        <w:rPr>
          <w:rFonts w:hint="default" w:ascii="Times New Roman" w:hAnsi="Times New Roman" w:cs="Times New Roman"/>
          <w:color w:val="auto"/>
          <w:highlight w:val="none"/>
        </w:rPr>
        <w:t>4.7.2 参选人的报价为一次性报价，即在参选有效期内参选价格固定不变。</w:t>
      </w:r>
    </w:p>
    <w:p w14:paraId="2F8FE499">
      <w:pPr>
        <w:rPr>
          <w:rFonts w:hint="default" w:ascii="Times New Roman" w:hAnsi="Times New Roman" w:cs="Times New Roman"/>
          <w:color w:val="auto"/>
          <w:highlight w:val="none"/>
        </w:rPr>
      </w:pPr>
      <w:r>
        <w:rPr>
          <w:rFonts w:hint="default" w:ascii="Times New Roman" w:hAnsi="Times New Roman" w:cs="Times New Roman"/>
          <w:color w:val="auto"/>
          <w:highlight w:val="none"/>
        </w:rPr>
        <w:t>4.7.3 本项目只接受一个参选报价，有选择的或有条件的参选将不予接受。</w:t>
      </w:r>
    </w:p>
    <w:p w14:paraId="584D04B8">
      <w:pPr>
        <w:keepNext w:val="0"/>
        <w:keepLines w:val="0"/>
        <w:pageBreakBefore w:val="0"/>
        <w:widowControl w:val="0"/>
        <w:kinsoku/>
        <w:wordWrap/>
        <w:overflowPunct/>
        <w:topLinePunct w:val="0"/>
        <w:autoSpaceDE w:val="0"/>
        <w:autoSpaceDN w:val="0"/>
        <w:bidi w:val="0"/>
        <w:adjustRightInd/>
        <w:snapToGrid/>
        <w:ind w:firstLine="48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4.7.4 参选报价不得超过最高限价。</w:t>
      </w:r>
    </w:p>
    <w:p w14:paraId="7A7FDAC9">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4.8 修正错误</w:t>
      </w:r>
    </w:p>
    <w:p w14:paraId="53F01136">
      <w:pPr>
        <w:rPr>
          <w:rFonts w:hint="default" w:ascii="Times New Roman" w:hAnsi="Times New Roman" w:cs="Times New Roman"/>
          <w:color w:val="auto"/>
          <w:highlight w:val="none"/>
        </w:rPr>
      </w:pPr>
      <w:r>
        <w:rPr>
          <w:rFonts w:hint="default" w:ascii="Times New Roman" w:hAnsi="Times New Roman" w:cs="Times New Roman"/>
          <w:color w:val="auto"/>
          <w:highlight w:val="none"/>
        </w:rPr>
        <w:t>若参选文件出现计算或表达上的错误，修正错误的原则如下：</w:t>
      </w:r>
    </w:p>
    <w:p w14:paraId="66365A0D">
      <w:pPr>
        <w:rPr>
          <w:rFonts w:hint="default" w:ascii="Times New Roman" w:hAnsi="Times New Roman" w:cs="Times New Roman"/>
          <w:color w:val="auto"/>
          <w:highlight w:val="none"/>
        </w:rPr>
      </w:pPr>
      <w:r>
        <w:rPr>
          <w:rFonts w:hint="default" w:ascii="Times New Roman" w:hAnsi="Times New Roman" w:cs="Times New Roman"/>
          <w:color w:val="auto"/>
          <w:highlight w:val="none"/>
        </w:rPr>
        <w:t>4.8.1 参选文件的大写金额和小写金额不一致的，以大写金额为准；</w:t>
      </w:r>
    </w:p>
    <w:p w14:paraId="12054055">
      <w:pPr>
        <w:rPr>
          <w:rFonts w:hint="default" w:ascii="Times New Roman" w:hAnsi="Times New Roman" w:cs="Times New Roman"/>
          <w:color w:val="auto"/>
          <w:highlight w:val="none"/>
        </w:rPr>
      </w:pPr>
      <w:r>
        <w:rPr>
          <w:rFonts w:hint="default" w:ascii="Times New Roman" w:hAnsi="Times New Roman" w:cs="Times New Roman"/>
          <w:color w:val="auto"/>
          <w:highlight w:val="none"/>
        </w:rPr>
        <w:t>4.8.2 总价金额与按单价汇总金额不一致的，以单价金额计算结果为准；</w:t>
      </w:r>
    </w:p>
    <w:p w14:paraId="6E761913">
      <w:pPr>
        <w:rPr>
          <w:rFonts w:hint="default" w:ascii="Times New Roman" w:hAnsi="Times New Roman" w:cs="Times New Roman"/>
          <w:color w:val="auto"/>
          <w:highlight w:val="none"/>
        </w:rPr>
      </w:pPr>
      <w:r>
        <w:rPr>
          <w:rFonts w:hint="default" w:ascii="Times New Roman" w:hAnsi="Times New Roman" w:cs="Times New Roman"/>
          <w:color w:val="auto"/>
          <w:highlight w:val="none"/>
        </w:rPr>
        <w:t>4.8.3 单价金额小数点有明显错位的，应以总价为准，并修正单价；</w:t>
      </w:r>
    </w:p>
    <w:p w14:paraId="6821F0EA">
      <w:pPr>
        <w:rPr>
          <w:rFonts w:hint="default" w:ascii="Times New Roman" w:hAnsi="Times New Roman" w:cs="Times New Roman"/>
          <w:color w:val="auto"/>
          <w:highlight w:val="none"/>
        </w:rPr>
      </w:pPr>
      <w:r>
        <w:rPr>
          <w:rFonts w:hint="default" w:ascii="Times New Roman" w:hAnsi="Times New Roman" w:cs="Times New Roman"/>
          <w:color w:val="auto"/>
          <w:highlight w:val="none"/>
        </w:rPr>
        <w:t>4.8.4 对不同文字文本参选文件的解释发生异议的，以中文文本为准。</w:t>
      </w:r>
    </w:p>
    <w:p w14:paraId="4290CB2F">
      <w:pPr>
        <w:keepNext w:val="0"/>
        <w:keepLines w:val="0"/>
        <w:pageBreakBefore w:val="0"/>
        <w:widowControl w:val="0"/>
        <w:kinsoku/>
        <w:wordWrap/>
        <w:overflowPunct/>
        <w:topLinePunct w:val="0"/>
        <w:autoSpaceDE w:val="0"/>
        <w:autoSpaceDN w:val="0"/>
        <w:bidi w:val="0"/>
        <w:adjustRightInd/>
        <w:snapToGrid/>
        <w:ind w:firstLine="48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4.8.5 含税金额与不含税金额存在计算错误的，以含税金额为准。</w:t>
      </w:r>
    </w:p>
    <w:p w14:paraId="59171C26">
      <w:pPr>
        <w:rPr>
          <w:rFonts w:hint="default" w:ascii="Times New Roman" w:hAnsi="Times New Roman" w:cs="Times New Roman"/>
          <w:color w:val="auto"/>
          <w:highlight w:val="none"/>
        </w:rPr>
      </w:pPr>
      <w:r>
        <w:rPr>
          <w:rFonts w:hint="default" w:ascii="Times New Roman" w:hAnsi="Times New Roman" w:cs="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5662403">
      <w:pPr>
        <w:pStyle w:val="3"/>
        <w:rPr>
          <w:rFonts w:hint="default" w:ascii="Times New Roman" w:hAnsi="Times New Roman" w:cs="Times New Roman"/>
          <w:color w:val="auto"/>
          <w:highlight w:val="none"/>
        </w:rPr>
      </w:pPr>
      <w:bookmarkStart w:id="38" w:name="_Toc89675166"/>
      <w:r>
        <w:rPr>
          <w:rFonts w:hint="default" w:ascii="Times New Roman" w:hAnsi="Times New Roman" w:cs="Times New Roman"/>
          <w:color w:val="auto"/>
          <w:highlight w:val="none"/>
        </w:rPr>
        <w:t>5. 比选程序</w:t>
      </w:r>
    </w:p>
    <w:p w14:paraId="5DE499A5">
      <w:pPr>
        <w:rPr>
          <w:rFonts w:hint="default" w:ascii="Times New Roman" w:hAnsi="Times New Roman" w:cs="Times New Roman"/>
          <w:color w:val="auto"/>
          <w:highlight w:val="none"/>
        </w:rPr>
      </w:pPr>
      <w:r>
        <w:rPr>
          <w:rFonts w:hint="default" w:ascii="Times New Roman" w:hAnsi="Times New Roman" w:cs="Times New Roman"/>
          <w:color w:val="auto"/>
          <w:highlight w:val="none"/>
        </w:rPr>
        <w:t>主持人按下列程序进行比选：</w:t>
      </w:r>
    </w:p>
    <w:p w14:paraId="48850546">
      <w:pPr>
        <w:rPr>
          <w:rFonts w:hint="default" w:ascii="Times New Roman" w:hAnsi="Times New Roman" w:cs="Times New Roman"/>
          <w:color w:val="auto"/>
          <w:highlight w:val="none"/>
        </w:rPr>
      </w:pPr>
      <w:r>
        <w:rPr>
          <w:rFonts w:hint="default" w:ascii="Times New Roman" w:hAnsi="Times New Roman" w:cs="Times New Roman"/>
          <w:color w:val="auto"/>
          <w:highlight w:val="none"/>
        </w:rPr>
        <w:t>5.1 宣布比选纪律；</w:t>
      </w:r>
    </w:p>
    <w:p w14:paraId="5DCD14C9">
      <w:pPr>
        <w:rPr>
          <w:rFonts w:hint="default" w:ascii="Times New Roman" w:hAnsi="Times New Roman" w:cs="Times New Roman"/>
          <w:color w:val="auto"/>
          <w:highlight w:val="none"/>
        </w:rPr>
      </w:pPr>
      <w:r>
        <w:rPr>
          <w:rFonts w:hint="default" w:ascii="Times New Roman" w:hAnsi="Times New Roman" w:cs="Times New Roman"/>
          <w:color w:val="auto"/>
          <w:highlight w:val="none"/>
        </w:rPr>
        <w:t>5.2 宣布比选人、唱标人、记录人、监督人等有关人员姓名；</w:t>
      </w:r>
    </w:p>
    <w:p w14:paraId="07106873">
      <w:pPr>
        <w:rPr>
          <w:rFonts w:hint="default" w:ascii="Times New Roman" w:hAnsi="Times New Roman" w:cs="Times New Roman"/>
          <w:color w:val="auto"/>
          <w:highlight w:val="none"/>
        </w:rPr>
      </w:pPr>
      <w:r>
        <w:rPr>
          <w:rFonts w:hint="default" w:ascii="Times New Roman" w:hAnsi="Times New Roman" w:cs="Times New Roman"/>
          <w:color w:val="auto"/>
          <w:highlight w:val="none"/>
        </w:rPr>
        <w:t>5.3 公布在</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选截止时间前递交参选文件的参选人名称，并点名确认参选人是否派人到场；</w:t>
      </w:r>
    </w:p>
    <w:p w14:paraId="5E403951">
      <w:pPr>
        <w:rPr>
          <w:rFonts w:hint="default" w:ascii="Times New Roman" w:hAnsi="Times New Roman" w:cs="Times New Roman"/>
          <w:color w:val="auto"/>
          <w:highlight w:val="none"/>
        </w:rPr>
      </w:pPr>
      <w:r>
        <w:rPr>
          <w:rFonts w:hint="default" w:ascii="Times New Roman" w:hAnsi="Times New Roman" w:cs="Times New Roman"/>
          <w:color w:val="auto"/>
          <w:highlight w:val="none"/>
        </w:rPr>
        <w:t>5.4 展示参选保证金，参选保证金缴款不全或有误的，则记录在案交由评审委员会评审；</w:t>
      </w:r>
    </w:p>
    <w:p w14:paraId="7BAEEE19">
      <w:pPr>
        <w:rPr>
          <w:rFonts w:hint="default" w:ascii="Times New Roman" w:hAnsi="Times New Roman" w:cs="Times New Roman"/>
          <w:color w:val="auto"/>
          <w:highlight w:val="none"/>
        </w:rPr>
      </w:pPr>
      <w:r>
        <w:rPr>
          <w:rFonts w:hint="default" w:ascii="Times New Roman" w:hAnsi="Times New Roman" w:cs="Times New Roman"/>
          <w:color w:val="auto"/>
          <w:highlight w:val="none"/>
        </w:rPr>
        <w:t>5.5 封装情况检查：参选人或者其推选的代表检查各参选文件的封装情况并确认；</w:t>
      </w:r>
    </w:p>
    <w:p w14:paraId="2AECF1D2">
      <w:pPr>
        <w:rPr>
          <w:rFonts w:hint="default" w:ascii="Times New Roman" w:hAnsi="Times New Roman" w:cs="Times New Roman"/>
          <w:color w:val="auto"/>
          <w:highlight w:val="none"/>
        </w:rPr>
      </w:pPr>
      <w:r>
        <w:rPr>
          <w:rFonts w:hint="default" w:ascii="Times New Roman" w:hAnsi="Times New Roman" w:cs="Times New Roman"/>
          <w:color w:val="auto"/>
          <w:highlight w:val="none"/>
        </w:rPr>
        <w:t>5.6 设有最高限价的，公布最高限价；</w:t>
      </w:r>
    </w:p>
    <w:p w14:paraId="53DD55F9">
      <w:pPr>
        <w:rPr>
          <w:rFonts w:hint="default" w:ascii="Times New Roman" w:hAnsi="Times New Roman" w:cs="Times New Roman"/>
          <w:color w:val="auto"/>
          <w:highlight w:val="none"/>
        </w:rPr>
      </w:pPr>
      <w:r>
        <w:rPr>
          <w:rFonts w:hint="default" w:ascii="Times New Roman" w:hAnsi="Times New Roman" w:cs="Times New Roman"/>
          <w:color w:val="auto"/>
          <w:highlight w:val="none"/>
        </w:rPr>
        <w:t>5.7 开启参选文件；</w:t>
      </w:r>
    </w:p>
    <w:p w14:paraId="306936AB">
      <w:pPr>
        <w:rPr>
          <w:rFonts w:hint="default" w:ascii="Times New Roman" w:hAnsi="Times New Roman" w:cs="Times New Roman"/>
          <w:color w:val="auto"/>
          <w:highlight w:val="none"/>
        </w:rPr>
      </w:pPr>
      <w:r>
        <w:rPr>
          <w:rFonts w:hint="default" w:ascii="Times New Roman" w:hAnsi="Times New Roman" w:cs="Times New Roman"/>
          <w:color w:val="auto"/>
          <w:highlight w:val="none"/>
        </w:rPr>
        <w:t>5.8 比选人代表、参选人代表、监督人、记录人等有关人员在比选记录上签字确认；</w:t>
      </w:r>
    </w:p>
    <w:p w14:paraId="6B354209">
      <w:pPr>
        <w:rPr>
          <w:rFonts w:hint="default" w:ascii="Times New Roman" w:hAnsi="Times New Roman" w:cs="Times New Roman"/>
          <w:color w:val="auto"/>
          <w:highlight w:val="none"/>
        </w:rPr>
      </w:pPr>
      <w:r>
        <w:rPr>
          <w:rFonts w:hint="default" w:ascii="Times New Roman" w:hAnsi="Times New Roman" w:cs="Times New Roman"/>
          <w:color w:val="auto"/>
          <w:highlight w:val="none"/>
        </w:rPr>
        <w:t>5.9 比选结束。</w:t>
      </w:r>
    </w:p>
    <w:p w14:paraId="339B8786">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6. 评审</w:t>
      </w:r>
    </w:p>
    <w:p w14:paraId="08F3984F">
      <w:pPr>
        <w:rPr>
          <w:rFonts w:hint="default" w:ascii="Times New Roman" w:hAnsi="Times New Roman" w:cs="Times New Roman"/>
          <w:color w:val="auto"/>
          <w:highlight w:val="none"/>
        </w:rPr>
      </w:pPr>
      <w:r>
        <w:rPr>
          <w:rFonts w:hint="default" w:ascii="Times New Roman" w:hAnsi="Times New Roman" w:cs="Times New Roman"/>
          <w:color w:val="auto"/>
          <w:highlight w:val="none"/>
        </w:rPr>
        <w:t>见第四章内容。</w:t>
      </w:r>
    </w:p>
    <w:p w14:paraId="653413F2">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7. 定选</w:t>
      </w:r>
      <w:bookmarkEnd w:id="38"/>
    </w:p>
    <w:p w14:paraId="7AD61983">
      <w:pPr>
        <w:rPr>
          <w:rFonts w:hint="default" w:ascii="Times New Roman" w:hAnsi="Times New Roman" w:cs="Times New Roman"/>
          <w:color w:val="auto"/>
          <w:highlight w:val="none"/>
        </w:rPr>
      </w:pPr>
      <w:r>
        <w:rPr>
          <w:rFonts w:hint="default" w:ascii="Times New Roman" w:hAnsi="Times New Roman" w:cs="Times New Roman"/>
          <w:color w:val="auto"/>
          <w:highlight w:val="none"/>
        </w:rPr>
        <w:t>7.1 定选原则</w:t>
      </w:r>
    </w:p>
    <w:p w14:paraId="74982488">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5F2ED59E">
      <w:pPr>
        <w:rPr>
          <w:rFonts w:hint="default" w:ascii="Times New Roman" w:hAnsi="Times New Roman" w:cs="Times New Roman"/>
          <w:color w:val="auto"/>
          <w:highlight w:val="none"/>
        </w:rPr>
      </w:pPr>
      <w:r>
        <w:rPr>
          <w:rFonts w:hint="default" w:ascii="Times New Roman" w:hAnsi="Times New Roman" w:cs="Times New Roman"/>
          <w:color w:val="auto"/>
          <w:highlight w:val="none"/>
        </w:rPr>
        <w:t>7.2 不承诺最低价格中选。</w:t>
      </w:r>
    </w:p>
    <w:p w14:paraId="1CEAA3DF">
      <w:pPr>
        <w:rPr>
          <w:rFonts w:hint="default" w:ascii="Times New Roman" w:hAnsi="Times New Roman" w:cs="Times New Roman"/>
          <w:color w:val="auto"/>
          <w:highlight w:val="none"/>
        </w:rPr>
      </w:pPr>
      <w:r>
        <w:rPr>
          <w:rFonts w:hint="default" w:ascii="Times New Roman" w:hAnsi="Times New Roman" w:cs="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72B36846">
      <w:pPr>
        <w:pStyle w:val="3"/>
        <w:rPr>
          <w:rFonts w:hint="default" w:ascii="Times New Roman" w:hAnsi="Times New Roman" w:cs="Times New Roman"/>
          <w:color w:val="auto"/>
          <w:highlight w:val="none"/>
        </w:rPr>
      </w:pPr>
      <w:bookmarkStart w:id="39" w:name="_Toc12245"/>
      <w:bookmarkStart w:id="40" w:name="_Toc89675168"/>
      <w:r>
        <w:rPr>
          <w:rFonts w:hint="default" w:ascii="Times New Roman" w:hAnsi="Times New Roman" w:cs="Times New Roman"/>
          <w:color w:val="auto"/>
          <w:highlight w:val="none"/>
        </w:rPr>
        <w:t>8. 签订合同</w:t>
      </w:r>
      <w:bookmarkEnd w:id="39"/>
      <w:bookmarkEnd w:id="40"/>
    </w:p>
    <w:p w14:paraId="1CE45601">
      <w:pPr>
        <w:rPr>
          <w:rFonts w:hint="default" w:ascii="Times New Roman" w:hAnsi="Times New Roman" w:cs="Times New Roman"/>
          <w:color w:val="auto"/>
          <w:highlight w:val="none"/>
        </w:rPr>
      </w:pPr>
      <w:r>
        <w:rPr>
          <w:rFonts w:hint="default" w:ascii="Times New Roman" w:hAnsi="Times New Roman" w:cs="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1D81B3C3">
      <w:pPr>
        <w:rPr>
          <w:rFonts w:hint="default" w:ascii="Times New Roman" w:hAnsi="Times New Roman" w:cs="Times New Roman"/>
          <w:color w:val="auto"/>
          <w:highlight w:val="none"/>
        </w:rPr>
      </w:pPr>
      <w:r>
        <w:rPr>
          <w:rFonts w:hint="default" w:ascii="Times New Roman" w:hAnsi="Times New Roman" w:cs="Times New Roman"/>
          <w:color w:val="auto"/>
          <w:highlight w:val="none"/>
        </w:rPr>
        <w:t>8.2 比选文件、中选人的参选文件及澄清文件等，均为签订合同的依据。</w:t>
      </w:r>
    </w:p>
    <w:p w14:paraId="43FDCE46">
      <w:pPr>
        <w:rPr>
          <w:rFonts w:hint="default" w:ascii="Times New Roman" w:hAnsi="Times New Roman" w:cs="Times New Roman"/>
          <w:color w:val="auto"/>
          <w:highlight w:val="none"/>
        </w:rPr>
      </w:pPr>
      <w:r>
        <w:rPr>
          <w:rFonts w:hint="default" w:ascii="Times New Roman" w:hAnsi="Times New Roman" w:cs="Times New Roman"/>
          <w:color w:val="auto"/>
          <w:highlight w:val="none"/>
        </w:rPr>
        <w:t>8.3 合同生效条款由供需双方约定，法律、行政法规规定应当办理批准、登记等手续后生效的合同，依照其规定。</w:t>
      </w:r>
    </w:p>
    <w:p w14:paraId="7980EBE2">
      <w:pPr>
        <w:rPr>
          <w:rFonts w:hint="default" w:ascii="Times New Roman" w:hAnsi="Times New Roman" w:cs="Times New Roman"/>
          <w:color w:val="auto"/>
          <w:highlight w:val="none"/>
        </w:rPr>
      </w:pPr>
      <w:r>
        <w:rPr>
          <w:rFonts w:hint="default" w:ascii="Times New Roman" w:hAnsi="Times New Roman" w:cs="Times New Roman"/>
          <w:color w:val="auto"/>
          <w:highlight w:val="none"/>
        </w:rPr>
        <w:t>8.4 签订合同后，若中选人无法按要求履约，比选人可以废除中选人资格，并可选择按照中选候选人顺位与下一候选人签订合同。</w:t>
      </w:r>
    </w:p>
    <w:p w14:paraId="259AEE6D">
      <w:pPr>
        <w:rPr>
          <w:rFonts w:hint="default" w:ascii="Times New Roman" w:hAnsi="Times New Roman" w:cs="Times New Roman"/>
          <w:color w:val="auto"/>
          <w:highlight w:val="none"/>
        </w:rPr>
      </w:pPr>
      <w:r>
        <w:rPr>
          <w:rFonts w:hint="default" w:ascii="Times New Roman" w:hAnsi="Times New Roman" w:cs="Times New Roman"/>
          <w:color w:val="auto"/>
          <w:highlight w:val="none"/>
        </w:rPr>
        <w:t>8.5 该项目不允许任何形式的转包。</w:t>
      </w:r>
    </w:p>
    <w:p w14:paraId="5D00770B">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9. 纪律与要求</w:t>
      </w:r>
    </w:p>
    <w:p w14:paraId="22AC46FC">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54489F33">
      <w:pPr>
        <w:rPr>
          <w:rFonts w:hint="default" w:ascii="Times New Roman" w:hAnsi="Times New Roman" w:cs="Times New Roman"/>
          <w:color w:val="auto"/>
          <w:highlight w:val="none"/>
        </w:rPr>
      </w:pPr>
      <w:r>
        <w:rPr>
          <w:rFonts w:hint="default" w:ascii="Times New Roman" w:hAnsi="Times New Roman" w:cs="Times New Roman"/>
          <w:color w:val="auto"/>
          <w:highlight w:val="none"/>
        </w:rPr>
        <w:t>9.1 有下列情形之一的，属于参选人相互串通参选：</w:t>
      </w:r>
    </w:p>
    <w:p w14:paraId="5E2A5A45">
      <w:pPr>
        <w:rPr>
          <w:rFonts w:hint="default" w:ascii="Times New Roman" w:hAnsi="Times New Roman" w:cs="Times New Roman"/>
          <w:color w:val="auto"/>
          <w:highlight w:val="none"/>
        </w:rPr>
      </w:pPr>
      <w:r>
        <w:rPr>
          <w:rFonts w:hint="default" w:ascii="Times New Roman" w:hAnsi="Times New Roman" w:cs="Times New Roman"/>
          <w:color w:val="auto"/>
          <w:highlight w:val="none"/>
        </w:rPr>
        <w:t>9.1.1 参选人之间协商参选报价等参选文件的实质性内容；</w:t>
      </w:r>
    </w:p>
    <w:p w14:paraId="3598DEBC">
      <w:pPr>
        <w:rPr>
          <w:rFonts w:hint="default" w:ascii="Times New Roman" w:hAnsi="Times New Roman" w:cs="Times New Roman"/>
          <w:color w:val="auto"/>
          <w:highlight w:val="none"/>
        </w:rPr>
      </w:pPr>
      <w:r>
        <w:rPr>
          <w:rFonts w:hint="default" w:ascii="Times New Roman" w:hAnsi="Times New Roman" w:cs="Times New Roman"/>
          <w:color w:val="auto"/>
          <w:highlight w:val="none"/>
        </w:rPr>
        <w:t>9.1.2 参选人之间约定中选人；</w:t>
      </w:r>
    </w:p>
    <w:p w14:paraId="554B5658">
      <w:pPr>
        <w:rPr>
          <w:rFonts w:hint="default" w:ascii="Times New Roman" w:hAnsi="Times New Roman" w:cs="Times New Roman"/>
          <w:color w:val="auto"/>
          <w:highlight w:val="none"/>
        </w:rPr>
      </w:pPr>
      <w:r>
        <w:rPr>
          <w:rFonts w:hint="default" w:ascii="Times New Roman" w:hAnsi="Times New Roman" w:cs="Times New Roman"/>
          <w:color w:val="auto"/>
          <w:highlight w:val="none"/>
        </w:rPr>
        <w:t>9.1.3 参选人之间约定部分参选人放弃参选或者中选；</w:t>
      </w:r>
    </w:p>
    <w:p w14:paraId="60E63003">
      <w:pPr>
        <w:rPr>
          <w:rFonts w:hint="default" w:ascii="Times New Roman" w:hAnsi="Times New Roman" w:cs="Times New Roman"/>
          <w:color w:val="auto"/>
          <w:highlight w:val="none"/>
        </w:rPr>
      </w:pPr>
      <w:r>
        <w:rPr>
          <w:rFonts w:hint="default" w:ascii="Times New Roman" w:hAnsi="Times New Roman" w:cs="Times New Roman"/>
          <w:color w:val="auto"/>
          <w:highlight w:val="none"/>
        </w:rPr>
        <w:t>9.1.4 属于同一集团、协会、商会等组织成员的参选人按照该组织要求协同参选；</w:t>
      </w:r>
    </w:p>
    <w:p w14:paraId="38718903">
      <w:pPr>
        <w:rPr>
          <w:rFonts w:hint="default" w:ascii="Times New Roman" w:hAnsi="Times New Roman" w:cs="Times New Roman"/>
          <w:color w:val="auto"/>
          <w:highlight w:val="none"/>
        </w:rPr>
      </w:pPr>
      <w:r>
        <w:rPr>
          <w:rFonts w:hint="default" w:ascii="Times New Roman" w:hAnsi="Times New Roman" w:cs="Times New Roman"/>
          <w:color w:val="auto"/>
          <w:highlight w:val="none"/>
        </w:rPr>
        <w:t>9.1.5 参选人之间为谋取中选或者排斥特定参选人而采取的其他联合行动。</w:t>
      </w:r>
    </w:p>
    <w:p w14:paraId="78357B50">
      <w:pPr>
        <w:rPr>
          <w:rFonts w:hint="default" w:ascii="Times New Roman" w:hAnsi="Times New Roman" w:cs="Times New Roman"/>
          <w:color w:val="auto"/>
          <w:highlight w:val="none"/>
        </w:rPr>
      </w:pPr>
      <w:r>
        <w:rPr>
          <w:rFonts w:hint="default" w:ascii="Times New Roman" w:hAnsi="Times New Roman" w:cs="Times New Roman"/>
          <w:color w:val="auto"/>
          <w:highlight w:val="none"/>
        </w:rPr>
        <w:t>9.2 有下列情形之一的，视为参选人相互串通参选：</w:t>
      </w:r>
    </w:p>
    <w:p w14:paraId="2EC6F7D0">
      <w:pPr>
        <w:rPr>
          <w:rFonts w:hint="default" w:ascii="Times New Roman" w:hAnsi="Times New Roman" w:cs="Times New Roman"/>
          <w:color w:val="auto"/>
          <w:highlight w:val="none"/>
        </w:rPr>
      </w:pPr>
      <w:r>
        <w:rPr>
          <w:rFonts w:hint="default" w:ascii="Times New Roman" w:hAnsi="Times New Roman" w:cs="Times New Roman"/>
          <w:color w:val="auto"/>
          <w:highlight w:val="none"/>
        </w:rPr>
        <w:t>9.2.1 不同参选人的参选文件由同一单位或者个人编制；</w:t>
      </w:r>
    </w:p>
    <w:p w14:paraId="114F77B6">
      <w:pPr>
        <w:rPr>
          <w:rFonts w:hint="default" w:ascii="Times New Roman" w:hAnsi="Times New Roman" w:cs="Times New Roman"/>
          <w:color w:val="auto"/>
          <w:highlight w:val="none"/>
        </w:rPr>
      </w:pPr>
      <w:r>
        <w:rPr>
          <w:rFonts w:hint="default" w:ascii="Times New Roman" w:hAnsi="Times New Roman" w:cs="Times New Roman"/>
          <w:color w:val="auto"/>
          <w:highlight w:val="none"/>
        </w:rPr>
        <w:t>9.2.2 不同参选人委托同一单位或者个人办理参选事宜；</w:t>
      </w:r>
    </w:p>
    <w:p w14:paraId="0DE02E88">
      <w:pPr>
        <w:rPr>
          <w:rFonts w:hint="default" w:ascii="Times New Roman" w:hAnsi="Times New Roman" w:cs="Times New Roman"/>
          <w:color w:val="auto"/>
          <w:highlight w:val="none"/>
        </w:rPr>
      </w:pPr>
      <w:r>
        <w:rPr>
          <w:rFonts w:hint="default" w:ascii="Times New Roman" w:hAnsi="Times New Roman" w:cs="Times New Roman"/>
          <w:color w:val="auto"/>
          <w:highlight w:val="none"/>
        </w:rPr>
        <w:t>9.2.3 不同参选人的参选文件载明的项目管理成员为同一人；</w:t>
      </w:r>
    </w:p>
    <w:p w14:paraId="2979125C">
      <w:pPr>
        <w:rPr>
          <w:rFonts w:hint="default" w:ascii="Times New Roman" w:hAnsi="Times New Roman" w:cs="Times New Roman"/>
          <w:color w:val="auto"/>
          <w:highlight w:val="none"/>
        </w:rPr>
      </w:pPr>
      <w:r>
        <w:rPr>
          <w:rFonts w:hint="default" w:ascii="Times New Roman" w:hAnsi="Times New Roman" w:cs="Times New Roman"/>
          <w:color w:val="auto"/>
          <w:highlight w:val="none"/>
        </w:rPr>
        <w:t>9.2.4 不同参选人的参选文件相互混装；</w:t>
      </w:r>
    </w:p>
    <w:p w14:paraId="71C6D1C2">
      <w:pPr>
        <w:rPr>
          <w:rFonts w:hint="default" w:ascii="Times New Roman" w:hAnsi="Times New Roman" w:cs="Times New Roman"/>
          <w:color w:val="auto"/>
          <w:highlight w:val="none"/>
        </w:rPr>
      </w:pPr>
      <w:r>
        <w:rPr>
          <w:rFonts w:hint="default" w:ascii="Times New Roman" w:hAnsi="Times New Roman" w:cs="Times New Roman"/>
          <w:color w:val="auto"/>
          <w:highlight w:val="none"/>
        </w:rPr>
        <w:t>9.2.5 不同参选人的参选保证金从同一单位或者个人的账户转出。</w:t>
      </w:r>
    </w:p>
    <w:p w14:paraId="4431EAC3">
      <w:pPr>
        <w:rPr>
          <w:rFonts w:hint="default" w:ascii="Times New Roman" w:hAnsi="Times New Roman" w:cs="Times New Roman"/>
          <w:color w:val="auto"/>
          <w:highlight w:val="none"/>
        </w:rPr>
      </w:pPr>
      <w:r>
        <w:rPr>
          <w:rFonts w:hint="default" w:ascii="Times New Roman" w:hAnsi="Times New Roman" w:cs="Times New Roman"/>
          <w:color w:val="auto"/>
          <w:highlight w:val="none"/>
        </w:rPr>
        <w:t>9.3 使用通过受让或者租借等方式获取的资格、资质证书参选的，属于以他人名义参选。</w:t>
      </w:r>
    </w:p>
    <w:p w14:paraId="03E96AA2">
      <w:pPr>
        <w:rPr>
          <w:rFonts w:hint="default" w:ascii="Times New Roman" w:hAnsi="Times New Roman" w:cs="Times New Roman"/>
          <w:color w:val="auto"/>
          <w:highlight w:val="none"/>
        </w:rPr>
      </w:pPr>
      <w:r>
        <w:rPr>
          <w:rFonts w:hint="default" w:ascii="Times New Roman" w:hAnsi="Times New Roman" w:cs="Times New Roman"/>
          <w:color w:val="auto"/>
          <w:highlight w:val="none"/>
        </w:rPr>
        <w:t>9.4 参选人有下列情形之一的，属于弄虚作假的行为：</w:t>
      </w:r>
    </w:p>
    <w:p w14:paraId="6DB1EA62">
      <w:pPr>
        <w:rPr>
          <w:rFonts w:hint="default" w:ascii="Times New Roman" w:hAnsi="Times New Roman" w:cs="Times New Roman"/>
          <w:color w:val="auto"/>
          <w:highlight w:val="none"/>
        </w:rPr>
      </w:pPr>
      <w:r>
        <w:rPr>
          <w:rFonts w:hint="default" w:ascii="Times New Roman" w:hAnsi="Times New Roman" w:cs="Times New Roman"/>
          <w:color w:val="auto"/>
          <w:highlight w:val="none"/>
        </w:rPr>
        <w:t>9.4.1 使用伪造、变造的许可证件；</w:t>
      </w:r>
    </w:p>
    <w:p w14:paraId="6EC7C77B">
      <w:pPr>
        <w:rPr>
          <w:rFonts w:hint="default" w:ascii="Times New Roman" w:hAnsi="Times New Roman" w:cs="Times New Roman"/>
          <w:color w:val="auto"/>
          <w:highlight w:val="none"/>
        </w:rPr>
      </w:pPr>
      <w:r>
        <w:rPr>
          <w:rFonts w:hint="default" w:ascii="Times New Roman" w:hAnsi="Times New Roman" w:cs="Times New Roman"/>
          <w:color w:val="auto"/>
          <w:highlight w:val="none"/>
        </w:rPr>
        <w:t>9.4.2 提供虚假的财务状况或者虚假业绩；</w:t>
      </w:r>
    </w:p>
    <w:p w14:paraId="0F1FF70D">
      <w:pPr>
        <w:rPr>
          <w:rFonts w:hint="default" w:ascii="Times New Roman" w:hAnsi="Times New Roman" w:cs="Times New Roman"/>
          <w:color w:val="auto"/>
          <w:highlight w:val="none"/>
        </w:rPr>
      </w:pPr>
      <w:r>
        <w:rPr>
          <w:rFonts w:hint="default" w:ascii="Times New Roman" w:hAnsi="Times New Roman" w:cs="Times New Roman"/>
          <w:color w:val="auto"/>
          <w:highlight w:val="none"/>
        </w:rPr>
        <w:t>9.4.3 提供虚假的项目负责人或者主要技术人员简历、劳动关系证明；</w:t>
      </w:r>
    </w:p>
    <w:p w14:paraId="7B6961A1">
      <w:pPr>
        <w:rPr>
          <w:rFonts w:hint="default" w:ascii="Times New Roman" w:hAnsi="Times New Roman" w:cs="Times New Roman"/>
          <w:color w:val="auto"/>
          <w:highlight w:val="none"/>
        </w:rPr>
      </w:pPr>
      <w:r>
        <w:rPr>
          <w:rFonts w:hint="default" w:ascii="Times New Roman" w:hAnsi="Times New Roman" w:cs="Times New Roman"/>
          <w:color w:val="auto"/>
          <w:highlight w:val="none"/>
        </w:rPr>
        <w:t>9.4.4 提供虚假的信用状况；</w:t>
      </w:r>
    </w:p>
    <w:p w14:paraId="67121107">
      <w:pPr>
        <w:rPr>
          <w:rFonts w:hint="default" w:ascii="Times New Roman" w:hAnsi="Times New Roman" w:cs="Times New Roman"/>
          <w:color w:val="auto"/>
          <w:highlight w:val="none"/>
        </w:rPr>
      </w:pPr>
      <w:r>
        <w:rPr>
          <w:rFonts w:hint="default" w:ascii="Times New Roman" w:hAnsi="Times New Roman" w:cs="Times New Roman"/>
          <w:color w:val="auto"/>
          <w:highlight w:val="none"/>
        </w:rPr>
        <w:t>9.4.5 其它弄虚作假的行为。</w:t>
      </w:r>
    </w:p>
    <w:p w14:paraId="06955E43">
      <w:pPr>
        <w:rPr>
          <w:rFonts w:hint="default" w:ascii="Times New Roman" w:hAnsi="Times New Roman" w:cs="Times New Roman"/>
          <w:color w:val="auto"/>
          <w:highlight w:val="none"/>
        </w:rPr>
      </w:pPr>
      <w:r>
        <w:rPr>
          <w:rFonts w:hint="default" w:ascii="Times New Roman" w:hAnsi="Times New Roman" w:cs="Times New Roman"/>
          <w:color w:val="auto"/>
          <w:highlight w:val="none"/>
        </w:rPr>
        <w:t>签订合同前后，若中选单位提供的产品测试不合格或与参选文件中的产品不一致，比选人可废除中选人资格。</w:t>
      </w:r>
    </w:p>
    <w:p w14:paraId="283EF5ED">
      <w:pPr>
        <w:rPr>
          <w:rFonts w:hint="default" w:ascii="Times New Roman" w:hAnsi="Times New Roman" w:cs="Times New Roman"/>
          <w:color w:val="auto"/>
          <w:highlight w:val="none"/>
        </w:rPr>
      </w:pPr>
      <w:r>
        <w:rPr>
          <w:rFonts w:hint="default" w:ascii="Times New Roman" w:hAnsi="Times New Roman" w:cs="Times New Roman"/>
          <w:color w:val="auto"/>
          <w:highlight w:val="none"/>
        </w:rPr>
        <w:t>针对以上情况，比选人有权没收参选人的参选保证金，并保留进一步追究由此带来损失的权利。</w:t>
      </w:r>
    </w:p>
    <w:p w14:paraId="6ADD343A">
      <w:pPr>
        <w:pStyle w:val="3"/>
        <w:rPr>
          <w:rFonts w:hint="default" w:ascii="Times New Roman" w:hAnsi="Times New Roman" w:cs="Times New Roman"/>
          <w:color w:val="auto"/>
          <w:highlight w:val="none"/>
        </w:rPr>
      </w:pPr>
      <w:bookmarkStart w:id="41" w:name="_Toc89675169"/>
      <w:r>
        <w:rPr>
          <w:rFonts w:hint="default" w:ascii="Times New Roman" w:hAnsi="Times New Roman" w:cs="Times New Roman"/>
          <w:color w:val="auto"/>
          <w:highlight w:val="none"/>
        </w:rPr>
        <w:t>10. 提问、质疑、投诉</w:t>
      </w:r>
    </w:p>
    <w:p w14:paraId="382939B3">
      <w:pPr>
        <w:rPr>
          <w:rFonts w:hint="default" w:ascii="Times New Roman" w:hAnsi="Times New Roman" w:cs="Times New Roman"/>
          <w:color w:val="auto"/>
          <w:highlight w:val="none"/>
        </w:rPr>
      </w:pPr>
      <w:r>
        <w:rPr>
          <w:rFonts w:hint="default" w:ascii="Times New Roman" w:hAnsi="Times New Roman" w:cs="Times New Roman"/>
          <w:color w:val="auto"/>
          <w:highlight w:val="none"/>
        </w:rPr>
        <w:t>10.1 补遗内容可能影响参选文件编制的，须在</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选截止时间3日前发布，发布时间至</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选截止时间不足3日的，须相应延后</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w:t>
      </w:r>
    </w:p>
    <w:p w14:paraId="4DE01F0D">
      <w:pPr>
        <w:rPr>
          <w:rFonts w:hint="default" w:ascii="Times New Roman" w:hAnsi="Times New Roman" w:cs="Times New Roman"/>
          <w:color w:val="auto"/>
          <w:highlight w:val="none"/>
        </w:rPr>
      </w:pPr>
      <w:r>
        <w:rPr>
          <w:rFonts w:hint="default" w:ascii="Times New Roman" w:hAnsi="Times New Roman" w:cs="Times New Roman"/>
          <w:color w:val="auto"/>
          <w:highlight w:val="none"/>
        </w:rPr>
        <w:t>10.2 参选人对比选文件和答疑补遗有质疑的，应当在</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选截止时间3日前，以书面形式通知比选人。比选人</w:t>
      </w:r>
      <w:r>
        <w:rPr>
          <w:rFonts w:hint="eastAsia"/>
          <w:color w:val="auto"/>
          <w:highlight w:val="none"/>
        </w:rPr>
        <w:t>认为有必要对参选人所提问题进行答复或对比选文件进行补充时</w:t>
      </w:r>
      <w:r>
        <w:rPr>
          <w:rFonts w:hint="default" w:ascii="Times New Roman" w:hAnsi="Times New Roman" w:cs="Times New Roman"/>
          <w:color w:val="auto"/>
          <w:highlight w:val="none"/>
        </w:rPr>
        <w:t>，将答复内容以补遗的形式发布。</w:t>
      </w:r>
    </w:p>
    <w:p w14:paraId="40EF4ECC">
      <w:pPr>
        <w:rPr>
          <w:rFonts w:hint="default" w:ascii="Times New Roman" w:hAnsi="Times New Roman" w:cs="Times New Roman"/>
          <w:color w:val="auto"/>
          <w:highlight w:val="none"/>
        </w:rPr>
      </w:pPr>
      <w:r>
        <w:rPr>
          <w:rFonts w:hint="default" w:ascii="Times New Roman" w:hAnsi="Times New Roman" w:cs="Times New Roman"/>
          <w:color w:val="auto"/>
          <w:highlight w:val="none"/>
        </w:rPr>
        <w:t>10.3 参选人对公示的中选结果有质疑，参选人需在公示期内以书面形式向比选人提出质疑。</w:t>
      </w:r>
      <w:r>
        <w:rPr>
          <w:rFonts w:hint="eastAsia"/>
          <w:color w:val="auto"/>
          <w:highlight w:val="none"/>
        </w:rPr>
        <w:t>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w:t>
      </w:r>
      <w:r>
        <w:rPr>
          <w:rFonts w:hint="default" w:ascii="Times New Roman" w:hAnsi="Times New Roman" w:cs="Times New Roman"/>
          <w:color w:val="auto"/>
          <w:highlight w:val="none"/>
        </w:rPr>
        <w:t>答复。</w:t>
      </w:r>
    </w:p>
    <w:p w14:paraId="337CE407">
      <w:pPr>
        <w:rPr>
          <w:rFonts w:hint="default" w:ascii="Times New Roman" w:hAnsi="Times New Roman" w:cs="Times New Roman"/>
          <w:color w:val="auto"/>
          <w:highlight w:val="none"/>
        </w:rPr>
      </w:pPr>
      <w:r>
        <w:rPr>
          <w:rFonts w:hint="default" w:ascii="Times New Roman" w:hAnsi="Times New Roman" w:cs="Times New Roman"/>
          <w:color w:val="auto"/>
          <w:highlight w:val="none"/>
        </w:rPr>
        <w:t>10.4 参选人对比选人的答复不满意或者有质疑，可向本行纪检监察部投诉。</w:t>
      </w:r>
    </w:p>
    <w:p w14:paraId="37DB5FB7">
      <w:pPr>
        <w:rPr>
          <w:rFonts w:hint="default" w:ascii="Times New Roman" w:hAnsi="Times New Roman" w:cs="Times New Roman"/>
          <w:color w:val="auto"/>
          <w:highlight w:val="none"/>
        </w:rPr>
      </w:pPr>
      <w:r>
        <w:rPr>
          <w:rFonts w:hint="default" w:ascii="Times New Roman" w:hAnsi="Times New Roman" w:cs="Times New Roman"/>
          <w:color w:val="auto"/>
          <w:highlight w:val="none"/>
        </w:rPr>
        <w:t>采购质疑邮箱：sx.jcb@ccqtgb.com</w:t>
      </w:r>
    </w:p>
    <w:p w14:paraId="11312526">
      <w:pPr>
        <w:rPr>
          <w:rFonts w:hint="default" w:ascii="Times New Roman" w:hAnsi="Times New Roman" w:cs="Times New Roman"/>
          <w:color w:val="auto"/>
          <w:highlight w:val="none"/>
        </w:rPr>
      </w:pPr>
      <w:r>
        <w:rPr>
          <w:rFonts w:hint="default" w:ascii="Times New Roman" w:hAnsi="Times New Roman" w:cs="Times New Roman"/>
          <w:color w:val="auto"/>
          <w:highlight w:val="none"/>
        </w:rPr>
        <w:t>采购投诉邮箱：</w:t>
      </w:r>
      <w:bookmarkStart w:id="42" w:name="_Hlk74215856"/>
      <w:r>
        <w:rPr>
          <w:rFonts w:hint="default" w:ascii="Times New Roman" w:hAnsi="Times New Roman" w:cs="Times New Roman"/>
          <w:snapToGrid w:val="0"/>
          <w:color w:val="auto"/>
          <w:kern w:val="0"/>
          <w:szCs w:val="24"/>
          <w:highlight w:val="none"/>
        </w:rPr>
        <w:t>sxyhjjz@ccqtgb.com</w:t>
      </w:r>
      <w:bookmarkEnd w:id="42"/>
    </w:p>
    <w:p w14:paraId="2F3ED339">
      <w:pPr>
        <w:pStyle w:val="3"/>
        <w:rPr>
          <w:rFonts w:hint="default" w:ascii="Times New Roman" w:hAnsi="Times New Roman" w:cs="Times New Roman"/>
          <w:color w:val="auto"/>
          <w:highlight w:val="none"/>
        </w:rPr>
      </w:pPr>
      <w:bookmarkStart w:id="43" w:name="_Toc11439"/>
      <w:bookmarkStart w:id="44" w:name="_Toc15059431"/>
      <w:bookmarkStart w:id="45" w:name="_Toc89675157"/>
      <w:bookmarkStart w:id="46" w:name="_Toc275199618"/>
      <w:bookmarkStart w:id="47" w:name="_Toc440628924"/>
      <w:r>
        <w:rPr>
          <w:rFonts w:hint="default" w:ascii="Times New Roman" w:hAnsi="Times New Roman" w:cs="Times New Roman"/>
          <w:color w:val="auto"/>
          <w:highlight w:val="none"/>
        </w:rPr>
        <w:t>11. 无效参选条款</w:t>
      </w:r>
      <w:bookmarkEnd w:id="43"/>
      <w:bookmarkEnd w:id="44"/>
      <w:bookmarkEnd w:id="45"/>
      <w:bookmarkEnd w:id="46"/>
      <w:bookmarkEnd w:id="47"/>
    </w:p>
    <w:p w14:paraId="38540A76">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参选人或其参选文件出现下列情况之一者，应为无效参选：</w:t>
      </w:r>
    </w:p>
    <w:p w14:paraId="33313251">
      <w:pPr>
        <w:rPr>
          <w:rFonts w:hint="default" w:ascii="Times New Roman" w:hAnsi="Times New Roman" w:cs="Times New Roman"/>
          <w:color w:val="auto"/>
          <w:highlight w:val="none"/>
        </w:rPr>
      </w:pPr>
      <w:r>
        <w:rPr>
          <w:rFonts w:hint="default" w:ascii="Times New Roman" w:hAnsi="Times New Roman" w:cs="Times New Roman"/>
          <w:color w:val="auto"/>
          <w:highlight w:val="none"/>
        </w:rPr>
        <w:t>11.1 参选人未按比选文件规定提交足额参选保证金的。</w:t>
      </w:r>
    </w:p>
    <w:p w14:paraId="116742CE">
      <w:pPr>
        <w:rPr>
          <w:rFonts w:hint="default" w:ascii="Times New Roman" w:hAnsi="Times New Roman" w:cs="Times New Roman"/>
          <w:color w:val="auto"/>
          <w:highlight w:val="none"/>
        </w:rPr>
      </w:pPr>
      <w:r>
        <w:rPr>
          <w:rFonts w:hint="default" w:ascii="Times New Roman" w:hAnsi="Times New Roman" w:cs="Times New Roman"/>
          <w:color w:val="auto"/>
          <w:highlight w:val="none"/>
        </w:rPr>
        <w:t>11.2 参选人未通过资格性检查，参选文件未通过符合性检查或参选文件经证实存在弄虚作假的。</w:t>
      </w:r>
    </w:p>
    <w:p w14:paraId="6D8D6EE5">
      <w:pPr>
        <w:rPr>
          <w:rFonts w:hint="default" w:ascii="Times New Roman" w:hAnsi="Times New Roman" w:cs="Times New Roman"/>
          <w:color w:val="auto"/>
          <w:highlight w:val="none"/>
        </w:rPr>
      </w:pPr>
      <w:r>
        <w:rPr>
          <w:rFonts w:hint="default" w:ascii="Times New Roman" w:hAnsi="Times New Roman" w:cs="Times New Roman"/>
          <w:color w:val="auto"/>
          <w:highlight w:val="none"/>
        </w:rPr>
        <w:t>11.3 参选人超出其营业执照或事业单位法人证书上经营范围（业务范围）参选的。</w:t>
      </w:r>
    </w:p>
    <w:p w14:paraId="04D01B27">
      <w:pPr>
        <w:rPr>
          <w:rFonts w:hint="default" w:ascii="Times New Roman" w:hAnsi="Times New Roman" w:cs="Times New Roman"/>
          <w:color w:val="auto"/>
          <w:highlight w:val="none"/>
        </w:rPr>
      </w:pPr>
      <w:r>
        <w:rPr>
          <w:rFonts w:hint="default" w:ascii="Times New Roman" w:hAnsi="Times New Roman" w:cs="Times New Roman"/>
          <w:color w:val="auto"/>
          <w:highlight w:val="none"/>
        </w:rPr>
        <w:t>11.4 单位负责人为同一人或者存在直接控股、管理关系的不同参选人，不得参加同一合同项下的采购活动。</w:t>
      </w:r>
    </w:p>
    <w:p w14:paraId="31DCFE8A">
      <w:pPr>
        <w:rPr>
          <w:rFonts w:hint="default" w:ascii="Times New Roman" w:hAnsi="Times New Roman" w:cs="Times New Roman"/>
          <w:color w:val="auto"/>
          <w:highlight w:val="none"/>
        </w:rPr>
      </w:pPr>
      <w:r>
        <w:rPr>
          <w:rFonts w:hint="default" w:ascii="Times New Roman" w:hAnsi="Times New Roman" w:cs="Times New Roman"/>
          <w:color w:val="auto"/>
          <w:highlight w:val="none"/>
        </w:rPr>
        <w:t>11.5 同一分包的软件，制造商参与参选，再委托代理商参与参选的。</w:t>
      </w:r>
    </w:p>
    <w:p w14:paraId="44F40941">
      <w:pPr>
        <w:rPr>
          <w:rFonts w:hint="default" w:ascii="Times New Roman" w:hAnsi="Times New Roman" w:cs="Times New Roman"/>
          <w:color w:val="auto"/>
          <w:highlight w:val="none"/>
        </w:rPr>
      </w:pPr>
      <w:r>
        <w:rPr>
          <w:rFonts w:hint="default" w:ascii="Times New Roman" w:hAnsi="Times New Roman" w:cs="Times New Roman"/>
          <w:color w:val="auto"/>
          <w:highlight w:val="none"/>
        </w:rPr>
        <w:t>11.6 参选文件不满足比选文件第六章参选文件格式中所规定签字、盖章的。</w:t>
      </w:r>
    </w:p>
    <w:p w14:paraId="717F4E38">
      <w:pPr>
        <w:rPr>
          <w:rFonts w:hint="default" w:ascii="Times New Roman" w:hAnsi="Times New Roman" w:cs="Times New Roman"/>
          <w:color w:val="auto"/>
          <w:highlight w:val="none"/>
        </w:rPr>
      </w:pPr>
      <w:r>
        <w:rPr>
          <w:rFonts w:hint="default" w:ascii="Times New Roman" w:hAnsi="Times New Roman" w:cs="Times New Roman"/>
          <w:color w:val="auto"/>
          <w:highlight w:val="none"/>
        </w:rPr>
        <w:t>11.7 参选文件出现多个参选方案或参选报价的。</w:t>
      </w:r>
    </w:p>
    <w:p w14:paraId="6103C67C">
      <w:pPr>
        <w:rPr>
          <w:rFonts w:hint="default" w:ascii="Times New Roman" w:hAnsi="Times New Roman" w:cs="Times New Roman"/>
          <w:color w:val="auto"/>
          <w:highlight w:val="none"/>
        </w:rPr>
      </w:pPr>
      <w:r>
        <w:rPr>
          <w:rFonts w:hint="default" w:ascii="Times New Roman" w:hAnsi="Times New Roman" w:cs="Times New Roman"/>
          <w:color w:val="auto"/>
          <w:highlight w:val="none"/>
        </w:rPr>
        <w:t>11.8 参选报价超出最高限价的。</w:t>
      </w:r>
    </w:p>
    <w:p w14:paraId="6AC05AFD">
      <w:pPr>
        <w:rPr>
          <w:rFonts w:hint="default" w:ascii="Times New Roman" w:hAnsi="Times New Roman" w:cs="Times New Roman"/>
          <w:color w:val="auto"/>
          <w:highlight w:val="none"/>
        </w:rPr>
      </w:pPr>
      <w:r>
        <w:rPr>
          <w:rFonts w:hint="default" w:ascii="Times New Roman" w:hAnsi="Times New Roman" w:cs="Times New Roman"/>
          <w:color w:val="auto"/>
          <w:highlight w:val="none"/>
        </w:rPr>
        <w:t>11.9 参选文件含有违反国家法律、法规的内容，或附有比选人不能接受的条件的。</w:t>
      </w:r>
    </w:p>
    <w:p w14:paraId="226BD398">
      <w:pPr>
        <w:rPr>
          <w:rFonts w:hint="default" w:ascii="Times New Roman" w:hAnsi="Times New Roman" w:cs="Times New Roman"/>
          <w:color w:val="auto"/>
          <w:highlight w:val="none"/>
        </w:rPr>
      </w:pPr>
      <w:r>
        <w:rPr>
          <w:rFonts w:hint="default" w:ascii="Times New Roman" w:hAnsi="Times New Roman" w:cs="Times New Roman"/>
          <w:color w:val="auto"/>
          <w:highlight w:val="none"/>
        </w:rPr>
        <w:t>11.10 出现影响比选公正的违法、违规行为的。</w:t>
      </w:r>
    </w:p>
    <w:p w14:paraId="6D6CD858">
      <w:pPr>
        <w:rPr>
          <w:rFonts w:hint="default" w:ascii="Times New Roman" w:hAnsi="Times New Roman" w:cs="Times New Roman"/>
          <w:color w:val="auto"/>
          <w:highlight w:val="none"/>
        </w:rPr>
      </w:pPr>
      <w:r>
        <w:rPr>
          <w:rFonts w:hint="default" w:ascii="Times New Roman" w:hAnsi="Times New Roman" w:cs="Times New Roman"/>
          <w:color w:val="auto"/>
          <w:highlight w:val="none"/>
        </w:rPr>
        <w:t>11.11 与比选人、评审专家、其他参选人恶意串通。</w:t>
      </w:r>
    </w:p>
    <w:p w14:paraId="78EEEAC4">
      <w:pPr>
        <w:rPr>
          <w:rFonts w:hint="default" w:ascii="Times New Roman" w:hAnsi="Times New Roman" w:cs="Times New Roman"/>
          <w:color w:val="auto"/>
          <w:highlight w:val="none"/>
        </w:rPr>
      </w:pPr>
      <w:r>
        <w:rPr>
          <w:rFonts w:hint="default" w:ascii="Times New Roman" w:hAnsi="Times New Roman" w:cs="Times New Roman"/>
          <w:color w:val="auto"/>
          <w:highlight w:val="none"/>
        </w:rPr>
        <w:t>11.12 参选法人发生合并、分立、破产等重大变化后，不再具备比选要求的资格条件的。</w:t>
      </w:r>
    </w:p>
    <w:p w14:paraId="64BF4F4C">
      <w:pPr>
        <w:rPr>
          <w:rFonts w:hint="default" w:ascii="Times New Roman" w:hAnsi="Times New Roman" w:cs="Times New Roman"/>
          <w:color w:val="auto"/>
          <w:highlight w:val="none"/>
        </w:rPr>
      </w:pPr>
      <w:r>
        <w:rPr>
          <w:rFonts w:hint="default" w:ascii="Times New Roman" w:hAnsi="Times New Roman" w:cs="Times New Roman"/>
          <w:color w:val="auto"/>
          <w:highlight w:val="none"/>
        </w:rPr>
        <w:t>11.13 提供虚假材料谋取中选资格的。</w:t>
      </w:r>
    </w:p>
    <w:p w14:paraId="389F1E39">
      <w:pPr>
        <w:rPr>
          <w:rFonts w:hint="default" w:ascii="Times New Roman" w:hAnsi="Times New Roman" w:cs="Times New Roman"/>
          <w:color w:val="auto"/>
          <w:highlight w:val="none"/>
        </w:rPr>
      </w:pPr>
      <w:r>
        <w:rPr>
          <w:rFonts w:hint="default" w:ascii="Times New Roman" w:hAnsi="Times New Roman" w:cs="Times New Roman"/>
          <w:color w:val="auto"/>
          <w:highlight w:val="none"/>
        </w:rPr>
        <w:t>11.14 参选文件含有比选人不能接受的附件条件的。</w:t>
      </w:r>
    </w:p>
    <w:p w14:paraId="47D91F89">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12. 比选失败情形</w:t>
      </w:r>
    </w:p>
    <w:p w14:paraId="0A331C23">
      <w:pPr>
        <w:snapToGrid w:val="0"/>
        <w:rPr>
          <w:rFonts w:hint="default" w:ascii="Times New Roman" w:hAnsi="Times New Roman" w:cs="Times New Roman"/>
          <w:color w:val="auto"/>
          <w:highlight w:val="none"/>
        </w:rPr>
      </w:pPr>
      <w:r>
        <w:rPr>
          <w:rFonts w:hint="default" w:ascii="Times New Roman" w:hAnsi="Times New Roman" w:cs="Times New Roman"/>
          <w:color w:val="auto"/>
          <w:highlight w:val="none"/>
        </w:rPr>
        <w:t>出现以下情形本次比选失败：</w:t>
      </w:r>
    </w:p>
    <w:p w14:paraId="04D788CE">
      <w:pPr>
        <w:snapToGrid w:val="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12.1 </w:t>
      </w:r>
      <w:r>
        <w:rPr>
          <w:rFonts w:hint="eastAsia" w:ascii="Times New Roman" w:hAnsi="Times New Roman" w:cs="Times New Roman"/>
          <w:color w:val="auto"/>
          <w:highlight w:val="none"/>
          <w:lang w:eastAsia="zh-CN"/>
        </w:rPr>
        <w:t>参</w:t>
      </w:r>
      <w:r>
        <w:rPr>
          <w:rFonts w:hint="default" w:ascii="Times New Roman" w:hAnsi="Times New Roman" w:cs="Times New Roman"/>
          <w:color w:val="auto"/>
          <w:highlight w:val="none"/>
        </w:rPr>
        <w:t>选截止时间止，参选人少于2个的。</w:t>
      </w:r>
    </w:p>
    <w:p w14:paraId="675ADDC0">
      <w:pPr>
        <w:rPr>
          <w:rFonts w:hint="default" w:ascii="Times New Roman" w:hAnsi="Times New Roman" w:cs="Times New Roman"/>
          <w:color w:val="auto"/>
          <w:highlight w:val="none"/>
        </w:rPr>
      </w:pPr>
      <w:r>
        <w:rPr>
          <w:rFonts w:hint="default" w:ascii="Times New Roman" w:hAnsi="Times New Roman" w:cs="Times New Roman"/>
          <w:color w:val="auto"/>
          <w:highlight w:val="none"/>
        </w:rPr>
        <w:t>12.2 经评审委员会评审后否决所有参选的。</w:t>
      </w:r>
    </w:p>
    <w:p w14:paraId="64AEF2A8">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13. 终止比选</w:t>
      </w:r>
      <w:bookmarkEnd w:id="41"/>
    </w:p>
    <w:p w14:paraId="642B8FEE">
      <w:pPr>
        <w:rPr>
          <w:rFonts w:hint="default" w:ascii="Times New Roman" w:hAnsi="Times New Roman" w:cs="Times New Roman"/>
          <w:color w:val="auto"/>
          <w:highlight w:val="none"/>
        </w:rPr>
      </w:pPr>
      <w:r>
        <w:rPr>
          <w:rFonts w:hint="default" w:ascii="Times New Roman" w:hAnsi="Times New Roman" w:cs="Times New Roman"/>
          <w:color w:val="auto"/>
          <w:highlight w:val="none"/>
        </w:rPr>
        <w:t>13.1 因情况发生变化或其他原因造成该项目取消的，本次比选自动终止，双方互不承担责任，比选人无息退还参选保证金。</w:t>
      </w:r>
    </w:p>
    <w:p w14:paraId="0B558D44">
      <w:pPr>
        <w:rPr>
          <w:rFonts w:hint="default" w:ascii="Times New Roman" w:hAnsi="Times New Roman" w:cs="Times New Roman"/>
          <w:color w:val="auto"/>
          <w:highlight w:val="none"/>
        </w:rPr>
      </w:pPr>
      <w:r>
        <w:rPr>
          <w:rFonts w:hint="default" w:ascii="Times New Roman" w:hAnsi="Times New Roman" w:cs="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21306FDE">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14. 参选费用</w:t>
      </w:r>
    </w:p>
    <w:p w14:paraId="0AC893C1">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参选人参与本比选项目时，一切与参选有关的费用均由参选人自理。</w:t>
      </w:r>
    </w:p>
    <w:p w14:paraId="0E045114">
      <w:pPr>
        <w:keepNext w:val="0"/>
        <w:keepLines w:val="0"/>
        <w:pageBreakBefore w:val="0"/>
        <w:widowControl w:val="0"/>
        <w:kinsoku/>
        <w:wordWrap/>
        <w:overflowPunct/>
        <w:topLinePunct w:val="0"/>
        <w:autoSpaceDE w:val="0"/>
        <w:autoSpaceDN w:val="0"/>
        <w:bidi w:val="0"/>
        <w:adjustRightInd/>
        <w:snapToGrid/>
        <w:spacing w:after="157" w:afterLines="50"/>
        <w:textAlignment w:val="auto"/>
        <w:rPr>
          <w:rFonts w:ascii="Times New Roman" w:hAnsi="Times New Roman" w:cs="Times New Roman"/>
          <w:color w:val="auto"/>
          <w:highlight w:val="none"/>
          <w:lang w:bidi="ar-SA"/>
        </w:rPr>
      </w:pPr>
      <w:r>
        <w:rPr>
          <w:rFonts w:hint="default" w:ascii="Times New Roman" w:hAnsi="Times New Roman" w:cs="Times New Roman"/>
          <w:color w:val="auto"/>
          <w:highlight w:val="none"/>
        </w:rPr>
        <w:t>本项目平台服务费为</w:t>
      </w:r>
      <w:r>
        <w:rPr>
          <w:rFonts w:hint="eastAsia" w:ascii="Times New Roman" w:hAnsi="Times New Roman" w:cs="Times New Roman"/>
          <w:color w:val="auto"/>
          <w:highlight w:val="none"/>
          <w:lang w:bidi="ar-SA"/>
        </w:rPr>
        <w:t>下表比例（按差额定率累进计算方式）收取</w:t>
      </w:r>
      <w:r>
        <w:rPr>
          <w:rFonts w:hint="default" w:ascii="Times New Roman" w:hAnsi="Times New Roman" w:cs="Times New Roman"/>
          <w:color w:val="auto"/>
          <w:highlight w:val="none"/>
        </w:rPr>
        <w:t>，由中选人向重庆联合产权交易所集团股份有限公司支付。中选人应在领取中选通知书时一次性缴纳，请各参选人综合考虑进行报价。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4297"/>
      </w:tblGrid>
      <w:tr w14:paraId="230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5" w:type="dxa"/>
            <w:noWrap w:val="0"/>
            <w:vAlign w:val="center"/>
          </w:tcPr>
          <w:p w14:paraId="5FC45D76">
            <w:pPr>
              <w:spacing w:line="4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每个标段（包）采购成交总金额</w:t>
            </w:r>
          </w:p>
        </w:tc>
        <w:tc>
          <w:tcPr>
            <w:tcW w:w="4297" w:type="dxa"/>
            <w:noWrap w:val="0"/>
            <w:vAlign w:val="center"/>
          </w:tcPr>
          <w:p w14:paraId="40242D68">
            <w:pPr>
              <w:pStyle w:val="12"/>
              <w:keepNext w:val="0"/>
              <w:keepLines w:val="0"/>
              <w:pageBreakBefore w:val="0"/>
              <w:widowControl w:val="0"/>
              <w:kinsoku/>
              <w:wordWrap/>
              <w:overflowPunct/>
              <w:topLinePunct w:val="0"/>
              <w:autoSpaceDE w:val="0"/>
              <w:autoSpaceDN w:val="0"/>
              <w:bidi w:val="0"/>
              <w:adjustRightInd/>
              <w:snapToGrid/>
              <w:spacing w:after="0" w:line="40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收费比例</w:t>
            </w:r>
          </w:p>
        </w:tc>
      </w:tr>
      <w:tr w14:paraId="3D1C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5" w:type="dxa"/>
            <w:noWrap w:val="0"/>
            <w:vAlign w:val="center"/>
          </w:tcPr>
          <w:p w14:paraId="036364BC">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0-1000（含）万元</w:t>
            </w:r>
          </w:p>
        </w:tc>
        <w:tc>
          <w:tcPr>
            <w:tcW w:w="4297" w:type="dxa"/>
            <w:noWrap w:val="0"/>
            <w:vAlign w:val="center"/>
          </w:tcPr>
          <w:p w14:paraId="481DBC3E">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r>
      <w:tr w14:paraId="51B5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5" w:type="dxa"/>
            <w:noWrap w:val="0"/>
            <w:vAlign w:val="center"/>
          </w:tcPr>
          <w:p w14:paraId="4ED84C0C">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1000-3000（含）万元</w:t>
            </w:r>
          </w:p>
        </w:tc>
        <w:tc>
          <w:tcPr>
            <w:tcW w:w="4297" w:type="dxa"/>
            <w:noWrap w:val="0"/>
            <w:vAlign w:val="center"/>
          </w:tcPr>
          <w:p w14:paraId="2448FF9F">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2.5‰</w:t>
            </w:r>
          </w:p>
        </w:tc>
      </w:tr>
      <w:tr w14:paraId="077F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5" w:type="dxa"/>
            <w:noWrap w:val="0"/>
            <w:vAlign w:val="center"/>
          </w:tcPr>
          <w:p w14:paraId="552F5103">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3000-10000（含）万元</w:t>
            </w:r>
          </w:p>
        </w:tc>
        <w:tc>
          <w:tcPr>
            <w:tcW w:w="4297" w:type="dxa"/>
            <w:noWrap w:val="0"/>
            <w:vAlign w:val="center"/>
          </w:tcPr>
          <w:p w14:paraId="61043AAB">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r>
      <w:tr w14:paraId="5A6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5" w:type="dxa"/>
            <w:noWrap w:val="0"/>
            <w:vAlign w:val="center"/>
          </w:tcPr>
          <w:p w14:paraId="09A93F45">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10000万元以上</w:t>
            </w:r>
          </w:p>
        </w:tc>
        <w:tc>
          <w:tcPr>
            <w:tcW w:w="4297" w:type="dxa"/>
            <w:noWrap w:val="0"/>
            <w:vAlign w:val="center"/>
          </w:tcPr>
          <w:p w14:paraId="49E30C2C">
            <w:pPr>
              <w:spacing w:line="4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0.5‰</w:t>
            </w:r>
          </w:p>
        </w:tc>
      </w:tr>
    </w:tbl>
    <w:p w14:paraId="23BEF733">
      <w:pPr>
        <w:keepNext w:val="0"/>
        <w:keepLines w:val="0"/>
        <w:pageBreakBefore w:val="0"/>
        <w:widowControl w:val="0"/>
        <w:kinsoku/>
        <w:wordWrap/>
        <w:overflowPunct/>
        <w:topLinePunct w:val="0"/>
        <w:autoSpaceDE w:val="0"/>
        <w:autoSpaceDN w:val="0"/>
        <w:bidi w:val="0"/>
        <w:adjustRightInd/>
        <w:snapToGrid/>
        <w:spacing w:beforeAutospacing="0" w:line="600" w:lineRule="exact"/>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例如：某专业性平台服务的某标段（包）采购成交总金额3200万元，计算平台服务费收费额如下：</w:t>
      </w:r>
    </w:p>
    <w:p w14:paraId="1CB4F190">
      <w:pPr>
        <w:pStyle w:val="12"/>
        <w:keepNext w:val="0"/>
        <w:keepLines w:val="0"/>
        <w:pageBreakBefore w:val="0"/>
        <w:widowControl w:val="0"/>
        <w:kinsoku/>
        <w:wordWrap/>
        <w:overflowPunct/>
        <w:topLinePunct w:val="0"/>
        <w:autoSpaceDE w:val="0"/>
        <w:autoSpaceDN w:val="0"/>
        <w:bidi w:val="0"/>
        <w:adjustRightInd/>
        <w:snapToGrid/>
        <w:spacing w:before="0" w:beforeAutospacing="0" w:after="0" w:line="600" w:lineRule="exact"/>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1000万元×5‰=5万元</w:t>
      </w:r>
    </w:p>
    <w:p w14:paraId="31F45C3E">
      <w:pPr>
        <w:pStyle w:val="12"/>
        <w:keepNext w:val="0"/>
        <w:keepLines w:val="0"/>
        <w:pageBreakBefore w:val="0"/>
        <w:widowControl w:val="0"/>
        <w:kinsoku/>
        <w:wordWrap/>
        <w:overflowPunct/>
        <w:topLinePunct w:val="0"/>
        <w:autoSpaceDE w:val="0"/>
        <w:autoSpaceDN w:val="0"/>
        <w:bidi w:val="0"/>
        <w:adjustRightInd/>
        <w:snapToGrid/>
        <w:spacing w:before="0" w:beforeAutospacing="0" w:after="0" w:line="600" w:lineRule="exact"/>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（3000-1000）万元×2.5‰=5万元</w:t>
      </w:r>
    </w:p>
    <w:p w14:paraId="3A69ADFE">
      <w:pPr>
        <w:keepNext w:val="0"/>
        <w:keepLines w:val="0"/>
        <w:pageBreakBefore w:val="0"/>
        <w:widowControl w:val="0"/>
        <w:kinsoku/>
        <w:wordWrap/>
        <w:overflowPunct/>
        <w:topLinePunct w:val="0"/>
        <w:autoSpaceDE w:val="0"/>
        <w:autoSpaceDN w:val="0"/>
        <w:bidi w:val="0"/>
        <w:adjustRightInd/>
        <w:snapToGrid/>
        <w:spacing w:beforeAutospacing="0" w:line="600" w:lineRule="exact"/>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（3200-3000）万元×1‰=0.2万元</w:t>
      </w:r>
    </w:p>
    <w:p w14:paraId="6CDE15F8">
      <w:pPr>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合计收费：=5+5+0.2=10.2万元</w:t>
      </w:r>
    </w:p>
    <w:p w14:paraId="320631F0">
      <w:pPr>
        <w:widowControl/>
        <w:jc w:val="left"/>
        <w:rPr>
          <w:rFonts w:hint="default" w:ascii="Times New Roman" w:hAnsi="Times New Roman" w:cs="Times New Roman"/>
          <w:snapToGrid w:val="0"/>
          <w:color w:val="auto"/>
          <w:kern w:val="0"/>
          <w:szCs w:val="28"/>
          <w:highlight w:val="none"/>
        </w:rPr>
      </w:pPr>
      <w:r>
        <w:rPr>
          <w:rFonts w:hint="default" w:ascii="Times New Roman" w:hAnsi="Times New Roman" w:cs="Times New Roman"/>
          <w:snapToGrid w:val="0"/>
          <w:color w:val="auto"/>
          <w:kern w:val="0"/>
          <w:szCs w:val="28"/>
          <w:highlight w:val="none"/>
        </w:rPr>
        <w:br w:type="page"/>
      </w:r>
    </w:p>
    <w:p w14:paraId="1B164C54">
      <w:pPr>
        <w:pStyle w:val="2"/>
        <w:rPr>
          <w:rFonts w:hint="default" w:ascii="Times New Roman" w:hAnsi="Times New Roman" w:cs="Times New Roman"/>
          <w:color w:val="auto"/>
          <w:highlight w:val="none"/>
          <w:lang w:val="en-US" w:eastAsia="zh-CN"/>
        </w:rPr>
      </w:pPr>
      <w:bookmarkStart w:id="48" w:name="_Toc27807"/>
      <w:bookmarkStart w:id="49" w:name="_Toc11567"/>
      <w:r>
        <w:rPr>
          <w:rFonts w:hint="default" w:ascii="Times New Roman" w:hAnsi="Times New Roman" w:cs="Times New Roman"/>
          <w:color w:val="auto"/>
          <w:highlight w:val="none"/>
        </w:rPr>
        <w:t>第三章 项目要求</w:t>
      </w:r>
      <w:bookmarkEnd w:id="48"/>
      <w:bookmarkEnd w:id="49"/>
      <w:r>
        <w:rPr>
          <w:rFonts w:hint="eastAsia" w:ascii="Times New Roman" w:hAnsi="Times New Roman" w:cs="Times New Roman"/>
          <w:color w:val="auto"/>
          <w:highlight w:val="none"/>
          <w:lang w:val="en-US" w:eastAsia="zh-CN"/>
        </w:rPr>
        <w:t xml:space="preserve"> </w:t>
      </w:r>
    </w:p>
    <w:p w14:paraId="202B31DD">
      <w:pPr>
        <w:pStyle w:val="3"/>
        <w:numPr>
          <w:ilvl w:val="0"/>
          <w:numId w:val="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项目实施内容</w:t>
      </w:r>
    </w:p>
    <w:p w14:paraId="622CDD9A">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现状分析调研</w:t>
      </w:r>
    </w:p>
    <w:p w14:paraId="64319501">
      <w:pPr>
        <w:pStyle w:val="20"/>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为更好地达成项目建设目标，确保新一代数据中台能够切实满足业务需求，并为后续项目建设规划和实施提供依据，参选人应先对比选人数据现状进行分析调研，具体要求包括但不限于：</w:t>
      </w:r>
    </w:p>
    <w:p w14:paraId="42F3EA39">
      <w:pPr>
        <w:pStyle w:val="2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lang w:val="en-US" w:eastAsia="zh-CN"/>
        </w:rPr>
        <w:t>参选人需</w:t>
      </w:r>
      <w:r>
        <w:rPr>
          <w:rFonts w:hint="eastAsia" w:ascii="Times New Roman" w:hAnsi="Times New Roman" w:cs="Times New Roman"/>
          <w:color w:val="auto"/>
          <w:highlight w:val="none"/>
          <w:lang w:val="en-US" w:eastAsia="zh-CN"/>
        </w:rPr>
        <w:t>全面调研</w:t>
      </w:r>
      <w:r>
        <w:rPr>
          <w:rFonts w:hint="default" w:ascii="Times New Roman" w:hAnsi="Times New Roman" w:eastAsia="宋体" w:cs="Times New Roman"/>
          <w:color w:val="auto"/>
          <w:highlight w:val="none"/>
          <w:lang w:val="en-US" w:eastAsia="zh-CN"/>
        </w:rPr>
        <w:t>比选人现有数据平台的整体架构、关键技术组件</w:t>
      </w:r>
      <w:r>
        <w:rPr>
          <w:rFonts w:hint="eastAsia" w:ascii="Times New Roman" w:hAnsi="Times New Roman" w:cs="Times New Roman"/>
          <w:color w:val="auto"/>
          <w:highlight w:val="none"/>
          <w:lang w:val="en-US" w:eastAsia="zh-CN"/>
        </w:rPr>
        <w:t>、关联的各业务系统</w:t>
      </w:r>
      <w:r>
        <w:rPr>
          <w:rFonts w:hint="default" w:ascii="Times New Roman" w:hAnsi="Times New Roman" w:cs="Times New Roman"/>
          <w:color w:val="auto"/>
          <w:highlight w:val="none"/>
          <w:lang w:val="en-US" w:eastAsia="zh-CN"/>
        </w:rPr>
        <w:t>及业务支撑</w:t>
      </w:r>
      <w:r>
        <w:rPr>
          <w:rFonts w:hint="eastAsia" w:ascii="Times New Roman" w:hAnsi="Times New Roman" w:cs="Times New Roman"/>
          <w:color w:val="auto"/>
          <w:highlight w:val="none"/>
          <w:lang w:val="en-US" w:eastAsia="zh-CN"/>
        </w:rPr>
        <w:t>场景，</w:t>
      </w:r>
      <w:r>
        <w:rPr>
          <w:rFonts w:hint="default" w:ascii="Times New Roman" w:hAnsi="Times New Roman" w:eastAsia="宋体" w:cs="Times New Roman"/>
          <w:color w:val="auto"/>
          <w:highlight w:val="none"/>
          <w:lang w:val="en-US" w:eastAsia="zh-CN"/>
        </w:rPr>
        <w:t>梳理现有数据平台的数据量、存储方式、数据应用场景及数据源（包括各类业务系统、外部数据源）等</w:t>
      </w:r>
      <w:r>
        <w:rPr>
          <w:rFonts w:hint="default" w:ascii="Times New Roman" w:hAnsi="Times New Roman" w:cs="Times New Roman"/>
          <w:color w:val="auto"/>
          <w:highlight w:val="none"/>
          <w:lang w:val="en-US" w:eastAsia="zh-CN"/>
        </w:rPr>
        <w:t>；</w:t>
      </w:r>
    </w:p>
    <w:p w14:paraId="79F9CD2E">
      <w:pPr>
        <w:pStyle w:val="2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val="en-US" w:eastAsia="zh-CN"/>
        </w:rPr>
        <w:t>参选人需</w:t>
      </w:r>
      <w:r>
        <w:rPr>
          <w:rFonts w:hint="default" w:ascii="Times New Roman" w:hAnsi="Times New Roman" w:cs="Times New Roman"/>
          <w:color w:val="auto"/>
          <w:highlight w:val="none"/>
          <w:lang w:val="en-US" w:eastAsia="zh-CN"/>
        </w:rPr>
        <w:t>收集比选人的战略规划、组织架构、规章制度等资料，理清业务范围、管理及流程，并通过</w:t>
      </w:r>
      <w:r>
        <w:rPr>
          <w:rFonts w:hint="default" w:ascii="Times New Roman" w:hAnsi="Times New Roman" w:eastAsia="宋体" w:cs="Times New Roman"/>
          <w:color w:val="auto"/>
          <w:highlight w:val="none"/>
          <w:lang w:val="en-US" w:eastAsia="zh-CN"/>
        </w:rPr>
        <w:t>访谈、调研等多种方式深入了解各业务部门</w:t>
      </w:r>
      <w:r>
        <w:rPr>
          <w:rFonts w:hint="default" w:ascii="Times New Roman" w:hAnsi="Times New Roman" w:cs="Times New Roman"/>
          <w:color w:val="auto"/>
          <w:highlight w:val="none"/>
          <w:lang w:val="en-US" w:eastAsia="zh-CN"/>
        </w:rPr>
        <w:t>在数据</w:t>
      </w:r>
      <w:r>
        <w:rPr>
          <w:rFonts w:hint="default" w:ascii="Times New Roman" w:hAnsi="Times New Roman" w:eastAsia="宋体" w:cs="Times New Roman"/>
          <w:color w:val="auto"/>
          <w:highlight w:val="none"/>
          <w:lang w:val="en-US" w:eastAsia="zh-CN"/>
        </w:rPr>
        <w:t>使用过程中的主要问题</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val="en-US" w:eastAsia="zh-CN"/>
        </w:rPr>
        <w:t>未来的数据</w:t>
      </w:r>
      <w:r>
        <w:rPr>
          <w:rFonts w:hint="default" w:ascii="Times New Roman" w:hAnsi="Times New Roman" w:eastAsia="宋体" w:cs="Times New Roman"/>
          <w:color w:val="auto"/>
          <w:highlight w:val="none"/>
          <w:lang w:val="en-US" w:eastAsia="zh-CN"/>
        </w:rPr>
        <w:t>使用需求</w:t>
      </w:r>
      <w:r>
        <w:rPr>
          <w:rFonts w:hint="eastAsia" w:ascii="Times New Roman" w:hAnsi="Times New Roman" w:cs="Times New Roman"/>
          <w:color w:val="auto"/>
          <w:highlight w:val="none"/>
          <w:lang w:val="en-US" w:eastAsia="zh-CN"/>
        </w:rPr>
        <w:t>与</w:t>
      </w:r>
      <w:r>
        <w:rPr>
          <w:rFonts w:hint="default" w:ascii="Times New Roman" w:hAnsi="Times New Roman" w:cs="Times New Roman"/>
          <w:color w:val="auto"/>
          <w:highlight w:val="none"/>
          <w:lang w:val="en-US" w:eastAsia="zh-CN"/>
        </w:rPr>
        <w:t>期望，</w:t>
      </w:r>
      <w:r>
        <w:rPr>
          <w:rFonts w:hint="eastAsia" w:ascii="Times New Roman" w:hAnsi="Times New Roman" w:cs="Times New Roman"/>
          <w:color w:val="auto"/>
          <w:highlight w:val="none"/>
          <w:lang w:val="en-US" w:eastAsia="zh-CN"/>
        </w:rPr>
        <w:t>整合形成业务需求清单</w:t>
      </w:r>
      <w:r>
        <w:rPr>
          <w:rFonts w:hint="default" w:ascii="Times New Roman" w:hAnsi="Times New Roman" w:cs="Times New Roman"/>
          <w:color w:val="auto"/>
          <w:highlight w:val="none"/>
          <w:lang w:val="en-US" w:eastAsia="zh-CN"/>
        </w:rPr>
        <w:t>；</w:t>
      </w:r>
    </w:p>
    <w:p w14:paraId="2F0482CE">
      <w:pPr>
        <w:pStyle w:val="20"/>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参选人在项目分析调研完成后需产出</w:t>
      </w:r>
      <w:r>
        <w:rPr>
          <w:rFonts w:hint="eastAsia" w:ascii="Times New Roman" w:hAnsi="Times New Roman" w:cs="Times New Roman"/>
          <w:color w:val="auto"/>
          <w:highlight w:val="none"/>
          <w:lang w:val="en-US" w:eastAsia="zh-CN"/>
        </w:rPr>
        <w:t>的内容</w:t>
      </w:r>
      <w:r>
        <w:rPr>
          <w:rFonts w:hint="default" w:ascii="Times New Roman" w:hAnsi="Times New Roman" w:cs="Times New Roman"/>
          <w:color w:val="auto"/>
          <w:highlight w:val="none"/>
          <w:lang w:val="en-US" w:eastAsia="zh-CN"/>
        </w:rPr>
        <w:t>包括但不限于：数据平台现状</w:t>
      </w:r>
      <w:r>
        <w:rPr>
          <w:rFonts w:hint="eastAsia" w:ascii="Times New Roman" w:hAnsi="Times New Roman" w:cs="Times New Roman"/>
          <w:color w:val="auto"/>
          <w:highlight w:val="none"/>
          <w:lang w:val="en-US" w:eastAsia="zh-CN"/>
        </w:rPr>
        <w:t>调研</w:t>
      </w:r>
      <w:r>
        <w:rPr>
          <w:rFonts w:hint="default" w:ascii="Times New Roman" w:hAnsi="Times New Roman" w:cs="Times New Roman"/>
          <w:color w:val="auto"/>
          <w:highlight w:val="none"/>
          <w:lang w:val="en-US" w:eastAsia="zh-CN"/>
        </w:rPr>
        <w:t>分析报告、业务需求</w:t>
      </w:r>
      <w:r>
        <w:rPr>
          <w:rFonts w:hint="eastAsia" w:ascii="Times New Roman" w:hAnsi="Times New Roman" w:cs="Times New Roman"/>
          <w:color w:val="auto"/>
          <w:highlight w:val="none"/>
          <w:lang w:val="en-US" w:eastAsia="zh-CN"/>
        </w:rPr>
        <w:t>调研</w:t>
      </w:r>
      <w:r>
        <w:rPr>
          <w:rFonts w:hint="default" w:ascii="Times New Roman" w:hAnsi="Times New Roman" w:cs="Times New Roman"/>
          <w:color w:val="auto"/>
          <w:highlight w:val="none"/>
          <w:lang w:val="en-US" w:eastAsia="zh-CN"/>
        </w:rPr>
        <w:t>分析报告</w:t>
      </w:r>
      <w:r>
        <w:rPr>
          <w:rFonts w:hint="eastAsia" w:ascii="Times New Roman" w:hAnsi="Times New Roman" w:cs="Times New Roman"/>
          <w:color w:val="auto"/>
          <w:highlight w:val="none"/>
          <w:lang w:val="en-US" w:eastAsia="zh-CN"/>
        </w:rPr>
        <w:t>等</w:t>
      </w:r>
      <w:r>
        <w:rPr>
          <w:rFonts w:hint="default" w:ascii="Times New Roman" w:hAnsi="Times New Roman" w:cs="Times New Roman"/>
          <w:color w:val="auto"/>
          <w:highlight w:val="none"/>
          <w:lang w:val="en-US" w:eastAsia="zh-CN"/>
        </w:rPr>
        <w:t>。</w:t>
      </w:r>
    </w:p>
    <w:p w14:paraId="1DF9924A">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leftChars="0" w:firstLine="482" w:firstLineChars="200"/>
        <w:textAlignment w:val="auto"/>
        <w:outlineLvl w:val="2"/>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项目建设规划</w:t>
      </w:r>
    </w:p>
    <w:p w14:paraId="1C81610D">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数据中台架构设计</w:t>
      </w:r>
    </w:p>
    <w:p w14:paraId="196D3B8C">
      <w:pPr>
        <w:keepNext w:val="0"/>
        <w:keepLines w:val="0"/>
        <w:pageBreakBefore w:val="0"/>
        <w:widowControl w:val="0"/>
        <w:tabs>
          <w:tab w:val="left" w:pos="3140"/>
        </w:tabs>
        <w:kinsoku/>
        <w:wordWrap/>
        <w:overflowPunct/>
        <w:topLinePunct w:val="0"/>
        <w:autoSpaceDE w:val="0"/>
        <w:autoSpaceDN w:val="0"/>
        <w:bidi w:val="0"/>
        <w:adjustRightInd/>
        <w:snapToGrid/>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（1）数据架构</w:t>
      </w:r>
    </w:p>
    <w:p w14:paraId="0BA28CE5">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参选人</w:t>
      </w:r>
      <w:r>
        <w:rPr>
          <w:rFonts w:hint="eastAsia" w:ascii="Times New Roman" w:hAnsi="Times New Roman" w:cs="Times New Roman"/>
          <w:color w:val="auto"/>
          <w:highlight w:val="none"/>
          <w:lang w:val="en-US" w:eastAsia="zh-CN"/>
        </w:rPr>
        <w:t>需</w:t>
      </w:r>
      <w:r>
        <w:rPr>
          <w:rFonts w:hint="default" w:ascii="Times New Roman" w:hAnsi="Times New Roman" w:cs="Times New Roman"/>
          <w:b w:val="0"/>
          <w:bCs w:val="0"/>
          <w:i w:val="0"/>
          <w:iCs w:val="0"/>
          <w:caps w:val="0"/>
          <w:smallCaps w:val="0"/>
          <w:color w:val="auto"/>
          <w:spacing w:val="0"/>
          <w:sz w:val="24"/>
          <w:szCs w:val="20"/>
          <w:highlight w:val="none"/>
          <w:shd w:val="clear" w:color="auto" w:fill="auto"/>
        </w:rPr>
        <w:t>遵循数据建设方法论</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eastAsia="zh-CN"/>
        </w:rPr>
        <w:t>，</w:t>
      </w:r>
      <w:r>
        <w:rPr>
          <w:rFonts w:hint="eastAsia" w:ascii="Times New Roman" w:hAnsi="Times New Roman" w:cs="Times New Roman"/>
          <w:b w:val="0"/>
          <w:bCs w:val="0"/>
          <w:i w:val="0"/>
          <w:iCs w:val="0"/>
          <w:caps w:val="0"/>
          <w:smallCaps w:val="0"/>
          <w:color w:val="auto"/>
          <w:spacing w:val="0"/>
          <w:sz w:val="24"/>
          <w:szCs w:val="20"/>
          <w:highlight w:val="none"/>
          <w:shd w:val="clear" w:color="auto" w:fill="auto"/>
          <w:lang w:val="en-US" w:eastAsia="zh-CN"/>
        </w:rPr>
        <w:t>充分借鉴业内数据架构先进实践并结合比选人实际数据情况，设计一套涵盖数据全生命周期管理各个环节，且能够满足比选人业务发展和创新需求，同时保证数据的安全性、可靠性和可用性的数据架构。</w:t>
      </w:r>
      <w:r>
        <w:rPr>
          <w:rFonts w:hint="eastAsia" w:ascii="Times New Roman" w:hAnsi="Times New Roman" w:cs="Times New Roman"/>
          <w:color w:val="auto"/>
          <w:highlight w:val="none"/>
          <w:lang w:val="en-US" w:eastAsia="zh-CN"/>
        </w:rPr>
        <w:t>数据架构设计应满足的要求包括但不限于：</w:t>
      </w:r>
    </w:p>
    <w:p w14:paraId="1EDE3834">
      <w:pPr>
        <w:keepNext w:val="0"/>
        <w:keepLines w:val="0"/>
        <w:pageBreakBefore w:val="0"/>
        <w:widowControl w:val="0"/>
        <w:numPr>
          <w:ilvl w:val="0"/>
          <w:numId w:val="3"/>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数据架构</w:t>
      </w:r>
      <w:r>
        <w:rPr>
          <w:rFonts w:hint="default" w:ascii="Times New Roman" w:hAnsi="Times New Roman" w:cs="Times New Roman"/>
          <w:color w:val="auto"/>
          <w:highlight w:val="none"/>
          <w:lang w:val="en-US" w:eastAsia="zh-CN"/>
        </w:rPr>
        <w:t>应考虑金融业务特性，合理设计数据湖、离线数仓、实时数仓的数据分层</w:t>
      </w:r>
      <w:r>
        <w:rPr>
          <w:rFonts w:hint="eastAsia" w:ascii="Times New Roman" w:hAnsi="Times New Roman" w:cs="Times New Roman"/>
          <w:color w:val="auto"/>
          <w:highlight w:val="none"/>
          <w:lang w:val="en-US" w:eastAsia="zh-CN"/>
        </w:rPr>
        <w:t>；</w:t>
      </w:r>
    </w:p>
    <w:p w14:paraId="24C01A59">
      <w:pPr>
        <w:keepNext w:val="0"/>
        <w:keepLines w:val="0"/>
        <w:pageBreakBefore w:val="0"/>
        <w:widowControl w:val="0"/>
        <w:numPr>
          <w:ilvl w:val="0"/>
          <w:numId w:val="3"/>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制定合理、高效的数据生命周期管理策略，保证核心数据健康运行；</w:t>
      </w:r>
    </w:p>
    <w:p w14:paraId="5DE619EF">
      <w:pPr>
        <w:keepNext w:val="0"/>
        <w:keepLines w:val="0"/>
        <w:pageBreakBefore w:val="0"/>
        <w:widowControl w:val="0"/>
        <w:numPr>
          <w:ilvl w:val="0"/>
          <w:numId w:val="3"/>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实现内外部各类格式数据（包括结构化、半结构化和非结构化数据）的统一存储、整合管理和数据标准化需求；</w:t>
      </w:r>
    </w:p>
    <w:p w14:paraId="2EF7A24A">
      <w:pPr>
        <w:keepNext w:val="0"/>
        <w:keepLines w:val="0"/>
        <w:pageBreakBefore w:val="0"/>
        <w:widowControl w:val="0"/>
        <w:numPr>
          <w:ilvl w:val="0"/>
          <w:numId w:val="3"/>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统一和规范整个中台的服务出口，确保数据服务的标准化和一致性，提升数据整合处理能力和数据质量水平；</w:t>
      </w:r>
    </w:p>
    <w:p w14:paraId="405BFBA4">
      <w:pPr>
        <w:keepNext w:val="0"/>
        <w:keepLines w:val="0"/>
        <w:pageBreakBefore w:val="0"/>
        <w:widowControl w:val="0"/>
        <w:numPr>
          <w:ilvl w:val="0"/>
          <w:numId w:val="3"/>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b/>
          <w:bCs/>
          <w:color w:val="auto"/>
          <w:highlight w:val="none"/>
          <w:lang w:val="en-US" w:eastAsia="zh-CN"/>
        </w:rPr>
      </w:pPr>
      <w:r>
        <w:rPr>
          <w:rFonts w:hint="default" w:ascii="Times New Roman" w:hAnsi="Times New Roman" w:cs="Times New Roman"/>
          <w:color w:val="auto"/>
          <w:highlight w:val="none"/>
          <w:lang w:val="en-US" w:eastAsia="zh-CN"/>
        </w:rPr>
        <w:t>参选人在</w:t>
      </w:r>
      <w:r>
        <w:rPr>
          <w:rFonts w:hint="eastAsia" w:ascii="Times New Roman" w:hAnsi="Times New Roman" w:cs="Times New Roman"/>
          <w:color w:val="auto"/>
          <w:highlight w:val="none"/>
          <w:lang w:val="en-US" w:eastAsia="zh-CN"/>
        </w:rPr>
        <w:t>数据</w:t>
      </w:r>
      <w:r>
        <w:rPr>
          <w:rFonts w:hint="default" w:ascii="Times New Roman" w:hAnsi="Times New Roman" w:cs="Times New Roman"/>
          <w:color w:val="auto"/>
          <w:highlight w:val="none"/>
          <w:lang w:val="en-US" w:eastAsia="zh-CN"/>
        </w:rPr>
        <w:t>架构设计完成后</w:t>
      </w:r>
      <w:r>
        <w:rPr>
          <w:rFonts w:hint="eastAsia" w:ascii="Times New Roman" w:hAnsi="Times New Roman" w:cs="Times New Roman"/>
          <w:color w:val="auto"/>
          <w:highlight w:val="none"/>
          <w:lang w:val="en-US" w:eastAsia="zh-CN"/>
        </w:rPr>
        <w:t>应产出的材料</w:t>
      </w:r>
      <w:r>
        <w:rPr>
          <w:rFonts w:hint="default" w:ascii="Times New Roman" w:hAnsi="Times New Roman" w:cs="Times New Roman"/>
          <w:color w:val="auto"/>
          <w:highlight w:val="none"/>
          <w:lang w:val="en-US" w:eastAsia="zh-CN"/>
        </w:rPr>
        <w:t>包括但不限于：数据中台</w:t>
      </w:r>
      <w:r>
        <w:rPr>
          <w:rFonts w:hint="eastAsia" w:ascii="Times New Roman" w:hAnsi="Times New Roman" w:cs="Times New Roman"/>
          <w:color w:val="auto"/>
          <w:highlight w:val="none"/>
          <w:lang w:val="en-US" w:eastAsia="zh-CN"/>
        </w:rPr>
        <w:t>数据</w:t>
      </w:r>
      <w:r>
        <w:rPr>
          <w:rFonts w:hint="default" w:ascii="Times New Roman" w:hAnsi="Times New Roman" w:cs="Times New Roman"/>
          <w:color w:val="auto"/>
          <w:highlight w:val="none"/>
          <w:lang w:val="en-US" w:eastAsia="zh-CN"/>
        </w:rPr>
        <w:t>架构设计方案。</w:t>
      </w:r>
    </w:p>
    <w:p w14:paraId="356DAAED">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（2）技术架构</w:t>
      </w:r>
    </w:p>
    <w:p w14:paraId="3BF82841">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参选人需对比业内成熟的以</w:t>
      </w:r>
      <w:r>
        <w:rPr>
          <w:rFonts w:hint="eastAsia" w:ascii="Times New Roman" w:hAnsi="Times New Roman" w:cs="Times New Roman"/>
          <w:color w:val="auto"/>
          <w:highlight w:val="none"/>
          <w:lang w:val="en-US" w:eastAsia="zh-CN"/>
        </w:rPr>
        <w:t>分布式大数据技术体系</w:t>
      </w:r>
      <w:r>
        <w:rPr>
          <w:rFonts w:hint="default" w:ascii="Times New Roman" w:hAnsi="Times New Roman" w:cs="Times New Roman"/>
          <w:color w:val="auto"/>
          <w:highlight w:val="none"/>
          <w:lang w:val="en-US" w:eastAsia="zh-CN"/>
        </w:rPr>
        <w:t>为主的湖仓一体的</w:t>
      </w:r>
      <w:r>
        <w:rPr>
          <w:rFonts w:hint="eastAsia" w:ascii="Times New Roman" w:hAnsi="Times New Roman" w:cs="Times New Roman"/>
          <w:color w:val="auto"/>
          <w:highlight w:val="none"/>
          <w:lang w:val="en-US" w:eastAsia="zh-CN"/>
        </w:rPr>
        <w:t>新一代</w:t>
      </w:r>
      <w:r>
        <w:rPr>
          <w:rFonts w:hint="default" w:ascii="Times New Roman" w:hAnsi="Times New Roman" w:cs="Times New Roman"/>
          <w:color w:val="auto"/>
          <w:highlight w:val="none"/>
          <w:lang w:val="en-US" w:eastAsia="zh-CN"/>
        </w:rPr>
        <w:t>数据中台架构设计方案，充分借鉴业界最佳实践并结合比选人现有业务状况和未来业务发展规划，</w:t>
      </w:r>
      <w:r>
        <w:rPr>
          <w:rFonts w:hint="default" w:ascii="Times New Roman" w:hAnsi="Times New Roman" w:cs="Times New Roman"/>
          <w:b w:val="0"/>
          <w:bCs w:val="0"/>
          <w:i w:val="0"/>
          <w:iCs w:val="0"/>
          <w:caps w:val="0"/>
          <w:smallCaps w:val="0"/>
          <w:color w:val="auto"/>
          <w:spacing w:val="0"/>
          <w:sz w:val="24"/>
          <w:szCs w:val="20"/>
          <w:highlight w:val="none"/>
          <w:shd w:val="clear" w:color="auto" w:fill="auto"/>
        </w:rPr>
        <w:t>科学合理划分数据功能模块</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val="en-US" w:eastAsia="zh-CN"/>
        </w:rPr>
        <w:t>和技术组件</w:t>
      </w:r>
      <w:r>
        <w:rPr>
          <w:rFonts w:hint="eastAsia" w:ascii="Times New Roman" w:hAnsi="Times New Roman" w:cs="Times New Roman"/>
          <w:b w:val="0"/>
          <w:bCs w:val="0"/>
          <w:i w:val="0"/>
          <w:iCs w:val="0"/>
          <w:caps w:val="0"/>
          <w:smallCaps w:val="0"/>
          <w:color w:val="auto"/>
          <w:spacing w:val="0"/>
          <w:sz w:val="24"/>
          <w:szCs w:val="20"/>
          <w:highlight w:val="none"/>
          <w:shd w:val="clear" w:color="auto" w:fill="auto"/>
          <w:lang w:val="en-US" w:eastAsia="zh-CN"/>
        </w:rPr>
        <w:t>，</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val="en-US" w:eastAsia="zh-CN"/>
        </w:rPr>
        <w:t>按照比选人</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eastAsia="zh-CN"/>
        </w:rPr>
        <w:t>对数据服务、存储、处理、质量、安全</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val="en-US" w:eastAsia="zh-CN"/>
        </w:rPr>
        <w:t>等</w:t>
      </w:r>
      <w:r>
        <w:rPr>
          <w:rFonts w:hint="default" w:ascii="Times New Roman" w:hAnsi="Times New Roman" w:cs="Times New Roman"/>
          <w:b w:val="0"/>
          <w:bCs w:val="0"/>
          <w:i w:val="0"/>
          <w:iCs w:val="0"/>
          <w:caps w:val="0"/>
          <w:smallCaps w:val="0"/>
          <w:color w:val="auto"/>
          <w:spacing w:val="0"/>
          <w:sz w:val="24"/>
          <w:szCs w:val="20"/>
          <w:highlight w:val="none"/>
          <w:shd w:val="clear" w:color="auto" w:fill="auto"/>
          <w:lang w:eastAsia="zh-CN"/>
        </w:rPr>
        <w:t>要求</w:t>
      </w:r>
      <w:r>
        <w:rPr>
          <w:rFonts w:hint="default" w:ascii="Times New Roman" w:hAnsi="Times New Roman" w:cs="Times New Roman"/>
          <w:color w:val="auto"/>
          <w:highlight w:val="none"/>
          <w:lang w:val="en-US" w:eastAsia="zh-CN"/>
        </w:rPr>
        <w:t>制定详细的</w:t>
      </w:r>
      <w:r>
        <w:rPr>
          <w:rFonts w:hint="eastAsia" w:ascii="Times New Roman" w:hAnsi="Times New Roman" w:cs="Times New Roman"/>
          <w:color w:val="auto"/>
          <w:highlight w:val="none"/>
          <w:lang w:val="en-US" w:eastAsia="zh-CN"/>
        </w:rPr>
        <w:t>新一代</w:t>
      </w:r>
      <w:r>
        <w:rPr>
          <w:rFonts w:hint="default" w:ascii="Times New Roman" w:hAnsi="Times New Roman" w:cs="Times New Roman"/>
          <w:color w:val="auto"/>
          <w:highlight w:val="none"/>
          <w:lang w:val="en-US" w:eastAsia="zh-CN"/>
        </w:rPr>
        <w:t>数据中台</w:t>
      </w:r>
      <w:r>
        <w:rPr>
          <w:rFonts w:hint="eastAsia" w:ascii="Times New Roman" w:hAnsi="Times New Roman" w:cs="Times New Roman"/>
          <w:color w:val="auto"/>
          <w:highlight w:val="none"/>
          <w:lang w:val="en-US" w:eastAsia="zh-CN"/>
        </w:rPr>
        <w:t>技术</w:t>
      </w:r>
      <w:r>
        <w:rPr>
          <w:rFonts w:hint="default" w:ascii="Times New Roman" w:hAnsi="Times New Roman" w:cs="Times New Roman"/>
          <w:color w:val="auto"/>
          <w:highlight w:val="none"/>
          <w:lang w:val="en-US" w:eastAsia="zh-CN"/>
        </w:rPr>
        <w:t>架构</w:t>
      </w:r>
      <w:r>
        <w:rPr>
          <w:rFonts w:hint="eastAsia" w:ascii="Times New Roman" w:hAnsi="Times New Roman" w:cs="Times New Roman"/>
          <w:color w:val="auto"/>
          <w:highlight w:val="none"/>
          <w:lang w:val="en-US" w:eastAsia="zh-CN"/>
        </w:rPr>
        <w:t>。技术架构设计应满足的要求包括但不限于：</w:t>
      </w:r>
    </w:p>
    <w:p w14:paraId="301CFCE2">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技术架构</w:t>
      </w:r>
      <w:r>
        <w:rPr>
          <w:rFonts w:hint="default" w:ascii="Times New Roman" w:hAnsi="Times New Roman" w:cs="Times New Roman"/>
          <w:color w:val="auto"/>
          <w:highlight w:val="none"/>
          <w:lang w:val="en-US" w:eastAsia="zh-CN"/>
        </w:rPr>
        <w:t>中涉及的各类服务、组件、产品及软硬件均需满足信创要求；</w:t>
      </w:r>
    </w:p>
    <w:p w14:paraId="5473A66E">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技术架构内容包括但不限于集群规划、技术组件选型、灾备规划等；</w:t>
      </w:r>
    </w:p>
    <w:p w14:paraId="5897D083">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技术架构</w:t>
      </w:r>
      <w:r>
        <w:rPr>
          <w:rFonts w:hint="default" w:ascii="Times New Roman" w:hAnsi="Times New Roman" w:cs="Times New Roman"/>
          <w:color w:val="auto"/>
          <w:highlight w:val="none"/>
          <w:lang w:val="en-US" w:eastAsia="zh-CN"/>
        </w:rPr>
        <w:t>需充分考虑</w:t>
      </w:r>
      <w:r>
        <w:rPr>
          <w:rFonts w:hint="eastAsia" w:ascii="Times New Roman" w:hAnsi="Times New Roman" w:cs="Times New Roman"/>
          <w:color w:val="auto"/>
          <w:highlight w:val="none"/>
          <w:lang w:val="en-US" w:eastAsia="zh-CN"/>
        </w:rPr>
        <w:t>比</w:t>
      </w:r>
      <w:r>
        <w:rPr>
          <w:rFonts w:hint="default" w:ascii="Times New Roman" w:hAnsi="Times New Roman" w:cs="Times New Roman"/>
          <w:color w:val="auto"/>
          <w:highlight w:val="none"/>
          <w:lang w:val="en-US" w:eastAsia="zh-CN"/>
        </w:rPr>
        <w:t>选人现有的整体算力</w:t>
      </w:r>
      <w:r>
        <w:rPr>
          <w:rFonts w:hint="eastAsia" w:ascii="Times New Roman" w:hAnsi="Times New Roman" w:cs="Times New Roman"/>
          <w:color w:val="auto"/>
          <w:highlight w:val="none"/>
          <w:lang w:val="en-US" w:eastAsia="zh-CN"/>
        </w:rPr>
        <w:t>水平</w:t>
      </w:r>
      <w:r>
        <w:rPr>
          <w:rFonts w:hint="default" w:ascii="Times New Roman" w:hAnsi="Times New Roman" w:cs="Times New Roman"/>
          <w:color w:val="auto"/>
          <w:highlight w:val="none"/>
          <w:lang w:val="en-US" w:eastAsia="zh-CN"/>
        </w:rPr>
        <w:t>和存储空间</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合理分布湖仓的资源，</w:t>
      </w:r>
      <w:r>
        <w:rPr>
          <w:rFonts w:hint="eastAsia" w:ascii="Times New Roman" w:hAnsi="Times New Roman" w:cs="Times New Roman"/>
          <w:color w:val="auto"/>
          <w:highlight w:val="none"/>
          <w:lang w:val="en-US" w:eastAsia="zh-CN"/>
        </w:rPr>
        <w:t>做到资源利用率最大化，为本项目的</w:t>
      </w:r>
      <w:r>
        <w:rPr>
          <w:rFonts w:hint="default" w:ascii="Times New Roman" w:hAnsi="Times New Roman" w:cs="Times New Roman"/>
          <w:color w:val="auto"/>
          <w:highlight w:val="none"/>
          <w:lang w:val="en-US" w:eastAsia="zh-CN"/>
        </w:rPr>
        <w:t>后续建设提供基础的数据保障及历史数据的保管</w:t>
      </w:r>
      <w:r>
        <w:rPr>
          <w:rFonts w:hint="eastAsia" w:ascii="Times New Roman" w:hAnsi="Times New Roman" w:cs="Times New Roman"/>
          <w:color w:val="auto"/>
          <w:highlight w:val="none"/>
          <w:lang w:val="en-US" w:eastAsia="zh-CN"/>
        </w:rPr>
        <w:t>功能；</w:t>
      </w:r>
    </w:p>
    <w:p w14:paraId="5E32BC10">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技术架构需</w:t>
      </w:r>
      <w:r>
        <w:rPr>
          <w:rFonts w:hint="default" w:ascii="Times New Roman" w:hAnsi="Times New Roman" w:cs="Times New Roman"/>
          <w:color w:val="auto"/>
          <w:highlight w:val="none"/>
          <w:lang w:val="en-US" w:eastAsia="zh-CN"/>
        </w:rPr>
        <w:t>根据数字金融快速发展带来的业务类型多、</w:t>
      </w:r>
      <w:r>
        <w:rPr>
          <w:rFonts w:hint="eastAsia" w:ascii="Times New Roman" w:hAnsi="Times New Roman" w:cs="Times New Roman"/>
          <w:color w:val="auto"/>
          <w:highlight w:val="none"/>
          <w:lang w:val="en-US" w:eastAsia="zh-CN"/>
        </w:rPr>
        <w:t>数据增量大</w:t>
      </w:r>
      <w:r>
        <w:rPr>
          <w:rFonts w:hint="default" w:ascii="Times New Roman" w:hAnsi="Times New Roman" w:cs="Times New Roman"/>
          <w:color w:val="auto"/>
          <w:highlight w:val="none"/>
          <w:lang w:val="en-US" w:eastAsia="zh-CN"/>
        </w:rPr>
        <w:t>等特点，架构设计</w:t>
      </w:r>
      <w:r>
        <w:rPr>
          <w:rFonts w:hint="eastAsia" w:ascii="Times New Roman" w:hAnsi="Times New Roman" w:cs="Times New Roman"/>
          <w:color w:val="auto"/>
          <w:highlight w:val="none"/>
          <w:lang w:val="en-US" w:eastAsia="zh-CN"/>
        </w:rPr>
        <w:t>应</w:t>
      </w:r>
      <w:r>
        <w:rPr>
          <w:rFonts w:hint="default" w:ascii="Times New Roman" w:hAnsi="Times New Roman" w:cs="Times New Roman"/>
          <w:color w:val="auto"/>
          <w:highlight w:val="none"/>
          <w:lang w:val="en-US" w:eastAsia="zh-CN"/>
        </w:rPr>
        <w:t>具有先进性、前瞻性、可行性、扩展性和伸缩性，支撑比选人未来至少</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年的数据需求和业务发展；</w:t>
      </w:r>
    </w:p>
    <w:p w14:paraId="1F979455">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参选人在</w:t>
      </w:r>
      <w:r>
        <w:rPr>
          <w:rFonts w:hint="eastAsia" w:ascii="Times New Roman" w:hAnsi="Times New Roman" w:cs="Times New Roman"/>
          <w:color w:val="auto"/>
          <w:highlight w:val="none"/>
          <w:lang w:val="en-US" w:eastAsia="zh-CN"/>
        </w:rPr>
        <w:t>技术</w:t>
      </w:r>
      <w:r>
        <w:rPr>
          <w:rFonts w:hint="default" w:ascii="Times New Roman" w:hAnsi="Times New Roman" w:cs="Times New Roman"/>
          <w:color w:val="auto"/>
          <w:highlight w:val="none"/>
          <w:lang w:val="en-US" w:eastAsia="zh-CN"/>
        </w:rPr>
        <w:t>架构设计完成后</w:t>
      </w:r>
      <w:r>
        <w:rPr>
          <w:rFonts w:hint="eastAsia" w:ascii="Times New Roman" w:hAnsi="Times New Roman" w:cs="Times New Roman"/>
          <w:color w:val="auto"/>
          <w:highlight w:val="none"/>
          <w:lang w:val="en-US" w:eastAsia="zh-CN"/>
        </w:rPr>
        <w:t>应产出的材料</w:t>
      </w:r>
      <w:r>
        <w:rPr>
          <w:rFonts w:hint="default" w:ascii="Times New Roman" w:hAnsi="Times New Roman" w:cs="Times New Roman"/>
          <w:color w:val="auto"/>
          <w:highlight w:val="none"/>
          <w:lang w:val="en-US" w:eastAsia="zh-CN"/>
        </w:rPr>
        <w:t>包括但不限于：数据中台</w:t>
      </w:r>
      <w:r>
        <w:rPr>
          <w:rFonts w:hint="eastAsia" w:ascii="Times New Roman" w:hAnsi="Times New Roman" w:cs="Times New Roman"/>
          <w:color w:val="auto"/>
          <w:highlight w:val="none"/>
          <w:lang w:val="en-US" w:eastAsia="zh-CN"/>
        </w:rPr>
        <w:t>技术</w:t>
      </w:r>
      <w:r>
        <w:rPr>
          <w:rFonts w:hint="default" w:ascii="Times New Roman" w:hAnsi="Times New Roman" w:cs="Times New Roman"/>
          <w:color w:val="auto"/>
          <w:highlight w:val="none"/>
          <w:lang w:val="en-US" w:eastAsia="zh-CN"/>
        </w:rPr>
        <w:t>架构设计方案。</w:t>
      </w:r>
    </w:p>
    <w:p w14:paraId="3A1E7E2F">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数据中台灾备方案制定</w:t>
      </w:r>
    </w:p>
    <w:p w14:paraId="36AF72CE">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需充分借鉴业内最佳实践，全面识别新一代数据中台可能面临的灾难风险，为比选人设计一套完整的灾备方案，保证在发生异常情况时相关数据和业务能快速恢复，确保数据安全和业务连续性。灾备方案应满足的要求包括但不限于：</w:t>
      </w:r>
    </w:p>
    <w:p w14:paraId="6FDF4C43">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kern w:val="2"/>
          <w:sz w:val="24"/>
          <w:szCs w:val="20"/>
          <w:highlight w:val="none"/>
          <w:lang w:val="en-US" w:eastAsia="zh-CN" w:bidi="ar-SA"/>
        </w:rPr>
        <w:t>1</w:t>
      </w: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highlight w:val="none"/>
          <w:lang w:val="en-US" w:eastAsia="zh-CN"/>
        </w:rPr>
        <w:t>方案需根据比选人实际情况，明确灾备所需的资源，制定详细且可落地的灾备建设计划；</w:t>
      </w:r>
    </w:p>
    <w:p w14:paraId="73F4FDD4">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kern w:val="2"/>
          <w:sz w:val="24"/>
          <w:szCs w:val="20"/>
          <w:highlight w:val="none"/>
          <w:lang w:val="en-US" w:eastAsia="zh-CN" w:bidi="ar-SA"/>
        </w:rPr>
        <w:t>2</w:t>
      </w: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highlight w:val="none"/>
          <w:lang w:val="en-US" w:eastAsia="zh-CN"/>
        </w:rPr>
        <w:t>方案需对新一代数据中台的建设内容进行业务功能分析，评估业务中断的影响；</w:t>
      </w:r>
    </w:p>
    <w:p w14:paraId="29C94D5B">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kern w:val="2"/>
          <w:sz w:val="24"/>
          <w:szCs w:val="20"/>
          <w:highlight w:val="none"/>
          <w:lang w:val="en-US" w:eastAsia="zh-CN" w:bidi="ar-SA"/>
        </w:rPr>
        <w:t>3</w:t>
      </w:r>
      <w:r>
        <w:rPr>
          <w:rFonts w:hint="eastAsia"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highlight w:val="none"/>
          <w:lang w:val="en-US" w:eastAsia="zh-CN"/>
        </w:rPr>
        <w:t>方案需明确比选人各部门在灾备规划、运行维护、应急响应和灾难恢复等各阶段的工作职责与工作内容；</w:t>
      </w:r>
    </w:p>
    <w:p w14:paraId="716EC74F">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kern w:val="2"/>
          <w:sz w:val="24"/>
          <w:szCs w:val="20"/>
          <w:highlight w:val="none"/>
          <w:lang w:val="en-US" w:eastAsia="zh-CN" w:bidi="ar-SA"/>
        </w:rPr>
        <w:t>4</w:t>
      </w: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highlight w:val="none"/>
          <w:lang w:val="en-US" w:eastAsia="zh-CN"/>
        </w:rPr>
        <w:t>方案需制定切实可行的灾难恢复策略，包括但不限于灾难恢复计划、业务恢复流程、灾难恢复预案、灾难恢复培训、灾难恢复演练方案等；</w:t>
      </w:r>
    </w:p>
    <w:p w14:paraId="2EC89EA9">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w:t>
      </w:r>
      <w:r>
        <w:rPr>
          <w:rFonts w:hint="default" w:ascii="Times New Roman" w:hAnsi="Times New Roman" w:cs="Times New Roman"/>
          <w:color w:val="auto"/>
          <w:highlight w:val="none"/>
          <w:lang w:val="en-US" w:eastAsia="zh-CN"/>
        </w:rPr>
        <w:t>参选人在方案制定完成后应产出的材料包括但不限于：数据中台</w:t>
      </w:r>
      <w:r>
        <w:rPr>
          <w:rFonts w:hint="eastAsia" w:ascii="Times New Roman" w:hAnsi="Times New Roman" w:cs="Times New Roman"/>
          <w:color w:val="auto"/>
          <w:highlight w:val="none"/>
          <w:lang w:val="en-US" w:eastAsia="zh-CN"/>
        </w:rPr>
        <w:t>灾备</w:t>
      </w:r>
      <w:r>
        <w:rPr>
          <w:rFonts w:hint="default" w:ascii="Times New Roman" w:hAnsi="Times New Roman" w:cs="Times New Roman"/>
          <w:color w:val="auto"/>
          <w:highlight w:val="none"/>
          <w:lang w:val="en-US" w:eastAsia="zh-CN"/>
        </w:rPr>
        <w:t>方案。</w:t>
      </w:r>
    </w:p>
    <w:p w14:paraId="574373F5">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实施</w:t>
      </w:r>
      <w:r>
        <w:rPr>
          <w:rFonts w:hint="eastAsia" w:ascii="Times New Roman" w:hAnsi="Times New Roman" w:cs="Times New Roman"/>
          <w:b/>
          <w:bCs w:val="0"/>
          <w:color w:val="auto"/>
          <w:highlight w:val="none"/>
          <w:lang w:val="en-US" w:eastAsia="zh-CN"/>
        </w:rPr>
        <w:t>和迁移</w:t>
      </w:r>
      <w:r>
        <w:rPr>
          <w:rFonts w:hint="default" w:ascii="Times New Roman" w:hAnsi="Times New Roman" w:cs="Times New Roman"/>
          <w:b/>
          <w:bCs w:val="0"/>
          <w:color w:val="auto"/>
          <w:highlight w:val="none"/>
          <w:lang w:val="en-US" w:eastAsia="zh-CN"/>
        </w:rPr>
        <w:t>方案</w:t>
      </w:r>
      <w:r>
        <w:rPr>
          <w:rFonts w:hint="eastAsia" w:ascii="Times New Roman" w:hAnsi="Times New Roman" w:cs="Times New Roman"/>
          <w:b/>
          <w:bCs w:val="0"/>
          <w:color w:val="auto"/>
          <w:highlight w:val="none"/>
          <w:lang w:val="en-US" w:eastAsia="zh-CN"/>
        </w:rPr>
        <w:t>制定</w:t>
      </w:r>
    </w:p>
    <w:p w14:paraId="1D849C94">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参选人需</w:t>
      </w:r>
      <w:r>
        <w:rPr>
          <w:rFonts w:hint="default" w:ascii="Times New Roman" w:hAnsi="Times New Roman" w:eastAsia="宋体" w:cs="Times New Roman"/>
          <w:color w:val="auto"/>
          <w:highlight w:val="none"/>
          <w:lang w:val="en-US" w:eastAsia="zh-CN"/>
        </w:rPr>
        <w:t>在充分评估各方面因素的基础上</w:t>
      </w:r>
      <w:r>
        <w:rPr>
          <w:rFonts w:hint="default" w:ascii="Times New Roman" w:hAnsi="Times New Roman" w:cs="Times New Roman"/>
          <w:color w:val="auto"/>
          <w:highlight w:val="none"/>
          <w:lang w:val="en-US" w:eastAsia="zh-CN"/>
        </w:rPr>
        <w:t>合理规划项目建设周期，</w:t>
      </w:r>
      <w:r>
        <w:rPr>
          <w:rFonts w:hint="default" w:ascii="Times New Roman" w:hAnsi="Times New Roman" w:cs="Times New Roman"/>
          <w:color w:val="auto"/>
          <w:highlight w:val="none"/>
        </w:rPr>
        <w:t>制定详细</w:t>
      </w:r>
      <w:r>
        <w:rPr>
          <w:rFonts w:hint="eastAsia" w:ascii="Times New Roman" w:hAnsi="Times New Roman" w:cs="Times New Roman"/>
          <w:color w:val="auto"/>
          <w:highlight w:val="none"/>
          <w:lang w:val="en-US" w:eastAsia="zh-CN"/>
        </w:rPr>
        <w:t>且切实可行</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val="en-US" w:eastAsia="zh-CN"/>
        </w:rPr>
        <w:t>实施</w:t>
      </w:r>
      <w:r>
        <w:rPr>
          <w:rFonts w:hint="default" w:ascii="Times New Roman" w:hAnsi="Times New Roman" w:cs="Times New Roman"/>
          <w:color w:val="auto"/>
          <w:highlight w:val="none"/>
        </w:rPr>
        <w:t>计划和方案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确保项目建设过程中既不影响当前业务连续性，同时支持未来业务扩展和变化。参选人提供的实施</w:t>
      </w:r>
      <w:r>
        <w:rPr>
          <w:rFonts w:hint="eastAsia" w:ascii="Times New Roman" w:hAnsi="Times New Roman" w:cs="Times New Roman"/>
          <w:color w:val="auto"/>
          <w:highlight w:val="none"/>
          <w:lang w:val="en-US" w:eastAsia="zh-CN"/>
        </w:rPr>
        <w:t>和迁移</w:t>
      </w:r>
      <w:r>
        <w:rPr>
          <w:rFonts w:hint="default" w:ascii="Times New Roman" w:hAnsi="Times New Roman" w:cs="Times New Roman"/>
          <w:color w:val="auto"/>
          <w:highlight w:val="none"/>
          <w:lang w:val="en-US" w:eastAsia="zh-CN"/>
        </w:rPr>
        <w:t>方案应满足的要求包括但不限于：</w:t>
      </w:r>
    </w:p>
    <w:p w14:paraId="552FA495">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（1）</w:t>
      </w:r>
      <w:r>
        <w:rPr>
          <w:rFonts w:hint="default" w:ascii="Times New Roman" w:hAnsi="Times New Roman" w:cs="Times New Roman"/>
          <w:color w:val="auto"/>
          <w:highlight w:val="none"/>
          <w:lang w:val="en-US" w:eastAsia="zh-CN"/>
        </w:rPr>
        <w:t>参选人需提供的方案应</w:t>
      </w:r>
      <w:r>
        <w:rPr>
          <w:rFonts w:hint="eastAsia" w:ascii="Times New Roman" w:hAnsi="Times New Roman" w:cs="Times New Roman"/>
          <w:color w:val="auto"/>
          <w:highlight w:val="none"/>
          <w:lang w:val="en-US" w:eastAsia="zh-CN"/>
        </w:rPr>
        <w:t>涵盖本</w:t>
      </w:r>
      <w:r>
        <w:rPr>
          <w:rFonts w:hint="default" w:ascii="Times New Roman" w:hAnsi="Times New Roman" w:cs="Times New Roman"/>
          <w:color w:val="auto"/>
          <w:highlight w:val="none"/>
          <w:lang w:val="en-US" w:eastAsia="zh-CN"/>
        </w:rPr>
        <w:t>项目的</w:t>
      </w:r>
      <w:r>
        <w:rPr>
          <w:rFonts w:hint="eastAsia" w:ascii="Times New Roman" w:hAnsi="Times New Roman" w:cs="Times New Roman"/>
          <w:color w:val="auto"/>
          <w:highlight w:val="none"/>
          <w:lang w:val="en-US" w:eastAsia="zh-CN"/>
        </w:rPr>
        <w:t>全部实施内容；</w:t>
      </w:r>
    </w:p>
    <w:p w14:paraId="5CDA5303">
      <w:pPr>
        <w:keepNext w:val="0"/>
        <w:keepLines w:val="0"/>
        <w:pageBreakBefore w:val="0"/>
        <w:widowControl w:val="0"/>
        <w:numPr>
          <w:ilvl w:val="0"/>
          <w:numId w:val="0"/>
        </w:numPr>
        <w:kinsoku/>
        <w:wordWrap/>
        <w:overflowPunct/>
        <w:topLinePunct w:val="0"/>
        <w:autoSpaceDE w:val="0"/>
        <w:autoSpaceDN w:val="0"/>
        <w:bidi w:val="0"/>
        <w:adjustRightInd/>
        <w:snapToGrid/>
        <w:ind w:left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（2）方案需完全与新一代数据中台架构设计和灾备方案相匹配；</w:t>
      </w:r>
    </w:p>
    <w:p w14:paraId="03C8AE34">
      <w:pPr>
        <w:keepNext w:val="0"/>
        <w:keepLines w:val="0"/>
        <w:pageBreakBefore w:val="0"/>
        <w:widowControl w:val="0"/>
        <w:numPr>
          <w:ilvl w:val="0"/>
          <w:numId w:val="0"/>
        </w:numPr>
        <w:kinsoku/>
        <w:wordWrap/>
        <w:overflowPunct/>
        <w:topLinePunct w:val="0"/>
        <w:autoSpaceDE w:val="0"/>
        <w:autoSpaceDN w:val="0"/>
        <w:bidi w:val="0"/>
        <w:adjustRightInd/>
        <w:snapToGrid/>
        <w:ind w:left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（3）方案需充分考虑数据实验区的建设要求；</w:t>
      </w:r>
    </w:p>
    <w:p w14:paraId="3E346E76">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kern w:val="2"/>
          <w:sz w:val="24"/>
          <w:szCs w:val="20"/>
          <w:highlight w:val="none"/>
          <w:lang w:val="en-US" w:eastAsia="zh-CN" w:bidi="ar-SA"/>
        </w:rPr>
        <w:t>（4</w:t>
      </w:r>
      <w:r>
        <w:rPr>
          <w:rFonts w:hint="default" w:ascii="Times New Roman" w:hAnsi="Times New Roman" w:eastAsia="宋体" w:cs="Times New Roman"/>
          <w:color w:val="auto"/>
          <w:kern w:val="2"/>
          <w:sz w:val="24"/>
          <w:szCs w:val="20"/>
          <w:highlight w:val="none"/>
          <w:lang w:val="en-US" w:eastAsia="zh-CN" w:bidi="ar-SA"/>
        </w:rPr>
        <w:t>）</w:t>
      </w:r>
      <w:r>
        <w:rPr>
          <w:rFonts w:hint="eastAsia" w:ascii="Times New Roman" w:hAnsi="Times New Roman" w:cs="Times New Roman"/>
          <w:color w:val="auto"/>
          <w:highlight w:val="none"/>
          <w:lang w:val="en-US" w:eastAsia="zh-CN"/>
        </w:rPr>
        <w:t>方案需</w:t>
      </w:r>
      <w:r>
        <w:rPr>
          <w:rFonts w:hint="default" w:ascii="Times New Roman" w:hAnsi="Times New Roman" w:cs="Times New Roman"/>
          <w:color w:val="auto"/>
          <w:highlight w:val="none"/>
          <w:lang w:val="en-US" w:eastAsia="zh-CN"/>
        </w:rPr>
        <w:t>根据比选人实际</w:t>
      </w:r>
      <w:r>
        <w:rPr>
          <w:rFonts w:hint="eastAsia" w:ascii="Times New Roman" w:hAnsi="Times New Roman" w:cs="Times New Roman"/>
          <w:color w:val="auto"/>
          <w:highlight w:val="none"/>
          <w:lang w:val="en-US" w:eastAsia="zh-CN"/>
        </w:rPr>
        <w:t>情况合理规划项目实施周期，明确项目里程碑及各阶段的交付物；</w:t>
      </w:r>
    </w:p>
    <w:p w14:paraId="6EB102A6">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4"/>
          <w:szCs w:val="20"/>
          <w:highlight w:val="none"/>
          <w:lang w:val="en-US" w:eastAsia="zh-CN" w:bidi="ar-SA"/>
        </w:rPr>
        <w:t>（5</w:t>
      </w:r>
      <w:r>
        <w:rPr>
          <w:rFonts w:hint="default" w:ascii="Times New Roman" w:hAnsi="Times New Roman" w:eastAsia="宋体" w:cs="Times New Roman"/>
          <w:color w:val="auto"/>
          <w:kern w:val="2"/>
          <w:sz w:val="24"/>
          <w:szCs w:val="20"/>
          <w:highlight w:val="none"/>
          <w:lang w:val="en-US" w:eastAsia="zh-CN" w:bidi="ar-SA"/>
        </w:rPr>
        <w:t>）</w:t>
      </w:r>
      <w:r>
        <w:rPr>
          <w:rFonts w:hint="default" w:ascii="Times New Roman" w:hAnsi="Times New Roman" w:cs="Times New Roman"/>
          <w:color w:val="auto"/>
          <w:highlight w:val="none"/>
          <w:lang w:val="en-US" w:eastAsia="zh-CN"/>
        </w:rPr>
        <w:t>方案需充分</w:t>
      </w:r>
      <w:r>
        <w:rPr>
          <w:rFonts w:hint="eastAsia" w:ascii="Times New Roman" w:hAnsi="Times New Roman" w:cs="Times New Roman"/>
          <w:color w:val="auto"/>
          <w:highlight w:val="none"/>
          <w:lang w:val="en-US" w:eastAsia="zh-CN"/>
        </w:rPr>
        <w:t>考虑与本项目关联的各业务系统和比选人的</w:t>
      </w:r>
      <w:r>
        <w:rPr>
          <w:rFonts w:hint="default" w:ascii="Times New Roman" w:hAnsi="Times New Roman" w:cs="Times New Roman"/>
          <w:color w:val="auto"/>
          <w:highlight w:val="none"/>
          <w:lang w:val="en-US" w:eastAsia="zh-CN"/>
        </w:rPr>
        <w:t>组织架构现状，提供对比选人参与本项目的科技和业务人员的要求，并阐述各方职责、关系与参与建设内容；</w:t>
      </w:r>
    </w:p>
    <w:p w14:paraId="78A64164">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4"/>
          <w:szCs w:val="20"/>
          <w:highlight w:val="none"/>
          <w:lang w:val="en-US" w:eastAsia="zh-CN" w:bidi="ar-SA"/>
        </w:rPr>
        <w:t>（6</w:t>
      </w:r>
      <w:r>
        <w:rPr>
          <w:rFonts w:hint="default" w:ascii="Times New Roman" w:hAnsi="Times New Roman" w:eastAsia="宋体" w:cs="Times New Roman"/>
          <w:color w:val="auto"/>
          <w:kern w:val="2"/>
          <w:sz w:val="24"/>
          <w:szCs w:val="20"/>
          <w:highlight w:val="none"/>
          <w:lang w:val="en-US" w:eastAsia="zh-CN" w:bidi="ar-SA"/>
        </w:rPr>
        <w:t>）</w:t>
      </w:r>
      <w:r>
        <w:rPr>
          <w:rFonts w:hint="default" w:ascii="Times New Roman" w:hAnsi="Times New Roman" w:cs="Times New Roman"/>
          <w:color w:val="auto"/>
          <w:highlight w:val="none"/>
          <w:lang w:val="en-US" w:eastAsia="zh-CN"/>
        </w:rPr>
        <w:t>方案需建立健全的数据治理机制，实现数据的全生命周期管理，确保数据的质量</w:t>
      </w:r>
      <w:r>
        <w:rPr>
          <w:rFonts w:hint="eastAsia" w:ascii="Times New Roman" w:hAnsi="Times New Roman" w:cs="Times New Roman"/>
          <w:color w:val="auto"/>
          <w:highlight w:val="none"/>
          <w:lang w:val="en-US" w:eastAsia="zh-CN"/>
        </w:rPr>
        <w:t>和</w:t>
      </w:r>
      <w:r>
        <w:rPr>
          <w:rFonts w:hint="default" w:ascii="Times New Roman" w:hAnsi="Times New Roman" w:cs="Times New Roman"/>
          <w:color w:val="auto"/>
          <w:highlight w:val="none"/>
          <w:lang w:val="en-US" w:eastAsia="zh-CN"/>
        </w:rPr>
        <w:t>安全，并明确和落实数据隐私保护、数据安全等措施；</w:t>
      </w:r>
    </w:p>
    <w:p w14:paraId="6AE0F1B2">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4"/>
          <w:szCs w:val="20"/>
          <w:highlight w:val="none"/>
          <w:lang w:val="en-US" w:eastAsia="zh-CN" w:bidi="ar-SA"/>
        </w:rPr>
        <w:t>（7</w:t>
      </w:r>
      <w:r>
        <w:rPr>
          <w:rFonts w:hint="default" w:ascii="Times New Roman" w:hAnsi="Times New Roman" w:eastAsia="宋体" w:cs="Times New Roman"/>
          <w:color w:val="auto"/>
          <w:kern w:val="2"/>
          <w:sz w:val="24"/>
          <w:szCs w:val="20"/>
          <w:highlight w:val="none"/>
          <w:lang w:val="en-US" w:eastAsia="zh-CN" w:bidi="ar-SA"/>
        </w:rPr>
        <w:t>）</w:t>
      </w:r>
      <w:r>
        <w:rPr>
          <w:rFonts w:hint="default" w:ascii="Times New Roman" w:hAnsi="Times New Roman" w:cs="Times New Roman"/>
          <w:color w:val="auto"/>
          <w:highlight w:val="none"/>
          <w:lang w:val="en-US" w:eastAsia="zh-CN"/>
        </w:rPr>
        <w:t>参选人在方案制定完成后应产出的材料包括但不限于：数据中台实施</w:t>
      </w:r>
      <w:r>
        <w:rPr>
          <w:rFonts w:hint="eastAsia" w:ascii="Times New Roman" w:hAnsi="Times New Roman" w:cs="Times New Roman"/>
          <w:color w:val="auto"/>
          <w:highlight w:val="none"/>
          <w:lang w:val="en-US" w:eastAsia="zh-CN"/>
        </w:rPr>
        <w:t>和迁移</w:t>
      </w:r>
      <w:r>
        <w:rPr>
          <w:rFonts w:hint="default" w:ascii="Times New Roman" w:hAnsi="Times New Roman" w:cs="Times New Roman"/>
          <w:color w:val="auto"/>
          <w:highlight w:val="none"/>
          <w:lang w:val="en-US" w:eastAsia="zh-CN"/>
        </w:rPr>
        <w:t>方案。</w:t>
      </w:r>
    </w:p>
    <w:p w14:paraId="2BA32AA8">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产品</w:t>
      </w:r>
      <w:r>
        <w:rPr>
          <w:rFonts w:hint="eastAsia" w:ascii="Times New Roman" w:hAnsi="Times New Roman" w:cs="Times New Roman"/>
          <w:color w:val="auto"/>
          <w:highlight w:val="none"/>
          <w:lang w:val="en-US" w:eastAsia="zh-CN"/>
        </w:rPr>
        <w:t>部署与集成</w:t>
      </w:r>
    </w:p>
    <w:p w14:paraId="7B135298">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eastAsia"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w:t>
      </w:r>
      <w:r>
        <w:rPr>
          <w:rFonts w:hint="eastAsia" w:ascii="Times New Roman" w:hAnsi="Times New Roman" w:cs="Times New Roman"/>
          <w:b/>
          <w:bCs w:val="0"/>
          <w:color w:val="auto"/>
          <w:highlight w:val="none"/>
          <w:lang w:val="en-US" w:eastAsia="zh-CN"/>
        </w:rPr>
        <w:t>产品通用要求</w:t>
      </w:r>
    </w:p>
    <w:p w14:paraId="6D3D8C39">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eastAsia"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总体要求</w:t>
      </w:r>
    </w:p>
    <w:p w14:paraId="2DDFC862">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为确保参选人提供的产品与服务能满足比选人的需求，参选人提供的产品及服务必须满足的要求包括但不限于：</w:t>
      </w:r>
    </w:p>
    <w:p w14:paraId="34633830">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1）本项目</w:t>
      </w:r>
      <w:r>
        <w:rPr>
          <w:rFonts w:hint="eastAsia" w:ascii="Times New Roman" w:hAnsi="Times New Roman" w:cs="Times New Roman"/>
          <w:color w:val="auto"/>
          <w:highlight w:val="none"/>
          <w:lang w:val="en-US" w:eastAsia="zh-CN"/>
        </w:rPr>
        <w:t>需参选人提供</w:t>
      </w:r>
      <w:r>
        <w:rPr>
          <w:rFonts w:hint="default" w:ascii="Times New Roman" w:hAnsi="Times New Roman" w:cs="Times New Roman"/>
          <w:color w:val="auto"/>
          <w:highlight w:val="none"/>
          <w:lang w:val="en-US" w:eastAsia="zh-CN"/>
        </w:rPr>
        <w:t>两个产品</w:t>
      </w:r>
      <w:r>
        <w:rPr>
          <w:rFonts w:hint="eastAsia" w:ascii="Times New Roman" w:hAnsi="Times New Roman" w:cs="Times New Roman"/>
          <w:color w:val="auto"/>
          <w:highlight w:val="none"/>
          <w:lang w:val="en-US" w:eastAsia="zh-CN"/>
        </w:rPr>
        <w:t>，分别是</w:t>
      </w:r>
      <w:r>
        <w:rPr>
          <w:rFonts w:hint="default" w:ascii="Times New Roman" w:hAnsi="Times New Roman" w:cs="Times New Roman"/>
          <w:color w:val="auto"/>
          <w:highlight w:val="none"/>
          <w:lang w:val="en-US" w:eastAsia="zh-CN"/>
        </w:rPr>
        <w:t>湖仓一体底座和数据作业平台</w:t>
      </w:r>
      <w:r>
        <w:rPr>
          <w:rFonts w:hint="eastAsia" w:ascii="Times New Roman" w:hAnsi="Times New Roman" w:cs="Times New Roman"/>
          <w:color w:val="auto"/>
          <w:highlight w:val="none"/>
          <w:lang w:val="en-US" w:eastAsia="zh-CN"/>
        </w:rPr>
        <w:t>；</w:t>
      </w:r>
    </w:p>
    <w:p w14:paraId="0F27610B">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参选人应负责产品</w:t>
      </w:r>
      <w:r>
        <w:rPr>
          <w:rFonts w:hint="default" w:ascii="Times New Roman" w:hAnsi="Times New Roman" w:cs="Times New Roman"/>
          <w:color w:val="auto"/>
          <w:highlight w:val="none"/>
          <w:lang w:val="en-US" w:eastAsia="zh-CN"/>
        </w:rPr>
        <w:t>的部署</w:t>
      </w:r>
      <w:r>
        <w:rPr>
          <w:rFonts w:hint="eastAsia" w:ascii="Times New Roman" w:hAnsi="Times New Roman" w:cs="Times New Roman"/>
          <w:color w:val="auto"/>
          <w:highlight w:val="none"/>
          <w:lang w:val="en-US" w:eastAsia="zh-CN"/>
        </w:rPr>
        <w:t>和</w:t>
      </w:r>
      <w:r>
        <w:rPr>
          <w:rFonts w:hint="default" w:ascii="Times New Roman" w:hAnsi="Times New Roman" w:cs="Times New Roman"/>
          <w:color w:val="auto"/>
          <w:highlight w:val="none"/>
          <w:lang w:val="en-US" w:eastAsia="zh-CN"/>
        </w:rPr>
        <w:t>集成</w:t>
      </w:r>
      <w:r>
        <w:rPr>
          <w:rFonts w:hint="eastAsia" w:ascii="Times New Roman" w:hAnsi="Times New Roman" w:cs="Times New Roman"/>
          <w:color w:val="auto"/>
          <w:highlight w:val="none"/>
          <w:lang w:val="en-US" w:eastAsia="zh-CN"/>
        </w:rPr>
        <w:t>工作，具体要求包括但不限于：</w:t>
      </w:r>
    </w:p>
    <w:p w14:paraId="770E1355">
      <w:pPr>
        <w:keepNext w:val="0"/>
        <w:keepLines w:val="0"/>
        <w:pageBreakBefore w:val="0"/>
        <w:widowControl w:val="0"/>
        <w:numPr>
          <w:ilvl w:val="0"/>
          <w:numId w:val="5"/>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参选人原厂产品或功能模块若不满足比选人的相关要求，可集成第三方授权产品；</w:t>
      </w:r>
    </w:p>
    <w:p w14:paraId="060107A3">
      <w:pPr>
        <w:keepNext w:val="0"/>
        <w:keepLines w:val="0"/>
        <w:pageBreakBefore w:val="0"/>
        <w:widowControl w:val="0"/>
        <w:numPr>
          <w:ilvl w:val="0"/>
          <w:numId w:val="5"/>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若提供的产品或功能模块为第三方产品，</w:t>
      </w:r>
      <w:r>
        <w:rPr>
          <w:rFonts w:hint="default" w:ascii="Times New Roman" w:hAnsi="Times New Roman" w:cs="Times New Roman"/>
          <w:color w:val="auto"/>
          <w:highlight w:val="none"/>
          <w:lang w:val="en-US" w:eastAsia="zh-CN"/>
        </w:rPr>
        <w:t>需由产品供应商的原厂工程师进行部署、调优、改造、测试及上线</w:t>
      </w:r>
      <w:r>
        <w:rPr>
          <w:rFonts w:hint="eastAsia" w:ascii="Times New Roman" w:hAnsi="Times New Roman" w:cs="Times New Roman"/>
          <w:color w:val="auto"/>
          <w:highlight w:val="none"/>
          <w:lang w:val="en-US" w:eastAsia="zh-CN"/>
        </w:rPr>
        <w:t>；</w:t>
      </w:r>
    </w:p>
    <w:p w14:paraId="267F01B8">
      <w:pPr>
        <w:keepNext w:val="0"/>
        <w:keepLines w:val="0"/>
        <w:pageBreakBefore w:val="0"/>
        <w:widowControl w:val="0"/>
        <w:numPr>
          <w:ilvl w:val="0"/>
          <w:numId w:val="5"/>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产品需按照项目建设规划进行部署与集成；</w:t>
      </w:r>
    </w:p>
    <w:p w14:paraId="21ADC573">
      <w:pPr>
        <w:keepNext w:val="0"/>
        <w:keepLines w:val="0"/>
        <w:pageBreakBefore w:val="0"/>
        <w:widowControl w:val="0"/>
        <w:numPr>
          <w:ilvl w:val="0"/>
          <w:numId w:val="5"/>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参选人需负责产品与其他业务系统的适配对接工作，包括但不限于运维监控系统、</w:t>
      </w:r>
      <w:r>
        <w:rPr>
          <w:rFonts w:hint="default" w:ascii="Times New Roman" w:hAnsi="Times New Roman" w:cs="Times New Roman"/>
          <w:color w:val="auto"/>
          <w:highlight w:val="none"/>
          <w:lang w:val="en-US" w:eastAsia="zh-CN"/>
        </w:rPr>
        <w:t>OA</w:t>
      </w:r>
      <w:r>
        <w:rPr>
          <w:rFonts w:hint="eastAsia" w:ascii="Times New Roman" w:hAnsi="Times New Roman" w:cs="Times New Roman"/>
          <w:color w:val="auto"/>
          <w:highlight w:val="none"/>
          <w:lang w:val="en-US" w:eastAsia="zh-CN"/>
        </w:rPr>
        <w:t>系统以及新一代数据中台项目后续期次的其他</w:t>
      </w:r>
      <w:r>
        <w:rPr>
          <w:rFonts w:hint="default" w:ascii="Times New Roman" w:hAnsi="Times New Roman" w:cs="Times New Roman"/>
          <w:color w:val="auto"/>
          <w:highlight w:val="none"/>
          <w:lang w:val="en-US" w:eastAsia="zh-CN"/>
        </w:rPr>
        <w:t>应用</w:t>
      </w:r>
      <w:r>
        <w:rPr>
          <w:rFonts w:hint="eastAsia" w:ascii="Times New Roman" w:hAnsi="Times New Roman" w:cs="Times New Roman"/>
          <w:color w:val="auto"/>
          <w:highlight w:val="none"/>
          <w:lang w:val="en-US" w:eastAsia="zh-CN"/>
        </w:rPr>
        <w:t>；</w:t>
      </w:r>
    </w:p>
    <w:p w14:paraId="2DE627F4">
      <w:pPr>
        <w:keepNext w:val="0"/>
        <w:keepLines w:val="0"/>
        <w:pageBreakBefore w:val="0"/>
        <w:widowControl w:val="0"/>
        <w:numPr>
          <w:ilvl w:val="0"/>
          <w:numId w:val="5"/>
        </w:numPr>
        <w:kinsoku/>
        <w:wordWrap/>
        <w:overflowPunct/>
        <w:topLinePunct w:val="0"/>
        <w:autoSpaceDE w:val="0"/>
        <w:autoSpaceDN w:val="0"/>
        <w:bidi w:val="0"/>
        <w:adjustRightInd/>
        <w:snapToGrid/>
        <w:ind w:left="0" w:leftChars="0" w:firstLine="480" w:firstLineChars="200"/>
        <w:jc w:val="both"/>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参选人需保证产品的正常运行并负责售后服务，且承担因此而发生的一切费用</w:t>
      </w:r>
      <w:r>
        <w:rPr>
          <w:rFonts w:hint="default" w:ascii="Times New Roman" w:hAnsi="Times New Roman" w:cs="Times New Roman"/>
          <w:color w:val="auto"/>
          <w:highlight w:val="none"/>
          <w:lang w:val="en-US" w:eastAsia="zh-CN"/>
        </w:rPr>
        <w:t>；</w:t>
      </w:r>
    </w:p>
    <w:p w14:paraId="1951F6FF">
      <w:pPr>
        <w:numPr>
          <w:ilvl w:val="0"/>
          <w:numId w:val="0"/>
        </w:numPr>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（3）参选人提供的产品均需支持向私有云环境迁移；</w:t>
      </w:r>
    </w:p>
    <w:p w14:paraId="0D91CFA6">
      <w:pPr>
        <w:numPr>
          <w:ilvl w:val="0"/>
          <w:numId w:val="0"/>
        </w:numPr>
        <w:ind w:left="0" w:leftChars="0"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（4）参选人提供的产品需支持高可用、集群化部署，且支持自动故障转移，保障同步业务不受阻断；支持两地三中心业务连续性容灾架构部署，避免区域级机房级故障导致业务中断；</w:t>
      </w:r>
    </w:p>
    <w:p w14:paraId="160DCA11">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）产品需严格满足信创要求</w:t>
      </w:r>
      <w:r>
        <w:rPr>
          <w:rFonts w:hint="eastAsia" w:ascii="Times New Roman" w:hAnsi="Times New Roman" w:cs="Times New Roman"/>
          <w:color w:val="auto"/>
          <w:highlight w:val="none"/>
          <w:lang w:val="en-US" w:eastAsia="zh-CN"/>
        </w:rPr>
        <w:t>且具备良好的兼容性，</w:t>
      </w:r>
      <w:r>
        <w:rPr>
          <w:rFonts w:hint="default" w:ascii="Times New Roman" w:hAnsi="Times New Roman" w:cs="Times New Roman"/>
          <w:color w:val="auto"/>
          <w:highlight w:val="none"/>
          <w:lang w:val="en-US" w:eastAsia="zh-CN"/>
        </w:rPr>
        <w:t>具体要求</w:t>
      </w:r>
      <w:r>
        <w:rPr>
          <w:rFonts w:hint="eastAsia" w:ascii="Times New Roman" w:hAnsi="Times New Roman" w:cs="Times New Roman"/>
          <w:color w:val="auto"/>
          <w:highlight w:val="none"/>
          <w:lang w:val="en-US" w:eastAsia="zh-CN"/>
        </w:rPr>
        <w:t>应</w:t>
      </w:r>
      <w:r>
        <w:rPr>
          <w:rFonts w:hint="default" w:ascii="Times New Roman" w:hAnsi="Times New Roman" w:cs="Times New Roman"/>
          <w:color w:val="auto"/>
          <w:highlight w:val="none"/>
          <w:lang w:val="en-US" w:eastAsia="zh-CN"/>
        </w:rPr>
        <w:t>包括但不限于：</w:t>
      </w:r>
    </w:p>
    <w:p w14:paraId="101F6423">
      <w:pPr>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服务器硬件</w:t>
      </w:r>
      <w:r>
        <w:rPr>
          <w:rFonts w:hint="eastAsia" w:ascii="Times New Roman" w:hAnsi="Times New Roman" w:cs="Times New Roman"/>
          <w:color w:val="auto"/>
          <w:highlight w:val="none"/>
          <w:lang w:val="en-US" w:eastAsia="zh-CN"/>
        </w:rPr>
        <w:t>适配</w:t>
      </w:r>
      <w:r>
        <w:rPr>
          <w:rFonts w:hint="default" w:ascii="Times New Roman" w:hAnsi="Times New Roman" w:cs="Times New Roman"/>
          <w:color w:val="auto"/>
          <w:highlight w:val="none"/>
          <w:lang w:val="en-US" w:eastAsia="zh-CN"/>
        </w:rPr>
        <w:t>。需要支持国产海光X86、鲲鹏ARM的多平台和CPU架构硬件服务器；</w:t>
      </w:r>
    </w:p>
    <w:p w14:paraId="4A794EB2">
      <w:pPr>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操作系统</w:t>
      </w:r>
      <w:r>
        <w:rPr>
          <w:rFonts w:hint="eastAsia" w:ascii="Times New Roman" w:hAnsi="Times New Roman" w:cs="Times New Roman"/>
          <w:color w:val="auto"/>
          <w:highlight w:val="none"/>
          <w:lang w:val="en-US" w:eastAsia="zh-CN"/>
        </w:rPr>
        <w:t>适配</w:t>
      </w:r>
      <w:r>
        <w:rPr>
          <w:rFonts w:hint="default" w:ascii="Times New Roman" w:hAnsi="Times New Roman" w:cs="Times New Roman"/>
          <w:color w:val="auto"/>
          <w:highlight w:val="none"/>
          <w:lang w:val="en-US" w:eastAsia="zh-CN"/>
        </w:rPr>
        <w:t>。需</w:t>
      </w:r>
      <w:r>
        <w:rPr>
          <w:rFonts w:hint="eastAsia" w:ascii="Times New Roman" w:hAnsi="Times New Roman" w:cs="Times New Roman"/>
          <w:color w:val="auto"/>
          <w:highlight w:val="none"/>
          <w:lang w:val="en-US" w:eastAsia="zh-CN"/>
        </w:rPr>
        <w:t>支持在</w:t>
      </w:r>
      <w:r>
        <w:rPr>
          <w:rFonts w:hint="default" w:ascii="Times New Roman" w:hAnsi="Times New Roman" w:cs="Times New Roman"/>
          <w:color w:val="auto"/>
          <w:highlight w:val="none"/>
          <w:lang w:val="en-US" w:eastAsia="zh-CN"/>
        </w:rPr>
        <w:t>国产银河麒麟</w:t>
      </w:r>
      <w:r>
        <w:rPr>
          <w:rFonts w:hint="eastAsia" w:ascii="Times New Roman" w:hAnsi="Times New Roman" w:cs="Times New Roman"/>
          <w:color w:val="auto"/>
          <w:highlight w:val="none"/>
          <w:lang w:val="en-US" w:eastAsia="zh-CN"/>
        </w:rPr>
        <w:t>服务器</w:t>
      </w:r>
      <w:r>
        <w:rPr>
          <w:rFonts w:hint="default" w:ascii="Times New Roman" w:hAnsi="Times New Roman" w:cs="Times New Roman"/>
          <w:color w:val="auto"/>
          <w:highlight w:val="none"/>
          <w:lang w:val="en-US" w:eastAsia="zh-CN"/>
        </w:rPr>
        <w:t>操作系统的主流版本</w:t>
      </w:r>
      <w:r>
        <w:rPr>
          <w:rFonts w:hint="eastAsia" w:ascii="Times New Roman" w:hAnsi="Times New Roman" w:cs="Times New Roman"/>
          <w:color w:val="auto"/>
          <w:highlight w:val="none"/>
          <w:lang w:val="en-US" w:eastAsia="zh-CN"/>
        </w:rPr>
        <w:t>上进行部署，且相关终端软件需支持在国产银河</w:t>
      </w:r>
      <w:r>
        <w:rPr>
          <w:rFonts w:hint="default" w:ascii="Times New Roman" w:hAnsi="Times New Roman" w:cs="Times New Roman"/>
          <w:color w:val="auto"/>
          <w:highlight w:val="none"/>
          <w:lang w:val="en-US" w:eastAsia="zh-CN"/>
        </w:rPr>
        <w:t>麒麟</w:t>
      </w:r>
      <w:r>
        <w:rPr>
          <w:rFonts w:hint="eastAsia" w:ascii="Times New Roman" w:hAnsi="Times New Roman" w:cs="Times New Roman"/>
          <w:color w:val="auto"/>
          <w:highlight w:val="none"/>
          <w:lang w:val="en-US" w:eastAsia="zh-CN"/>
        </w:rPr>
        <w:t>桌面操作系统进行使用</w:t>
      </w:r>
      <w:r>
        <w:rPr>
          <w:rFonts w:hint="default" w:ascii="Times New Roman" w:hAnsi="Times New Roman" w:cs="Times New Roman"/>
          <w:color w:val="auto"/>
          <w:highlight w:val="none"/>
          <w:lang w:val="en-US" w:eastAsia="zh-CN"/>
        </w:rPr>
        <w:t>；</w:t>
      </w:r>
    </w:p>
    <w:p w14:paraId="1A631DA1">
      <w:pPr>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数据库适配。需要支持OceanBase、达梦、TDSQL等主流国产数据库；</w:t>
      </w:r>
    </w:p>
    <w:p w14:paraId="1EB95846">
      <w:pPr>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中间件</w:t>
      </w:r>
      <w:r>
        <w:rPr>
          <w:rFonts w:hint="eastAsia" w:ascii="Times New Roman" w:hAnsi="Times New Roman" w:cs="Times New Roman"/>
          <w:color w:val="auto"/>
          <w:highlight w:val="none"/>
          <w:lang w:val="en-US" w:eastAsia="zh-CN"/>
        </w:rPr>
        <w:t>适配</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产品若</w:t>
      </w:r>
      <w:r>
        <w:rPr>
          <w:rFonts w:hint="default" w:ascii="Times New Roman" w:hAnsi="Times New Roman" w:cs="Times New Roman"/>
          <w:color w:val="auto"/>
          <w:highlight w:val="none"/>
          <w:lang w:val="en-US" w:eastAsia="zh-CN"/>
        </w:rPr>
        <w:t>需使用</w:t>
      </w:r>
      <w:r>
        <w:rPr>
          <w:rFonts w:hint="eastAsia" w:ascii="Times New Roman" w:hAnsi="Times New Roman" w:cs="Times New Roman"/>
          <w:color w:val="auto"/>
          <w:highlight w:val="none"/>
          <w:lang w:val="en-US" w:eastAsia="zh-CN"/>
        </w:rPr>
        <w:t>WEB</w:t>
      </w:r>
      <w:r>
        <w:rPr>
          <w:rFonts w:hint="default" w:ascii="Times New Roman" w:hAnsi="Times New Roman" w:cs="Times New Roman"/>
          <w:color w:val="auto"/>
          <w:highlight w:val="none"/>
          <w:lang w:val="en-US" w:eastAsia="zh-CN"/>
        </w:rPr>
        <w:t>服务器容器，需要</w:t>
      </w:r>
      <w:r>
        <w:rPr>
          <w:rFonts w:hint="eastAsia" w:ascii="Times New Roman" w:hAnsi="Times New Roman" w:cs="Times New Roman"/>
          <w:color w:val="auto"/>
          <w:highlight w:val="none"/>
          <w:lang w:val="en-US" w:eastAsia="zh-CN"/>
        </w:rPr>
        <w:t>支持如</w:t>
      </w:r>
      <w:r>
        <w:rPr>
          <w:rFonts w:hint="default" w:ascii="Times New Roman" w:hAnsi="Times New Roman" w:cs="Times New Roman"/>
          <w:color w:val="auto"/>
          <w:highlight w:val="none"/>
          <w:lang w:val="en-US" w:eastAsia="zh-CN"/>
        </w:rPr>
        <w:t>东方通、宝蓝德等中间件；</w:t>
      </w:r>
    </w:p>
    <w:p w14:paraId="6AA58651">
      <w:pPr>
        <w:keepNext w:val="0"/>
        <w:keepLines w:val="0"/>
        <w:pageBreakBefore w:val="0"/>
        <w:widowControl w:val="0"/>
        <w:numPr>
          <w:ilvl w:val="0"/>
          <w:numId w:val="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浏览器</w:t>
      </w:r>
      <w:r>
        <w:rPr>
          <w:rFonts w:hint="eastAsia" w:ascii="Times New Roman" w:hAnsi="Times New Roman" w:cs="Times New Roman"/>
          <w:color w:val="auto"/>
          <w:highlight w:val="none"/>
          <w:lang w:val="en-US" w:eastAsia="zh-CN"/>
        </w:rPr>
        <w:t>适配</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产品访问若需使用浏览器，</w:t>
      </w:r>
      <w:r>
        <w:rPr>
          <w:rFonts w:hint="default" w:ascii="Times New Roman" w:hAnsi="Times New Roman" w:cs="Times New Roman"/>
          <w:color w:val="auto"/>
          <w:highlight w:val="none"/>
          <w:lang w:val="en-US" w:eastAsia="zh-CN"/>
        </w:rPr>
        <w:t>需要</w:t>
      </w:r>
      <w:r>
        <w:rPr>
          <w:rFonts w:hint="eastAsia" w:ascii="Times New Roman" w:hAnsi="Times New Roman" w:cs="Times New Roman"/>
          <w:color w:val="auto"/>
          <w:highlight w:val="none"/>
          <w:lang w:val="en-US" w:eastAsia="zh-CN"/>
        </w:rPr>
        <w:t>支持</w:t>
      </w:r>
      <w:r>
        <w:rPr>
          <w:rFonts w:hint="default" w:ascii="Times New Roman" w:hAnsi="Times New Roman" w:cs="Times New Roman"/>
          <w:color w:val="auto"/>
          <w:highlight w:val="none"/>
          <w:lang w:val="en-US" w:eastAsia="zh-CN"/>
        </w:rPr>
        <w:t>主流信创浏览器，如360安全、360极速、奇安信可信浏览器等</w:t>
      </w:r>
      <w:r>
        <w:rPr>
          <w:rFonts w:hint="eastAsia" w:ascii="Times New Roman" w:hAnsi="Times New Roman" w:cs="Times New Roman"/>
          <w:color w:val="auto"/>
          <w:highlight w:val="none"/>
          <w:lang w:val="en-US" w:eastAsia="zh-CN"/>
        </w:rPr>
        <w:t>；</w:t>
      </w:r>
    </w:p>
    <w:p w14:paraId="6EF69C83">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eastAsia"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安全管控要求</w:t>
      </w:r>
    </w:p>
    <w:p w14:paraId="10F3B9EA">
      <w:pPr>
        <w:rPr>
          <w:rFonts w:hint="default"/>
          <w:color w:val="auto"/>
          <w:highlight w:val="none"/>
          <w:lang w:val="en-US" w:eastAsia="zh-CN"/>
        </w:rPr>
      </w:pPr>
      <w:r>
        <w:rPr>
          <w:rFonts w:hint="eastAsia" w:ascii="Times New Roman" w:hAnsi="Times New Roman" w:cs="Times New Roman"/>
          <w:color w:val="auto"/>
          <w:highlight w:val="none"/>
          <w:lang w:val="en-US" w:eastAsia="zh-CN"/>
        </w:rPr>
        <w:t>产品需提供全方位、立体化的安全管控方案，确保行内信息的安全，包括身份认证、权限识别、日志记录等手段，使整个系统具有良好的安全管控能力，抵御可能产生的恶意攻击和病毒侵蚀，并且在运行安全、网络安全和应用系统安全等方面有合理可靠的策略。具体通用要求包括但不限于：</w:t>
      </w:r>
    </w:p>
    <w:p w14:paraId="51A1588D">
      <w:pPr>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（1）账号安全要求</w:t>
      </w:r>
    </w:p>
    <w:p w14:paraId="67093FF0">
      <w:pPr>
        <w:keepNext w:val="0"/>
        <w:keepLines w:val="0"/>
        <w:pageBreakBefore w:val="0"/>
        <w:widowControl w:val="0"/>
        <w:numPr>
          <w:ilvl w:val="0"/>
          <w:numId w:val="7"/>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支持对账号口令设置复杂度规则：口令的复杂度要求8位以上，需包含大写字母、小写字母、数字、特殊字符，且相邻字母、字符、数字不能连续；</w:t>
      </w:r>
    </w:p>
    <w:p w14:paraId="6BAFAFC7">
      <w:pPr>
        <w:keepNext w:val="0"/>
        <w:keepLines w:val="0"/>
        <w:pageBreakBefore w:val="0"/>
        <w:widowControl w:val="0"/>
        <w:numPr>
          <w:ilvl w:val="0"/>
          <w:numId w:val="7"/>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账号口令需支持设置定期强制更换；</w:t>
      </w:r>
    </w:p>
    <w:p w14:paraId="3C9DADFA">
      <w:pPr>
        <w:keepNext w:val="0"/>
        <w:keepLines w:val="0"/>
        <w:pageBreakBefore w:val="0"/>
        <w:widowControl w:val="0"/>
        <w:numPr>
          <w:ilvl w:val="0"/>
          <w:numId w:val="7"/>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支持随机验证码校验；</w:t>
      </w:r>
    </w:p>
    <w:p w14:paraId="2926FF0D">
      <w:pPr>
        <w:keepNext w:val="0"/>
        <w:keepLines w:val="0"/>
        <w:pageBreakBefore w:val="0"/>
        <w:widowControl w:val="0"/>
        <w:numPr>
          <w:ilvl w:val="0"/>
          <w:numId w:val="7"/>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支持账号与IP或IP段或MAC地址绑定，限制用户仅能在绑定的IP或IP段或MAC地址进行登录。</w:t>
      </w:r>
    </w:p>
    <w:p w14:paraId="12411C22">
      <w:pPr>
        <w:numPr>
          <w:ilvl w:val="0"/>
          <w:numId w:val="0"/>
        </w:numPr>
        <w:ind w:firstLine="482" w:firstLineChars="200"/>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kern w:val="2"/>
          <w:sz w:val="24"/>
          <w:szCs w:val="20"/>
          <w:highlight w:val="none"/>
          <w:lang w:val="en-US" w:eastAsia="zh-CN" w:bidi="ar-SA"/>
        </w:rPr>
        <w:t>（</w:t>
      </w:r>
      <w:r>
        <w:rPr>
          <w:rFonts w:hint="eastAsia" w:ascii="Times New Roman" w:hAnsi="Times New Roman" w:eastAsia="宋体" w:cs="Times New Roman"/>
          <w:b/>
          <w:bCs w:val="0"/>
          <w:color w:val="auto"/>
          <w:kern w:val="2"/>
          <w:sz w:val="24"/>
          <w:szCs w:val="20"/>
          <w:highlight w:val="none"/>
          <w:lang w:val="en-US" w:eastAsia="zh-CN" w:bidi="ar-SA"/>
        </w:rPr>
        <w:t>2）</w:t>
      </w:r>
      <w:r>
        <w:rPr>
          <w:rFonts w:hint="eastAsia" w:ascii="Times New Roman" w:hAnsi="Times New Roman" w:cs="Times New Roman"/>
          <w:b/>
          <w:bCs w:val="0"/>
          <w:color w:val="auto"/>
          <w:highlight w:val="none"/>
          <w:lang w:val="en-US" w:eastAsia="zh-CN"/>
        </w:rPr>
        <w:t>权限管控要求</w:t>
      </w:r>
    </w:p>
    <w:p w14:paraId="0A102250">
      <w:pPr>
        <w:keepNext w:val="0"/>
        <w:keepLines w:val="0"/>
        <w:pageBreakBefore w:val="0"/>
        <w:widowControl w:val="0"/>
        <w:numPr>
          <w:ilvl w:val="0"/>
          <w:numId w:val="8"/>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支持系统管理员需可查看不同用户、角色、组织的资源权限以及不同资源赋予了哪些用户、角色、组织；</w:t>
      </w:r>
    </w:p>
    <w:p w14:paraId="7A41023E">
      <w:pPr>
        <w:keepNext w:val="0"/>
        <w:keepLines w:val="0"/>
        <w:pageBreakBefore w:val="0"/>
        <w:widowControl w:val="0"/>
        <w:numPr>
          <w:ilvl w:val="0"/>
          <w:numId w:val="8"/>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支持页面级、资源级、数据级的权限控制，满足各种业务需求；</w:t>
      </w:r>
    </w:p>
    <w:p w14:paraId="02416837">
      <w:pPr>
        <w:keepNext w:val="0"/>
        <w:keepLines w:val="0"/>
        <w:pageBreakBefore w:val="0"/>
        <w:widowControl w:val="0"/>
        <w:numPr>
          <w:ilvl w:val="0"/>
          <w:numId w:val="8"/>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产品支持根据组织架构自动分配资源和数据权限，实现不同机构的人员查看的资源和数据不同；</w:t>
      </w:r>
    </w:p>
    <w:p w14:paraId="698607B0">
      <w:pPr>
        <w:keepNext w:val="0"/>
        <w:keepLines w:val="0"/>
        <w:pageBreakBefore w:val="0"/>
        <w:widowControl w:val="0"/>
        <w:numPr>
          <w:ilvl w:val="0"/>
          <w:numId w:val="8"/>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支持通过角色继承或权限组合的方式简化权限配置。</w:t>
      </w:r>
    </w:p>
    <w:p w14:paraId="1C7AE24F">
      <w:pPr>
        <w:numPr>
          <w:ilvl w:val="0"/>
          <w:numId w:val="0"/>
        </w:numPr>
        <w:ind w:firstLine="482" w:firstLineChars="200"/>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kern w:val="2"/>
          <w:sz w:val="24"/>
          <w:szCs w:val="20"/>
          <w:highlight w:val="none"/>
          <w:lang w:val="en-US" w:eastAsia="zh-CN" w:bidi="ar-SA"/>
        </w:rPr>
        <w:t>（</w:t>
      </w:r>
      <w:r>
        <w:rPr>
          <w:rFonts w:hint="default" w:ascii="Times New Roman" w:hAnsi="Times New Roman" w:eastAsia="宋体" w:cs="Times New Roman"/>
          <w:b/>
          <w:bCs w:val="0"/>
          <w:color w:val="auto"/>
          <w:kern w:val="2"/>
          <w:sz w:val="24"/>
          <w:szCs w:val="20"/>
          <w:highlight w:val="none"/>
          <w:lang w:val="en-US" w:eastAsia="zh-CN" w:bidi="ar-SA"/>
        </w:rPr>
        <w:t>3）</w:t>
      </w:r>
      <w:r>
        <w:rPr>
          <w:rFonts w:hint="eastAsia" w:ascii="Times New Roman" w:hAnsi="Times New Roman" w:cs="Times New Roman"/>
          <w:b/>
          <w:bCs w:val="0"/>
          <w:color w:val="auto"/>
          <w:highlight w:val="none"/>
          <w:lang w:val="en-US" w:eastAsia="zh-CN"/>
        </w:rPr>
        <w:t>操作安全要求</w:t>
      </w:r>
    </w:p>
    <w:p w14:paraId="6272C03C">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1）</w:t>
      </w:r>
      <w:r>
        <w:rPr>
          <w:rFonts w:hint="eastAsia" w:ascii="Times New Roman" w:hAnsi="Times New Roman" w:cs="Times New Roman"/>
          <w:color w:val="auto"/>
          <w:highlight w:val="none"/>
          <w:lang w:val="en-US" w:eastAsia="zh-CN"/>
        </w:rPr>
        <w:t>针对查询、操作等页面需带有水印，且导出的Excel、PDF、图片、Word文件也必须包含水印，且水印内容支持定制；</w:t>
      </w:r>
    </w:p>
    <w:p w14:paraId="178296BE">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2）</w:t>
      </w:r>
      <w:r>
        <w:rPr>
          <w:rFonts w:hint="eastAsia" w:ascii="Times New Roman" w:hAnsi="Times New Roman" w:cs="Times New Roman"/>
          <w:color w:val="auto"/>
          <w:highlight w:val="none"/>
          <w:lang w:val="en-US" w:eastAsia="zh-CN"/>
        </w:rPr>
        <w:t>产品应该具有良好的、完善的日志记录和管理，包括但不限于系统运行日志、错误日志、系统操作日志、手工操作日志、事务审批日志等，具有标准的存储方式、完善的生命周期管理机制，支持灵活的配置。</w:t>
      </w:r>
    </w:p>
    <w:p w14:paraId="755FC303">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eastAsia"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应用架构要求</w:t>
      </w:r>
    </w:p>
    <w:p w14:paraId="562EE6BF">
      <w:pPr>
        <w:pStyle w:val="20"/>
        <w:keepNext w:val="0"/>
        <w:keepLines w:val="0"/>
        <w:widowControl/>
        <w:suppressLineNumbers w:val="0"/>
        <w:spacing w:before="0" w:beforeAutospacing="0" w:after="0" w:afterAutospacing="0"/>
        <w:ind w:left="0" w:right="0"/>
        <w:rPr>
          <w:rFonts w:hint="default"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w:t>
      </w:r>
      <w:r>
        <w:rPr>
          <w:rFonts w:hint="eastAsia" w:ascii="Times New Roman" w:hAnsi="Times New Roman" w:eastAsia="宋体" w:cs="Times New Roman"/>
          <w:b/>
          <w:bCs/>
          <w:color w:val="auto"/>
          <w:highlight w:val="none"/>
          <w:lang w:val="en-US" w:eastAsia="zh-CN"/>
        </w:rPr>
        <w:t xml:space="preserve">1） </w:t>
      </w:r>
      <w:r>
        <w:rPr>
          <w:rFonts w:hint="default" w:ascii="Times New Roman" w:hAnsi="Times New Roman" w:eastAsia="宋体" w:cs="Times New Roman"/>
          <w:b/>
          <w:bCs/>
          <w:color w:val="auto"/>
          <w:highlight w:val="none"/>
          <w:lang w:val="en-US" w:eastAsia="zh-CN"/>
        </w:rPr>
        <w:t>统一信息规范</w:t>
      </w:r>
    </w:p>
    <w:p w14:paraId="591E35A7">
      <w:pPr>
        <w:keepNext w:val="0"/>
        <w:keepLines w:val="0"/>
        <w:pageBreakBefore w:val="0"/>
        <w:widowControl w:val="0"/>
        <w:numPr>
          <w:ilvl w:val="0"/>
          <w:numId w:val="9"/>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统一系统时间。信息系统应通过我行时间同步服务器进行同步；</w:t>
      </w:r>
    </w:p>
    <w:p w14:paraId="2B613A69">
      <w:pPr>
        <w:keepNext w:val="0"/>
        <w:keepLines w:val="0"/>
        <w:pageBreakBefore w:val="0"/>
        <w:widowControl w:val="0"/>
        <w:numPr>
          <w:ilvl w:val="0"/>
          <w:numId w:val="9"/>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统一用户账号体系。需支持使用员工工号（目前为纯数字），实现统一身份认证；</w:t>
      </w:r>
    </w:p>
    <w:p w14:paraId="27C24A37">
      <w:pPr>
        <w:keepNext w:val="0"/>
        <w:keepLines w:val="0"/>
        <w:pageBreakBefore w:val="0"/>
        <w:widowControl w:val="0"/>
        <w:numPr>
          <w:ilvl w:val="0"/>
          <w:numId w:val="9"/>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统一通信报文编码。通信报文应使用UTF-8编码格式。</w:t>
      </w:r>
    </w:p>
    <w:p w14:paraId="60250426">
      <w:pPr>
        <w:pStyle w:val="20"/>
        <w:keepNext w:val="0"/>
        <w:keepLines w:val="0"/>
        <w:widowControl/>
        <w:suppressLineNumbers w:val="0"/>
        <w:spacing w:before="0" w:beforeAutospacing="0" w:after="0" w:afterAutospacing="0"/>
        <w:ind w:left="0" w:right="0"/>
        <w:rPr>
          <w:rFonts w:hint="default"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（2）</w:t>
      </w:r>
      <w:r>
        <w:rPr>
          <w:rFonts w:hint="default" w:ascii="Times New Roman" w:hAnsi="Times New Roman" w:eastAsia="宋体" w:cs="Times New Roman"/>
          <w:b/>
          <w:bCs/>
          <w:color w:val="auto"/>
          <w:highlight w:val="none"/>
          <w:lang w:val="en-US" w:eastAsia="zh-CN"/>
        </w:rPr>
        <w:t>应用程序配置要求</w:t>
      </w:r>
    </w:p>
    <w:p w14:paraId="35F90A81">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1）</w:t>
      </w:r>
      <w:r>
        <w:rPr>
          <w:rFonts w:hint="eastAsia" w:ascii="Times New Roman" w:hAnsi="Times New Roman" w:cs="Times New Roman"/>
          <w:color w:val="auto"/>
          <w:highlight w:val="none"/>
          <w:lang w:val="en-US" w:eastAsia="zh-CN"/>
        </w:rPr>
        <w:t>采用UTF-8字符集，支持GB_18030-2022 L3级别的中文生僻字数据存储、显示、处理等能力；</w:t>
      </w:r>
    </w:p>
    <w:p w14:paraId="2A5D2B1C">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2）</w:t>
      </w:r>
      <w:r>
        <w:rPr>
          <w:rFonts w:hint="eastAsia" w:ascii="Times New Roman" w:hAnsi="Times New Roman" w:cs="Times New Roman"/>
          <w:color w:val="auto"/>
          <w:highlight w:val="none"/>
          <w:lang w:val="en-US" w:eastAsia="zh-CN"/>
        </w:rPr>
        <w:t>具有业务级和应用级异常告警机制；</w:t>
      </w:r>
    </w:p>
    <w:p w14:paraId="6B679555">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0"/>
          <w:highlight w:val="none"/>
          <w:lang w:val="en-US" w:eastAsia="zh-CN" w:bidi="ar-SA"/>
        </w:rPr>
        <w:t>3）</w:t>
      </w:r>
      <w:r>
        <w:rPr>
          <w:rFonts w:hint="eastAsia" w:ascii="Times New Roman" w:hAnsi="Times New Roman" w:cs="Times New Roman"/>
          <w:color w:val="auto"/>
          <w:highlight w:val="none"/>
          <w:lang w:val="en-US" w:eastAsia="zh-CN"/>
        </w:rPr>
        <w:t>针对需提供源码的产品服务，所提供的源码应具有良好的完整性、规范性、可读性；</w:t>
      </w:r>
    </w:p>
    <w:p w14:paraId="631C2CBF">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0"/>
          <w:highlight w:val="none"/>
          <w:lang w:val="en-US" w:eastAsia="zh-CN" w:bidi="ar-SA"/>
        </w:rPr>
        <w:t>4）</w:t>
      </w:r>
      <w:r>
        <w:rPr>
          <w:rFonts w:hint="eastAsia" w:ascii="Times New Roman" w:hAnsi="Times New Roman" w:cs="Times New Roman"/>
          <w:color w:val="auto"/>
          <w:highlight w:val="none"/>
          <w:lang w:val="en-US" w:eastAsia="zh-CN"/>
        </w:rPr>
        <w:t>需提供应用程序服务部署、操作配置、运维运营相关的标准易读文档。</w:t>
      </w:r>
    </w:p>
    <w:p w14:paraId="14B11AA5">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eastAsia"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非功能要求</w:t>
      </w:r>
    </w:p>
    <w:p w14:paraId="72D48F1A">
      <w:pPr>
        <w:pStyle w:val="20"/>
        <w:keepNext w:val="0"/>
        <w:keepLines w:val="0"/>
        <w:widowControl/>
        <w:suppressLineNumbers w:val="0"/>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w:t>
      </w:r>
      <w:r>
        <w:rPr>
          <w:rFonts w:hint="eastAsia" w:ascii="Times New Roman" w:hAnsi="Times New Roman" w:eastAsia="宋体" w:cs="Times New Roman"/>
          <w:b/>
          <w:bCs/>
          <w:color w:val="auto"/>
          <w:highlight w:val="none"/>
          <w:lang w:val="en-US" w:eastAsia="zh-CN"/>
        </w:rPr>
        <w:t>1）可靠性</w:t>
      </w:r>
    </w:p>
    <w:p w14:paraId="2F4FC98D">
      <w:pPr>
        <w:adjustRightInd w:val="0"/>
        <w:snapToGrid/>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需采用成熟的系统架构、技术措施和开发手段，具备良好的可扩充性和可维护性，支持横向扩展，具有灵活的参数化配置功能，采用集群方式搭建，以避免系统单点故障，保障系统及服务的高可用性和稳定性。</w:t>
      </w:r>
    </w:p>
    <w:p w14:paraId="10EE7EB1">
      <w:pPr>
        <w:pStyle w:val="20"/>
        <w:keepNext w:val="0"/>
        <w:keepLines w:val="0"/>
        <w:widowControl/>
        <w:suppressLineNumbers w:val="0"/>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（2</w:t>
      </w:r>
      <w:r>
        <w:rPr>
          <w:rFonts w:hint="eastAsia" w:ascii="Times New Roman" w:hAnsi="Times New Roman" w:eastAsia="宋体" w:cs="Times New Roman"/>
          <w:b/>
          <w:bCs/>
          <w:color w:val="auto"/>
          <w:highlight w:val="none"/>
          <w:lang w:val="en-US" w:eastAsia="zh-CN"/>
        </w:rPr>
        <w:t>）</w:t>
      </w:r>
      <w:r>
        <w:rPr>
          <w:rFonts w:hint="eastAsia" w:ascii="Times New Roman" w:hAnsi="Times New Roman" w:cs="Times New Roman"/>
          <w:b/>
          <w:bCs/>
          <w:color w:val="auto"/>
          <w:highlight w:val="none"/>
          <w:lang w:val="en-US" w:eastAsia="zh-CN"/>
        </w:rPr>
        <w:t>业务连续</w:t>
      </w:r>
      <w:r>
        <w:rPr>
          <w:rFonts w:hint="eastAsia" w:ascii="Times New Roman" w:hAnsi="Times New Roman" w:eastAsia="宋体" w:cs="Times New Roman"/>
          <w:b/>
          <w:bCs/>
          <w:color w:val="auto"/>
          <w:highlight w:val="none"/>
          <w:lang w:val="en-US" w:eastAsia="zh-CN"/>
        </w:rPr>
        <w:t>性</w:t>
      </w:r>
    </w:p>
    <w:p w14:paraId="0ED0B428">
      <w:pPr>
        <w:adjustRightInd w:val="0"/>
        <w:snapToGrid/>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产品需具备良好的可恢复性，以最大程度保证业务的连续性，产品的业务连续性要求如表3-1所示：</w:t>
      </w:r>
    </w:p>
    <w:p w14:paraId="74FDEC19">
      <w:pPr>
        <w:pStyle w:val="9"/>
        <w:rPr>
          <w:rFonts w:hint="default" w:eastAsia="宋体"/>
          <w:color w:val="auto"/>
          <w:highlight w:val="none"/>
          <w:lang w:val="en-US" w:eastAsia="zh-CN"/>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w:t>
      </w:r>
      <w:r>
        <w:rPr>
          <w:rFonts w:hint="eastAsia" w:cs="Times New Roman"/>
          <w:color w:val="auto"/>
          <w:sz w:val="21"/>
          <w:szCs w:val="21"/>
          <w:highlight w:val="none"/>
          <w:lang w:val="en-US" w:eastAsia="zh-CN"/>
        </w:rPr>
        <w:t>产品业务连续性要求</w:t>
      </w:r>
    </w:p>
    <w:tbl>
      <w:tblPr>
        <w:tblStyle w:val="22"/>
        <w:tblW w:w="4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1"/>
        <w:gridCol w:w="2486"/>
        <w:gridCol w:w="2151"/>
      </w:tblGrid>
      <w:tr w14:paraId="45B5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4505FD2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产品名称</w:t>
            </w:r>
          </w:p>
        </w:tc>
        <w:tc>
          <w:tcPr>
            <w:tcW w:w="178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754A971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业务RTO/RPO</w:t>
            </w:r>
          </w:p>
        </w:tc>
        <w:tc>
          <w:tcPr>
            <w:tcW w:w="154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6383083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技术RTO/RPO</w:t>
            </w:r>
          </w:p>
        </w:tc>
      </w:tr>
      <w:tr w14:paraId="7A2C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noWrap/>
            <w:vAlign w:val="center"/>
          </w:tcPr>
          <w:p w14:paraId="5C5AE0A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湖仓一体底座</w:t>
            </w:r>
          </w:p>
        </w:tc>
        <w:tc>
          <w:tcPr>
            <w:tcW w:w="1783" w:type="pct"/>
            <w:tcBorders>
              <w:top w:val="single" w:color="auto" w:sz="6" w:space="0"/>
              <w:left w:val="single" w:color="auto" w:sz="6" w:space="0"/>
              <w:bottom w:val="single" w:color="auto" w:sz="6" w:space="0"/>
              <w:right w:val="single" w:color="auto" w:sz="6" w:space="0"/>
              <w:tl2br w:val="nil"/>
              <w:tr2bl w:val="nil"/>
            </w:tcBorders>
            <w:noWrap/>
            <w:vAlign w:val="center"/>
          </w:tcPr>
          <w:p w14:paraId="4972D51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14小时/15分钟</w:t>
            </w:r>
          </w:p>
        </w:tc>
        <w:tc>
          <w:tcPr>
            <w:tcW w:w="1543" w:type="pct"/>
            <w:tcBorders>
              <w:top w:val="single" w:color="auto" w:sz="6" w:space="0"/>
              <w:left w:val="single" w:color="auto" w:sz="6" w:space="0"/>
              <w:bottom w:val="single" w:color="auto" w:sz="6" w:space="0"/>
              <w:right w:val="single" w:color="auto" w:sz="6" w:space="0"/>
              <w:tl2br w:val="nil"/>
              <w:tr2bl w:val="nil"/>
            </w:tcBorders>
            <w:noWrap/>
            <w:vAlign w:val="center"/>
          </w:tcPr>
          <w:p w14:paraId="566C933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小时/15分钟</w:t>
            </w:r>
          </w:p>
        </w:tc>
      </w:tr>
      <w:tr w14:paraId="2D64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noWrap/>
            <w:vAlign w:val="center"/>
          </w:tcPr>
          <w:p w14:paraId="1DBA26C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数据作业平台</w:t>
            </w:r>
          </w:p>
        </w:tc>
        <w:tc>
          <w:tcPr>
            <w:tcW w:w="1783" w:type="pct"/>
            <w:tcBorders>
              <w:top w:val="single" w:color="auto" w:sz="6" w:space="0"/>
              <w:left w:val="single" w:color="auto" w:sz="6" w:space="0"/>
              <w:bottom w:val="single" w:color="auto" w:sz="6" w:space="0"/>
              <w:right w:val="single" w:color="auto" w:sz="6" w:space="0"/>
              <w:tl2br w:val="nil"/>
              <w:tr2bl w:val="nil"/>
            </w:tcBorders>
            <w:noWrap/>
            <w:vAlign w:val="center"/>
          </w:tcPr>
          <w:p w14:paraId="471367D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14小时/15分钟</w:t>
            </w:r>
          </w:p>
        </w:tc>
        <w:tc>
          <w:tcPr>
            <w:tcW w:w="1543" w:type="pct"/>
            <w:tcBorders>
              <w:top w:val="single" w:color="auto" w:sz="6" w:space="0"/>
              <w:left w:val="single" w:color="auto" w:sz="6" w:space="0"/>
              <w:bottom w:val="single" w:color="auto" w:sz="6" w:space="0"/>
              <w:right w:val="single" w:color="auto" w:sz="6" w:space="0"/>
              <w:tl2br w:val="nil"/>
              <w:tr2bl w:val="nil"/>
            </w:tcBorders>
            <w:noWrap/>
            <w:vAlign w:val="center"/>
          </w:tcPr>
          <w:p w14:paraId="146D3B5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小时/15分钟</w:t>
            </w:r>
          </w:p>
        </w:tc>
      </w:tr>
    </w:tbl>
    <w:p w14:paraId="398A3FA2">
      <w:pPr>
        <w:pStyle w:val="20"/>
        <w:keepNext w:val="0"/>
        <w:keepLines w:val="0"/>
        <w:widowControl/>
        <w:suppressLineNumbers w:val="0"/>
        <w:spacing w:before="0" w:beforeAutospacing="0" w:after="0" w:afterAutospacing="0"/>
        <w:ind w:left="0" w:right="0"/>
        <w:rPr>
          <w:rFonts w:hint="eastAsia" w:ascii="Times New Roman" w:hAnsi="Times New Roman" w:eastAsia="宋体" w:cs="Times New Roman"/>
          <w:b/>
          <w:bCs/>
          <w:color w:val="auto"/>
          <w:highlight w:val="none"/>
          <w:lang w:val="en-US" w:eastAsia="zh-CN"/>
        </w:rPr>
      </w:pPr>
      <w:bookmarkStart w:id="50" w:name="_Toc151973409"/>
      <w:r>
        <w:rPr>
          <w:rFonts w:hint="eastAsia" w:ascii="Times New Roman" w:hAnsi="Times New Roman" w:cs="Times New Roman"/>
          <w:b/>
          <w:bCs/>
          <w:color w:val="auto"/>
          <w:highlight w:val="none"/>
          <w:lang w:val="en-US" w:eastAsia="zh-CN"/>
        </w:rPr>
        <w:t>（3</w:t>
      </w:r>
      <w:r>
        <w:rPr>
          <w:rFonts w:hint="eastAsia" w:ascii="Times New Roman" w:hAnsi="Times New Roman" w:eastAsia="宋体" w:cs="Times New Roman"/>
          <w:b/>
          <w:bCs/>
          <w:color w:val="auto"/>
          <w:highlight w:val="none"/>
          <w:lang w:val="en-US" w:eastAsia="zh-CN"/>
        </w:rPr>
        <w:t>）易用性</w:t>
      </w:r>
      <w:bookmarkEnd w:id="50"/>
    </w:p>
    <w:p w14:paraId="526711E7">
      <w:pPr>
        <w:adjustRightInd w:val="0"/>
        <w:snapToGrid/>
        <w:rPr>
          <w:rFonts w:hint="default"/>
          <w:color w:val="auto"/>
          <w:highlight w:val="none"/>
          <w:lang w:val="en-US" w:eastAsia="zh-CN"/>
        </w:rPr>
      </w:pPr>
      <w:r>
        <w:rPr>
          <w:rFonts w:hint="default" w:ascii="Times New Roman" w:hAnsi="Times New Roman" w:cs="Times New Roman"/>
          <w:color w:val="auto"/>
          <w:highlight w:val="none"/>
          <w:lang w:val="en-US" w:eastAsia="zh-CN"/>
        </w:rPr>
        <w:t>用户</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基于WEB浏览器访问</w:t>
      </w:r>
      <w:r>
        <w:rPr>
          <w:rFonts w:hint="eastAsia" w:ascii="Times New Roman" w:hAnsi="Times New Roman" w:cs="Times New Roman"/>
          <w:color w:val="auto"/>
          <w:highlight w:val="none"/>
          <w:lang w:val="en-US" w:eastAsia="zh-CN"/>
        </w:rPr>
        <w:t>时</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产品需</w:t>
      </w:r>
      <w:r>
        <w:rPr>
          <w:rFonts w:hint="default" w:ascii="Times New Roman" w:hAnsi="Times New Roman" w:cs="Times New Roman"/>
          <w:color w:val="auto"/>
          <w:highlight w:val="none"/>
          <w:lang w:val="en-US" w:eastAsia="zh-CN"/>
        </w:rPr>
        <w:t>具有友好的用户操作和可视化管理维护能力，操作简洁、高效，菜单结构清晰、模块化、参数化程度高，可灵活设置，方便维护和管理；支持界面颜色、背景、主题等的客户化定制和灵活调整，对操作适时进行控制和提示等，适配多分辨率的终端设备</w:t>
      </w:r>
      <w:r>
        <w:rPr>
          <w:rFonts w:hint="eastAsia" w:ascii="Times New Roman" w:hAnsi="Times New Roman" w:cs="Times New Roman"/>
          <w:color w:val="auto"/>
          <w:highlight w:val="none"/>
          <w:lang w:val="en-US" w:eastAsia="zh-CN"/>
        </w:rPr>
        <w:t>。</w:t>
      </w:r>
    </w:p>
    <w:p w14:paraId="32B5A3F2">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湖仓一体底座要求</w:t>
      </w:r>
    </w:p>
    <w:p w14:paraId="29FD3461">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 xml:space="preserve"> 产品要求</w:t>
      </w:r>
    </w:p>
    <w:p w14:paraId="79D7E77D">
      <w:pP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（1）基础要求</w:t>
      </w:r>
    </w:p>
    <w:p w14:paraId="4081B316">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湖仓一体底座需</w:t>
      </w:r>
      <w:r>
        <w:rPr>
          <w:rFonts w:hint="eastAsia" w:ascii="Times New Roman" w:hAnsi="Times New Roman" w:cs="Times New Roman"/>
          <w:color w:val="auto"/>
          <w:highlight w:val="none"/>
          <w:lang w:val="en-US" w:eastAsia="zh-CN"/>
        </w:rPr>
        <w:t>以分布式大数据技术体系为主（湖仓共用一套技术体系，不再单独搭建基于MPP体系的数据仓库）</w:t>
      </w:r>
      <w:r>
        <w:rPr>
          <w:rFonts w:hint="default" w:ascii="Times New Roman" w:hAnsi="Times New Roman" w:cs="Times New Roman"/>
          <w:color w:val="auto"/>
          <w:highlight w:val="none"/>
          <w:lang w:val="en-US" w:eastAsia="zh-CN"/>
        </w:rPr>
        <w:t>，构建以湖仓一体、</w:t>
      </w:r>
      <w:r>
        <w:rPr>
          <w:rFonts w:hint="eastAsia" w:ascii="Times New Roman" w:hAnsi="Times New Roman" w:cs="Times New Roman"/>
          <w:color w:val="auto"/>
          <w:highlight w:val="none"/>
          <w:lang w:val="en-US" w:eastAsia="zh-CN"/>
        </w:rPr>
        <w:t>批流</w:t>
      </w:r>
      <w:r>
        <w:rPr>
          <w:rFonts w:hint="default" w:ascii="Times New Roman" w:hAnsi="Times New Roman" w:cs="Times New Roman"/>
          <w:color w:val="auto"/>
          <w:highlight w:val="none"/>
          <w:lang w:val="en-US" w:eastAsia="zh-CN"/>
        </w:rPr>
        <w:t>融合为核心</w:t>
      </w:r>
      <w:r>
        <w:rPr>
          <w:rFonts w:hint="eastAsia" w:ascii="Times New Roman" w:hAnsi="Times New Roman" w:cs="Times New Roman"/>
          <w:color w:val="auto"/>
          <w:highlight w:val="none"/>
          <w:lang w:val="en-US" w:eastAsia="zh-CN"/>
        </w:rPr>
        <w:t>架构，开放先进的</w:t>
      </w:r>
      <w:r>
        <w:rPr>
          <w:rFonts w:hint="default" w:ascii="Times New Roman" w:hAnsi="Times New Roman" w:cs="Times New Roman"/>
          <w:color w:val="auto"/>
          <w:highlight w:val="none"/>
          <w:lang w:val="en-US" w:eastAsia="zh-CN"/>
        </w:rPr>
        <w:t>数据平台基础服务，以满足各场景对数据处理和数据时效性的要求，提升数据的存储和计算能力；</w:t>
      </w:r>
    </w:p>
    <w:p w14:paraId="5CFA4BC7">
      <w:pPr>
        <w:rPr>
          <w:rFonts w:hint="eastAsia"/>
          <w:color w:val="auto"/>
          <w:highlight w:val="none"/>
          <w:lang w:val="en-US" w:eastAsia="zh-CN"/>
        </w:rPr>
      </w:pPr>
      <w:r>
        <w:rPr>
          <w:rFonts w:hint="eastAsia" w:ascii="Times New Roman" w:hAnsi="Times New Roman" w:cs="Times New Roman"/>
          <w:color w:val="auto"/>
          <w:highlight w:val="none"/>
          <w:lang w:val="en-US" w:eastAsia="zh-CN"/>
        </w:rPr>
        <w:t>2）湖仓一体数据底座提供的数据存储与分布式计算服务，需能支撑经营分析、风险防控、客户营销、监管报送、自助分析等多种业务应用场景。</w:t>
      </w:r>
    </w:p>
    <w:p w14:paraId="6C849628">
      <w:pP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（2）性能要求</w:t>
      </w:r>
    </w:p>
    <w:p w14:paraId="62B6DC15">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湖仓一体数据底座需要满足行内每日批量数据加工、实时数据处理需求和即席查询的性能（秒级响应）要求；满足湖仓一体、批流融合的批量和实时数据加工性能要求；对小文件合并具有良好的优化，满足亿级小文件的存储及在线合并、处理能力；需具有良好的大数据量数据处理性能，具体性能指标如表3-2所示：</w:t>
      </w:r>
    </w:p>
    <w:p w14:paraId="5C7B1502">
      <w:pPr>
        <w:pStyle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湖仓一体底座</w:t>
      </w:r>
      <w:r>
        <w:rPr>
          <w:rFonts w:hint="eastAsia" w:ascii="Times New Roman" w:hAnsi="Times New Roman" w:cs="Times New Roman"/>
          <w:color w:val="auto"/>
          <w:sz w:val="21"/>
          <w:szCs w:val="21"/>
          <w:highlight w:val="none"/>
          <w:lang w:val="en-US" w:eastAsia="zh-CN"/>
        </w:rPr>
        <w:t>性能指标</w:t>
      </w:r>
    </w:p>
    <w:tbl>
      <w:tblPr>
        <w:tblStyle w:val="22"/>
        <w:tblW w:w="4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0"/>
        <w:gridCol w:w="3308"/>
        <w:gridCol w:w="2020"/>
      </w:tblGrid>
      <w:tr w14:paraId="73FD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40B4172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大类</w:t>
            </w:r>
          </w:p>
        </w:tc>
        <w:tc>
          <w:tcPr>
            <w:tcW w:w="237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34591DF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性能指标</w:t>
            </w:r>
          </w:p>
        </w:tc>
        <w:tc>
          <w:tcPr>
            <w:tcW w:w="1449"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547DCC5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指标值</w:t>
            </w:r>
          </w:p>
        </w:tc>
      </w:tr>
      <w:tr w14:paraId="4A0F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restart"/>
            <w:tcBorders>
              <w:top w:val="single" w:color="auto" w:sz="6" w:space="0"/>
              <w:left w:val="single" w:color="auto" w:sz="6" w:space="0"/>
              <w:right w:val="single" w:color="auto" w:sz="6" w:space="0"/>
              <w:tl2br w:val="nil"/>
              <w:tr2bl w:val="nil"/>
            </w:tcBorders>
            <w:noWrap/>
            <w:vAlign w:val="center"/>
          </w:tcPr>
          <w:p w14:paraId="55C2FE9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性能指标</w:t>
            </w: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2AAD6E7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系统处理能力（TPS）</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7834FCB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&gt;=</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000笔/秒</w:t>
            </w:r>
          </w:p>
        </w:tc>
      </w:tr>
      <w:tr w14:paraId="3523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left w:val="single" w:color="auto" w:sz="6" w:space="0"/>
              <w:right w:val="single" w:color="auto" w:sz="6" w:space="0"/>
              <w:tl2br w:val="nil"/>
              <w:tr2bl w:val="nil"/>
            </w:tcBorders>
            <w:noWrap/>
            <w:vAlign w:val="center"/>
          </w:tcPr>
          <w:p w14:paraId="1FB72CF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7C03B38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系统处理能力（</w:t>
            </w:r>
            <w:r>
              <w:rPr>
                <w:rFonts w:hint="eastAsia" w:ascii="Times New Roman" w:hAnsi="Times New Roman" w:cs="Times New Roman"/>
                <w:color w:val="auto"/>
                <w:sz w:val="21"/>
                <w:szCs w:val="21"/>
                <w:highlight w:val="none"/>
                <w:lang w:val="en-US" w:eastAsia="zh-CN"/>
              </w:rPr>
              <w:t>Q</w:t>
            </w:r>
            <w:r>
              <w:rPr>
                <w:rFonts w:hint="default" w:ascii="Times New Roman" w:hAnsi="Times New Roman" w:eastAsia="宋体" w:cs="Times New Roman"/>
                <w:color w:val="auto"/>
                <w:sz w:val="21"/>
                <w:szCs w:val="21"/>
                <w:highlight w:val="none"/>
                <w:lang w:val="en-US" w:eastAsia="zh-CN"/>
              </w:rPr>
              <w:t>PS）</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3C0D1DD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&gt;=3000次/秒</w:t>
            </w:r>
          </w:p>
        </w:tc>
      </w:tr>
      <w:tr w14:paraId="5D06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left w:val="single" w:color="auto" w:sz="6" w:space="0"/>
              <w:right w:val="single" w:color="auto" w:sz="6" w:space="0"/>
              <w:tl2br w:val="nil"/>
              <w:tr2bl w:val="nil"/>
            </w:tcBorders>
            <w:noWrap/>
            <w:vAlign w:val="center"/>
          </w:tcPr>
          <w:p w14:paraId="77D0A93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762619E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批量</w:t>
            </w:r>
            <w:r>
              <w:rPr>
                <w:rFonts w:hint="eastAsia" w:ascii="Times New Roman" w:hAnsi="Times New Roman" w:cs="Times New Roman"/>
                <w:color w:val="auto"/>
                <w:sz w:val="21"/>
                <w:szCs w:val="21"/>
                <w:highlight w:val="none"/>
                <w:lang w:val="en-US" w:eastAsia="zh-CN"/>
              </w:rPr>
              <w:t>完成时间</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77CF02B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每日8:00前</w:t>
            </w:r>
          </w:p>
        </w:tc>
      </w:tr>
      <w:tr w14:paraId="570D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left w:val="single" w:color="auto" w:sz="6" w:space="0"/>
              <w:bottom w:val="single" w:color="auto" w:sz="6" w:space="0"/>
              <w:right w:val="single" w:color="auto" w:sz="6" w:space="0"/>
              <w:tl2br w:val="nil"/>
              <w:tr2bl w:val="nil"/>
            </w:tcBorders>
            <w:noWrap/>
            <w:vAlign w:val="center"/>
          </w:tcPr>
          <w:p w14:paraId="32C6BD3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38D8A3F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单个批量任务执行时间</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0D2FA38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&lt;=30分钟</w:t>
            </w:r>
          </w:p>
        </w:tc>
      </w:tr>
      <w:tr w14:paraId="192C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left w:val="single" w:color="auto" w:sz="6" w:space="0"/>
              <w:bottom w:val="single" w:color="auto" w:sz="6" w:space="0"/>
              <w:right w:val="single" w:color="auto" w:sz="6" w:space="0"/>
              <w:tl2br w:val="nil"/>
              <w:tr2bl w:val="nil"/>
            </w:tcBorders>
            <w:noWrap/>
            <w:vAlign w:val="center"/>
          </w:tcPr>
          <w:p w14:paraId="2FB1F76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143DFC5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交易成功率</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4A15FD9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&gt;=99.9%</w:t>
            </w:r>
          </w:p>
        </w:tc>
      </w:tr>
      <w:tr w14:paraId="15DC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2E7ED7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稳定性</w:t>
            </w:r>
            <w:r>
              <w:rPr>
                <w:rFonts w:hint="eastAsia" w:ascii="Times New Roman" w:hAnsi="Times New Roman" w:cs="Times New Roman"/>
                <w:color w:val="auto"/>
                <w:sz w:val="21"/>
                <w:szCs w:val="21"/>
                <w:highlight w:val="none"/>
                <w:lang w:val="en-US" w:eastAsia="zh-CN"/>
              </w:rPr>
              <w:t>指标</w:t>
            </w: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401B49E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稳定运行时间</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5EA7734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24小时</w:t>
            </w:r>
          </w:p>
        </w:tc>
      </w:tr>
      <w:tr w14:paraId="6068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5BB296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2235D55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成功率</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7D00822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&gt;=99.9%</w:t>
            </w:r>
          </w:p>
        </w:tc>
      </w:tr>
      <w:tr w14:paraId="2182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E8538C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系统资源</w:t>
            </w:r>
            <w:r>
              <w:rPr>
                <w:rFonts w:hint="eastAsia" w:ascii="Times New Roman" w:hAnsi="Times New Roman" w:cs="Times New Roman"/>
                <w:color w:val="auto"/>
                <w:sz w:val="21"/>
                <w:szCs w:val="21"/>
                <w:highlight w:val="none"/>
                <w:lang w:val="en-US" w:eastAsia="zh-CN"/>
              </w:rPr>
              <w:t>指标</w:t>
            </w: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1AAE67A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峰值</w:t>
            </w:r>
            <w:r>
              <w:rPr>
                <w:rFonts w:hint="default" w:ascii="Times New Roman" w:hAnsi="Times New Roman" w:eastAsia="宋体" w:cs="Times New Roman"/>
                <w:color w:val="auto"/>
                <w:sz w:val="21"/>
                <w:szCs w:val="21"/>
                <w:highlight w:val="none"/>
                <w:lang w:val="en-US" w:eastAsia="zh-CN"/>
              </w:rPr>
              <w:t>CPU使用率</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0E7687E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&lt;=7</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w:t>
            </w:r>
          </w:p>
        </w:tc>
      </w:tr>
      <w:tr w14:paraId="0873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AC6DEC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11315AB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峰值</w:t>
            </w:r>
            <w:r>
              <w:rPr>
                <w:rFonts w:hint="default" w:ascii="Times New Roman" w:hAnsi="Times New Roman" w:eastAsia="宋体" w:cs="Times New Roman"/>
                <w:color w:val="auto"/>
                <w:sz w:val="21"/>
                <w:szCs w:val="21"/>
                <w:highlight w:val="none"/>
                <w:lang w:val="en-US" w:eastAsia="zh-CN"/>
              </w:rPr>
              <w:t>磁盘繁忙率</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69913D0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&lt;=7</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w:t>
            </w:r>
          </w:p>
        </w:tc>
      </w:tr>
      <w:tr w14:paraId="177B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B0066D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p>
        </w:tc>
        <w:tc>
          <w:tcPr>
            <w:tcW w:w="2373" w:type="pct"/>
            <w:tcBorders>
              <w:top w:val="single" w:color="auto" w:sz="6" w:space="0"/>
              <w:left w:val="single" w:color="auto" w:sz="6" w:space="0"/>
              <w:bottom w:val="single" w:color="auto" w:sz="6" w:space="0"/>
              <w:right w:val="single" w:color="auto" w:sz="6" w:space="0"/>
              <w:tl2br w:val="nil"/>
              <w:tr2bl w:val="nil"/>
            </w:tcBorders>
            <w:noWrap/>
            <w:vAlign w:val="center"/>
          </w:tcPr>
          <w:p w14:paraId="45B9C61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峰值</w:t>
            </w:r>
            <w:r>
              <w:rPr>
                <w:rFonts w:hint="default" w:ascii="Times New Roman" w:hAnsi="Times New Roman" w:eastAsia="宋体" w:cs="Times New Roman"/>
                <w:color w:val="auto"/>
                <w:sz w:val="21"/>
                <w:szCs w:val="21"/>
                <w:highlight w:val="none"/>
                <w:lang w:val="en-US" w:eastAsia="zh-CN"/>
              </w:rPr>
              <w:t>内存使用率</w:t>
            </w:r>
          </w:p>
        </w:tc>
        <w:tc>
          <w:tcPr>
            <w:tcW w:w="1449" w:type="pct"/>
            <w:tcBorders>
              <w:top w:val="single" w:color="auto" w:sz="6" w:space="0"/>
              <w:left w:val="single" w:color="auto" w:sz="6" w:space="0"/>
              <w:bottom w:val="single" w:color="auto" w:sz="6" w:space="0"/>
              <w:right w:val="single" w:color="auto" w:sz="6" w:space="0"/>
              <w:tl2br w:val="nil"/>
              <w:tr2bl w:val="nil"/>
            </w:tcBorders>
            <w:noWrap/>
            <w:vAlign w:val="center"/>
          </w:tcPr>
          <w:p w14:paraId="790BBA6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&lt;=7</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w:t>
            </w:r>
          </w:p>
        </w:tc>
      </w:tr>
    </w:tbl>
    <w:p w14:paraId="1C157F44">
      <w:pP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（3）节点要求</w:t>
      </w:r>
    </w:p>
    <w:p w14:paraId="4CFA7990">
      <w:pPr>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在保证系统的稳定性、安全性、可靠性、易扩展、易升级、易操作、易维护等特性</w:t>
      </w:r>
      <w:r>
        <w:rPr>
          <w:rFonts w:hint="eastAsia" w:ascii="Times New Roman" w:hAnsi="Times New Roman" w:cs="Times New Roman"/>
          <w:color w:val="auto"/>
          <w:highlight w:val="none"/>
          <w:lang w:val="en-US" w:eastAsia="zh-CN"/>
        </w:rPr>
        <w:t>前提下</w:t>
      </w:r>
      <w:r>
        <w:rPr>
          <w:rFonts w:hint="default" w:ascii="Times New Roman" w:hAnsi="Times New Roman" w:cs="Times New Roman"/>
          <w:color w:val="auto"/>
          <w:highlight w:val="none"/>
          <w:lang w:val="en-US" w:eastAsia="zh-CN"/>
        </w:rPr>
        <w:t>，满足相应的高性能、开放性、兼容性等要求，规划包括开发环境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DEV</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 xml:space="preserve">、集成测试环境 </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SIT</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、用户验收测试环境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UA</w:t>
      </w:r>
      <w:r>
        <w:rPr>
          <w:rFonts w:hint="eastAsia" w:ascii="Times New Roman" w:hAnsi="Times New Roman" w:cs="Times New Roman"/>
          <w:color w:val="auto"/>
          <w:highlight w:val="none"/>
          <w:lang w:val="en-US" w:eastAsia="zh-CN"/>
        </w:rPr>
        <w:t>T）</w:t>
      </w:r>
      <w:r>
        <w:rPr>
          <w:rFonts w:hint="default" w:ascii="Times New Roman" w:hAnsi="Times New Roman" w:cs="Times New Roman"/>
          <w:color w:val="auto"/>
          <w:highlight w:val="none"/>
          <w:lang w:val="en-US" w:eastAsia="zh-CN"/>
        </w:rPr>
        <w:t>、生产环境（PRD）、灾备环境（DR）共计5套运行环境。各环境的具体授权节点数量最低要求如表3-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所示</w:t>
      </w:r>
      <w:r>
        <w:rPr>
          <w:rFonts w:hint="eastAsia" w:ascii="Times New Roman" w:hAnsi="Times New Roman" w:cs="Times New Roman"/>
          <w:color w:val="auto"/>
          <w:highlight w:val="none"/>
          <w:lang w:val="en-US" w:eastAsia="zh-CN"/>
        </w:rPr>
        <w:t>：</w:t>
      </w:r>
    </w:p>
    <w:p w14:paraId="707EC716">
      <w:pPr>
        <w:pStyle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湖仓一体底座</w:t>
      </w:r>
      <w:r>
        <w:rPr>
          <w:rFonts w:hint="eastAsia" w:ascii="Times New Roman" w:hAnsi="Times New Roman" w:cs="Times New Roman"/>
          <w:color w:val="auto"/>
          <w:sz w:val="21"/>
          <w:szCs w:val="21"/>
          <w:highlight w:val="none"/>
          <w:lang w:val="en-US" w:eastAsia="zh-CN"/>
        </w:rPr>
        <w:t>节点授权数量明细表</w:t>
      </w:r>
    </w:p>
    <w:tbl>
      <w:tblPr>
        <w:tblStyle w:val="22"/>
        <w:tblW w:w="51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2"/>
        <w:gridCol w:w="2636"/>
        <w:gridCol w:w="1279"/>
        <w:gridCol w:w="2075"/>
        <w:gridCol w:w="1756"/>
      </w:tblGrid>
      <w:tr w14:paraId="42EB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05B9C2D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运行网段</w:t>
            </w:r>
          </w:p>
        </w:tc>
        <w:tc>
          <w:tcPr>
            <w:tcW w:w="1494"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01AFCBC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运行环境</w:t>
            </w:r>
          </w:p>
        </w:tc>
        <w:tc>
          <w:tcPr>
            <w:tcW w:w="725"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370A70A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节点类型</w:t>
            </w:r>
          </w:p>
        </w:tc>
        <w:tc>
          <w:tcPr>
            <w:tcW w:w="1176"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2C1688D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最低授权节点数量</w:t>
            </w:r>
          </w:p>
        </w:tc>
        <w:tc>
          <w:tcPr>
            <w:tcW w:w="995"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568E364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备注</w:t>
            </w:r>
          </w:p>
        </w:tc>
      </w:tr>
      <w:tr w14:paraId="5EF5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vMerge w:val="restart"/>
            <w:tcBorders>
              <w:top w:val="single" w:color="auto" w:sz="6" w:space="0"/>
              <w:left w:val="single" w:color="auto" w:sz="6" w:space="0"/>
              <w:right w:val="single" w:color="auto" w:sz="6" w:space="0"/>
              <w:tl2br w:val="nil"/>
              <w:tr2bl w:val="nil"/>
            </w:tcBorders>
            <w:noWrap/>
            <w:vAlign w:val="center"/>
          </w:tcPr>
          <w:p w14:paraId="1EC027A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测试网段</w:t>
            </w:r>
          </w:p>
        </w:tc>
        <w:tc>
          <w:tcPr>
            <w:tcW w:w="1494" w:type="pct"/>
            <w:tcBorders>
              <w:top w:val="single" w:color="auto" w:sz="6" w:space="0"/>
              <w:left w:val="single" w:color="auto" w:sz="6" w:space="0"/>
              <w:bottom w:val="single" w:color="auto" w:sz="6" w:space="0"/>
              <w:right w:val="single" w:color="auto" w:sz="6" w:space="0"/>
              <w:tl2br w:val="nil"/>
              <w:tr2bl w:val="nil"/>
            </w:tcBorders>
            <w:noWrap/>
            <w:vAlign w:val="center"/>
          </w:tcPr>
          <w:p w14:paraId="7AA1E9D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开发环境（DEV）</w:t>
            </w:r>
          </w:p>
        </w:tc>
        <w:tc>
          <w:tcPr>
            <w:tcW w:w="725" w:type="pct"/>
            <w:vMerge w:val="restart"/>
            <w:tcBorders>
              <w:top w:val="single" w:color="auto" w:sz="6" w:space="0"/>
              <w:left w:val="single" w:color="auto" w:sz="6" w:space="0"/>
              <w:right w:val="single" w:color="auto" w:sz="6" w:space="0"/>
              <w:tl2br w:val="nil"/>
              <w:tr2bl w:val="nil"/>
            </w:tcBorders>
            <w:noWrap/>
            <w:vAlign w:val="center"/>
          </w:tcPr>
          <w:p w14:paraId="1712E59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管理+数据节点</w:t>
            </w: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375C70F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6个</w:t>
            </w:r>
          </w:p>
        </w:tc>
        <w:tc>
          <w:tcPr>
            <w:tcW w:w="995" w:type="pct"/>
            <w:vMerge w:val="restart"/>
            <w:tcBorders>
              <w:top w:val="single" w:color="auto" w:sz="6" w:space="0"/>
              <w:left w:val="single" w:color="auto" w:sz="6" w:space="0"/>
              <w:right w:val="single" w:color="auto" w:sz="6" w:space="0"/>
              <w:tl2br w:val="nil"/>
              <w:tr2bl w:val="nil"/>
            </w:tcBorders>
            <w:noWrap/>
            <w:vAlign w:val="center"/>
          </w:tcPr>
          <w:p w14:paraId="50E646C6">
            <w:pPr>
              <w:keepNext w:val="0"/>
              <w:keepLines w:val="0"/>
              <w:pageBreakBefore w:val="0"/>
              <w:widowControl w:val="0"/>
              <w:tabs>
                <w:tab w:val="left" w:pos="221"/>
              </w:tabs>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CPU总核数不低于【1152VCpu】</w:t>
            </w:r>
          </w:p>
        </w:tc>
      </w:tr>
      <w:tr w14:paraId="03AF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607" w:type="pct"/>
            <w:vMerge w:val="continue"/>
            <w:tcBorders>
              <w:left w:val="single" w:color="auto" w:sz="6" w:space="0"/>
              <w:bottom w:val="single" w:color="auto" w:sz="6" w:space="0"/>
              <w:right w:val="single" w:color="auto" w:sz="6" w:space="0"/>
              <w:tl2br w:val="nil"/>
              <w:tr2bl w:val="nil"/>
            </w:tcBorders>
            <w:noWrap/>
            <w:vAlign w:val="center"/>
          </w:tcPr>
          <w:p w14:paraId="758CA3A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4" w:type="pct"/>
            <w:tcBorders>
              <w:top w:val="single" w:color="auto" w:sz="6" w:space="0"/>
              <w:left w:val="single" w:color="auto" w:sz="6" w:space="0"/>
              <w:bottom w:val="single" w:color="auto" w:sz="6" w:space="0"/>
              <w:right w:val="single" w:color="auto" w:sz="6" w:space="0"/>
              <w:tl2br w:val="nil"/>
              <w:tr2bl w:val="nil"/>
            </w:tcBorders>
            <w:noWrap/>
            <w:vAlign w:val="center"/>
          </w:tcPr>
          <w:p w14:paraId="570FFA9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集成测试环境 （SIT）</w:t>
            </w:r>
          </w:p>
        </w:tc>
        <w:tc>
          <w:tcPr>
            <w:tcW w:w="725" w:type="pct"/>
            <w:vMerge w:val="continue"/>
            <w:tcBorders>
              <w:left w:val="single" w:color="auto" w:sz="6" w:space="0"/>
              <w:bottom w:val="single" w:color="auto" w:sz="6" w:space="0"/>
              <w:right w:val="single" w:color="auto" w:sz="6" w:space="0"/>
              <w:tl2br w:val="nil"/>
              <w:tr2bl w:val="nil"/>
            </w:tcBorders>
            <w:noWrap/>
            <w:vAlign w:val="center"/>
          </w:tcPr>
          <w:p w14:paraId="2349198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0671E4B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6个</w:t>
            </w:r>
          </w:p>
        </w:tc>
        <w:tc>
          <w:tcPr>
            <w:tcW w:w="995" w:type="pct"/>
            <w:vMerge w:val="continue"/>
            <w:tcBorders>
              <w:left w:val="single" w:color="auto" w:sz="6" w:space="0"/>
              <w:bottom w:val="single" w:color="auto" w:sz="6" w:space="0"/>
              <w:right w:val="single" w:color="auto" w:sz="6" w:space="0"/>
              <w:tl2br w:val="nil"/>
              <w:tr2bl w:val="nil"/>
            </w:tcBorders>
            <w:noWrap/>
            <w:vAlign w:val="center"/>
          </w:tcPr>
          <w:p w14:paraId="33BBF42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6355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A7641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4" w:type="pct"/>
            <w:tcBorders>
              <w:top w:val="single" w:color="auto" w:sz="6" w:space="0"/>
              <w:left w:val="single" w:color="auto" w:sz="6" w:space="0"/>
              <w:bottom w:val="single" w:color="auto" w:sz="6" w:space="0"/>
              <w:right w:val="single" w:color="auto" w:sz="6" w:space="0"/>
              <w:tl2br w:val="nil"/>
              <w:tr2bl w:val="nil"/>
            </w:tcBorders>
            <w:noWrap/>
            <w:vAlign w:val="center"/>
          </w:tcPr>
          <w:p w14:paraId="6DAAC1C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用户验收测试环境（UAT）</w:t>
            </w:r>
          </w:p>
        </w:tc>
        <w:tc>
          <w:tcPr>
            <w:tcW w:w="725"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3D37FA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146185C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6个</w:t>
            </w:r>
          </w:p>
        </w:tc>
        <w:tc>
          <w:tcPr>
            <w:tcW w:w="995"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90805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69A9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vMerge w:val="restart"/>
            <w:tcBorders>
              <w:top w:val="single" w:color="auto" w:sz="6" w:space="0"/>
              <w:left w:val="single" w:color="auto" w:sz="6" w:space="0"/>
              <w:right w:val="single" w:color="auto" w:sz="6" w:space="0"/>
              <w:tl2br w:val="nil"/>
              <w:tr2bl w:val="nil"/>
            </w:tcBorders>
            <w:noWrap/>
            <w:vAlign w:val="center"/>
          </w:tcPr>
          <w:p w14:paraId="2242CAB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生产网段</w:t>
            </w:r>
          </w:p>
        </w:tc>
        <w:tc>
          <w:tcPr>
            <w:tcW w:w="1494" w:type="pct"/>
            <w:vMerge w:val="restart"/>
            <w:tcBorders>
              <w:top w:val="single" w:color="auto" w:sz="6" w:space="0"/>
              <w:left w:val="single" w:color="auto" w:sz="6" w:space="0"/>
              <w:bottom w:val="single" w:color="auto" w:sz="4" w:space="0"/>
              <w:right w:val="single" w:color="auto" w:sz="6" w:space="0"/>
              <w:tl2br w:val="nil"/>
              <w:tr2bl w:val="nil"/>
            </w:tcBorders>
            <w:noWrap/>
            <w:vAlign w:val="center"/>
          </w:tcPr>
          <w:p w14:paraId="2A74312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生产环境</w:t>
            </w:r>
            <w:r>
              <w:rPr>
                <w:rFonts w:hint="eastAsia" w:ascii="Times New Roman" w:hAnsi="Times New Roman" w:eastAsia="宋体" w:cs="Times New Roman"/>
                <w:color w:val="auto"/>
                <w:sz w:val="21"/>
                <w:szCs w:val="21"/>
                <w:highlight w:val="none"/>
                <w:lang w:val="en-US" w:eastAsia="zh-CN"/>
              </w:rPr>
              <w:t>（PRD）</w:t>
            </w:r>
          </w:p>
        </w:tc>
        <w:tc>
          <w:tcPr>
            <w:tcW w:w="725" w:type="pct"/>
            <w:tcBorders>
              <w:top w:val="single" w:color="auto" w:sz="6" w:space="0"/>
              <w:left w:val="single" w:color="auto" w:sz="6" w:space="0"/>
              <w:bottom w:val="single" w:color="auto" w:sz="6" w:space="0"/>
              <w:right w:val="single" w:color="auto" w:sz="6" w:space="0"/>
              <w:tl2br w:val="nil"/>
              <w:tr2bl w:val="nil"/>
            </w:tcBorders>
            <w:noWrap/>
            <w:vAlign w:val="center"/>
          </w:tcPr>
          <w:p w14:paraId="0312043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管理节点</w:t>
            </w: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741A3F5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个</w:t>
            </w:r>
          </w:p>
        </w:tc>
        <w:tc>
          <w:tcPr>
            <w:tcW w:w="995" w:type="pct"/>
            <w:vMerge w:val="restart"/>
            <w:tcBorders>
              <w:top w:val="single" w:color="auto" w:sz="6" w:space="0"/>
              <w:left w:val="single" w:color="auto" w:sz="6" w:space="0"/>
              <w:right w:val="single" w:color="auto" w:sz="6" w:space="0"/>
              <w:tl2br w:val="nil"/>
              <w:tr2bl w:val="nil"/>
            </w:tcBorders>
            <w:noWrap/>
            <w:vAlign w:val="center"/>
          </w:tcPr>
          <w:p w14:paraId="5ACB245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CPU总核数不低于【3456VCpu】</w:t>
            </w:r>
          </w:p>
        </w:tc>
      </w:tr>
      <w:tr w14:paraId="6F74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vMerge w:val="continue"/>
            <w:tcBorders>
              <w:left w:val="single" w:color="auto" w:sz="6" w:space="0"/>
              <w:bottom w:val="single" w:color="auto" w:sz="6" w:space="0"/>
              <w:right w:val="single" w:color="auto" w:sz="6" w:space="0"/>
              <w:tl2br w:val="nil"/>
              <w:tr2bl w:val="nil"/>
            </w:tcBorders>
            <w:noWrap/>
            <w:vAlign w:val="center"/>
          </w:tcPr>
          <w:p w14:paraId="6A64353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4" w:type="pct"/>
            <w:vMerge w:val="continue"/>
            <w:tcBorders>
              <w:top w:val="single" w:color="auto" w:sz="4" w:space="0"/>
              <w:left w:val="single" w:color="auto" w:sz="6" w:space="0"/>
              <w:bottom w:val="single" w:color="auto" w:sz="6" w:space="0"/>
              <w:right w:val="single" w:color="auto" w:sz="6" w:space="0"/>
              <w:tl2br w:val="nil"/>
              <w:tr2bl w:val="nil"/>
            </w:tcBorders>
            <w:noWrap/>
            <w:vAlign w:val="center"/>
          </w:tcPr>
          <w:p w14:paraId="1660552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725" w:type="pct"/>
            <w:tcBorders>
              <w:top w:val="single" w:color="auto" w:sz="6" w:space="0"/>
              <w:left w:val="single" w:color="auto" w:sz="6" w:space="0"/>
              <w:bottom w:val="single" w:color="auto" w:sz="6" w:space="0"/>
              <w:right w:val="single" w:color="auto" w:sz="6" w:space="0"/>
              <w:tl2br w:val="nil"/>
              <w:tr2bl w:val="nil"/>
            </w:tcBorders>
            <w:noWrap/>
            <w:vAlign w:val="center"/>
          </w:tcPr>
          <w:p w14:paraId="27F0537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数据节点</w:t>
            </w: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5D2993E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32个</w:t>
            </w:r>
          </w:p>
        </w:tc>
        <w:tc>
          <w:tcPr>
            <w:tcW w:w="995" w:type="pct"/>
            <w:vMerge w:val="continue"/>
            <w:tcBorders>
              <w:left w:val="single" w:color="auto" w:sz="6" w:space="0"/>
              <w:bottom w:val="single" w:color="auto" w:sz="6" w:space="0"/>
              <w:right w:val="single" w:color="auto" w:sz="6" w:space="0"/>
              <w:tl2br w:val="nil"/>
              <w:tr2bl w:val="nil"/>
            </w:tcBorders>
            <w:noWrap/>
            <w:vAlign w:val="center"/>
          </w:tcPr>
          <w:p w14:paraId="0E62BEB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eastAsia" w:ascii="Times New Roman" w:hAnsi="Times New Roman" w:cs="Times New Roman"/>
                <w:color w:val="auto"/>
                <w:sz w:val="21"/>
                <w:szCs w:val="21"/>
                <w:highlight w:val="none"/>
                <w:lang w:val="en-US" w:eastAsia="zh-CN"/>
              </w:rPr>
            </w:pPr>
          </w:p>
        </w:tc>
      </w:tr>
      <w:tr w14:paraId="27CD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DB5749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494" w:type="pct"/>
            <w:tcBorders>
              <w:top w:val="single" w:color="auto" w:sz="6" w:space="0"/>
              <w:left w:val="single" w:color="auto" w:sz="6" w:space="0"/>
              <w:bottom w:val="single" w:color="auto" w:sz="6" w:space="0"/>
              <w:right w:val="single" w:color="auto" w:sz="6" w:space="0"/>
              <w:tl2br w:val="nil"/>
              <w:tr2bl w:val="nil"/>
            </w:tcBorders>
            <w:noWrap/>
            <w:vAlign w:val="center"/>
          </w:tcPr>
          <w:p w14:paraId="3B97217D">
            <w:pPr>
              <w:keepNext w:val="0"/>
              <w:keepLines w:val="0"/>
              <w:pageBreakBefore w:val="0"/>
              <w:widowControl w:val="0"/>
              <w:kinsoku/>
              <w:wordWrap/>
              <w:overflowPunct/>
              <w:topLinePunct w:val="0"/>
              <w:autoSpaceDE w:val="0"/>
              <w:autoSpaceDN w:val="0"/>
              <w:adjustRightInd/>
              <w:snapToGrid/>
              <w:spacing w:line="40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lang w:val="en-US" w:eastAsia="zh-CN"/>
              </w:rPr>
              <w:t>灾备环境（DR）</w:t>
            </w:r>
          </w:p>
        </w:tc>
        <w:tc>
          <w:tcPr>
            <w:tcW w:w="725" w:type="pct"/>
            <w:tcBorders>
              <w:top w:val="single" w:color="auto" w:sz="6" w:space="0"/>
              <w:left w:val="single" w:color="auto" w:sz="6" w:space="0"/>
              <w:bottom w:val="single" w:color="auto" w:sz="6" w:space="0"/>
              <w:right w:val="single" w:color="auto" w:sz="6" w:space="0"/>
              <w:tl2br w:val="nil"/>
              <w:tr2bl w:val="nil"/>
            </w:tcBorders>
            <w:noWrap/>
            <w:vAlign w:val="center"/>
          </w:tcPr>
          <w:p w14:paraId="7C628FA2">
            <w:pPr>
              <w:keepNext w:val="0"/>
              <w:keepLines w:val="0"/>
              <w:pageBreakBefore w:val="0"/>
              <w:widowControl w:val="0"/>
              <w:kinsoku/>
              <w:wordWrap/>
              <w:overflowPunct/>
              <w:topLinePunct w:val="0"/>
              <w:autoSpaceDE w:val="0"/>
              <w:autoSpaceDN w:val="0"/>
              <w:adjustRightInd/>
              <w:snapToGrid/>
              <w:spacing w:line="400" w:lineRule="exact"/>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 w:val="21"/>
                <w:szCs w:val="21"/>
                <w:highlight w:val="none"/>
                <w:lang w:val="en-US" w:eastAsia="zh-CN"/>
              </w:rPr>
              <w:t>管理+数据节点</w:t>
            </w:r>
          </w:p>
        </w:tc>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56C1A4BE">
            <w:pPr>
              <w:keepNext w:val="0"/>
              <w:keepLines w:val="0"/>
              <w:pageBreakBefore w:val="0"/>
              <w:widowControl w:val="0"/>
              <w:kinsoku/>
              <w:wordWrap/>
              <w:overflowPunct/>
              <w:topLinePunct w:val="0"/>
              <w:autoSpaceDE w:val="0"/>
              <w:autoSpaceDN w:val="0"/>
              <w:adjustRightInd/>
              <w:snapToGrid/>
              <w:spacing w:line="400" w:lineRule="exact"/>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 w:val="21"/>
                <w:szCs w:val="21"/>
                <w:highlight w:val="none"/>
                <w:lang w:val="en-US" w:eastAsia="zh-CN"/>
              </w:rPr>
              <w:t>15个</w:t>
            </w:r>
          </w:p>
        </w:tc>
        <w:tc>
          <w:tcPr>
            <w:tcW w:w="995" w:type="pct"/>
            <w:tcBorders>
              <w:top w:val="single" w:color="auto" w:sz="6" w:space="0"/>
              <w:left w:val="single" w:color="auto" w:sz="6" w:space="0"/>
              <w:bottom w:val="single" w:color="auto" w:sz="6" w:space="0"/>
              <w:right w:val="single" w:color="auto" w:sz="6" w:space="0"/>
              <w:tl2br w:val="nil"/>
              <w:tr2bl w:val="nil"/>
            </w:tcBorders>
            <w:noWrap/>
            <w:vAlign w:val="center"/>
          </w:tcPr>
          <w:p w14:paraId="29FC45B7">
            <w:pPr>
              <w:keepNext w:val="0"/>
              <w:keepLines w:val="0"/>
              <w:pageBreakBefore w:val="0"/>
              <w:widowControl w:val="0"/>
              <w:kinsoku/>
              <w:wordWrap/>
              <w:overflowPunct/>
              <w:topLinePunct w:val="0"/>
              <w:autoSpaceDE w:val="0"/>
              <w:autoSpaceDN w:val="0"/>
              <w:adjustRightInd/>
              <w:snapToGrid/>
              <w:spacing w:line="400" w:lineRule="exact"/>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拟采用差异化容灾方案，对实时计算、数据服务等场景做容灾，CPU总核数不低于【960VCpu】</w:t>
            </w:r>
          </w:p>
        </w:tc>
      </w:tr>
      <w:tr w14:paraId="0F7B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5"/>
            <w:tcBorders>
              <w:top w:val="single" w:color="auto" w:sz="6" w:space="0"/>
              <w:left w:val="single" w:color="auto" w:sz="6" w:space="0"/>
              <w:bottom w:val="single" w:color="auto" w:sz="6" w:space="0"/>
              <w:right w:val="single" w:color="auto" w:sz="6" w:space="0"/>
              <w:tl2br w:val="nil"/>
              <w:tr2bl w:val="nil"/>
            </w:tcBorders>
            <w:noWrap/>
            <w:vAlign w:val="center"/>
          </w:tcPr>
          <w:p w14:paraId="4930B3D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eastAsia" w:ascii="Times New Roman" w:hAnsi="Times New Roman" w:cs="Times New Roman"/>
                <w:b/>
                <w:bCs/>
                <w:color w:val="auto"/>
                <w:sz w:val="18"/>
                <w:szCs w:val="18"/>
                <w:highlight w:val="none"/>
                <w:lang w:val="en-US" w:eastAsia="zh-CN"/>
              </w:rPr>
            </w:pPr>
            <w:r>
              <w:rPr>
                <w:rFonts w:hint="eastAsia" w:ascii="Times New Roman" w:hAnsi="Times New Roman" w:cs="Times New Roman"/>
                <w:b/>
                <w:bCs/>
                <w:color w:val="auto"/>
                <w:sz w:val="18"/>
                <w:szCs w:val="18"/>
                <w:highlight w:val="none"/>
                <w:lang w:val="en-US" w:eastAsia="zh-CN"/>
              </w:rPr>
              <w:t>注：</w:t>
            </w:r>
            <w:r>
              <w:rPr>
                <w:rFonts w:hint="eastAsia" w:ascii="Times New Roman" w:hAnsi="Times New Roman" w:cs="Times New Roman"/>
                <w:color w:val="auto"/>
                <w:sz w:val="18"/>
                <w:szCs w:val="18"/>
                <w:highlight w:val="none"/>
                <w:lang w:val="en-US" w:eastAsia="zh-CN"/>
              </w:rPr>
              <w:t>此表为比选人对授权节点数量和计算资源配置最低要求，项目建设需根据实际情况增加授权数量。</w:t>
            </w:r>
          </w:p>
        </w:tc>
      </w:tr>
    </w:tbl>
    <w:p w14:paraId="5BEF7CAB">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eastAsia"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功能要求</w:t>
      </w:r>
    </w:p>
    <w:p w14:paraId="60C0748F">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为确保</w:t>
      </w:r>
      <w:r>
        <w:rPr>
          <w:rFonts w:hint="eastAsia" w:ascii="Times New Roman" w:hAnsi="Times New Roman" w:cs="Times New Roman"/>
          <w:color w:val="auto"/>
          <w:highlight w:val="none"/>
          <w:lang w:val="en-US" w:eastAsia="zh-CN"/>
        </w:rPr>
        <w:t>本</w:t>
      </w:r>
      <w:r>
        <w:rPr>
          <w:rFonts w:hint="default" w:ascii="Times New Roman" w:hAnsi="Times New Roman" w:cs="Times New Roman"/>
          <w:color w:val="auto"/>
          <w:highlight w:val="none"/>
          <w:lang w:val="en-US" w:eastAsia="zh-CN"/>
        </w:rPr>
        <w:t>项目的顺利推进与高效实施，湖仓一体底座</w:t>
      </w:r>
      <w:r>
        <w:rPr>
          <w:rFonts w:hint="eastAsia" w:ascii="Times New Roman" w:hAnsi="Times New Roman" w:cs="Times New Roman"/>
          <w:color w:val="auto"/>
          <w:highlight w:val="none"/>
          <w:lang w:val="en-US" w:eastAsia="zh-CN"/>
        </w:rPr>
        <w:t>产品应满足比选人的功能需求，具体功能需求包括但不限于</w:t>
      </w:r>
      <w:r>
        <w:rPr>
          <w:rFonts w:hint="default" w:ascii="Times New Roman" w:hAnsi="Times New Roman" w:cs="Times New Roman"/>
          <w:color w:val="auto"/>
          <w:highlight w:val="none"/>
        </w:rPr>
        <w:t>：</w:t>
      </w:r>
    </w:p>
    <w:p w14:paraId="7C3A88A2">
      <w:pPr>
        <w:rPr>
          <w:rFonts w:hint="default" w:ascii="Times New Roman" w:hAnsi="Times New Roman" w:cs="Times New Roman"/>
          <w:color w:val="auto"/>
          <w:highlight w:val="none"/>
        </w:rPr>
      </w:pPr>
    </w:p>
    <w:p w14:paraId="30AE05A9">
      <w:pPr>
        <w:pStyle w:val="9"/>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湖仓一体底座</w:t>
      </w:r>
      <w:r>
        <w:rPr>
          <w:rFonts w:hint="default" w:ascii="Times New Roman" w:hAnsi="Times New Roman" w:cs="Times New Roman"/>
          <w:color w:val="auto"/>
          <w:sz w:val="21"/>
          <w:szCs w:val="21"/>
          <w:highlight w:val="none"/>
          <w:lang w:val="en-US" w:eastAsia="zh-CN"/>
        </w:rPr>
        <w:t>服务及功能</w:t>
      </w:r>
      <w:r>
        <w:rPr>
          <w:rFonts w:hint="default" w:ascii="Times New Roman" w:hAnsi="Times New Roman" w:cs="Times New Roman"/>
          <w:color w:val="auto"/>
          <w:sz w:val="21"/>
          <w:szCs w:val="21"/>
          <w:highlight w:val="none"/>
        </w:rPr>
        <w:t>需求</w:t>
      </w:r>
    </w:p>
    <w:tbl>
      <w:tblPr>
        <w:tblStyle w:val="22"/>
        <w:tblW w:w="9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322"/>
        <w:gridCol w:w="1347"/>
        <w:gridCol w:w="5909"/>
      </w:tblGrid>
      <w:tr w14:paraId="5A05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03417402">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00" w:lineRule="exact"/>
              <w:ind w:leftChars="0"/>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序号</w:t>
            </w:r>
          </w:p>
        </w:tc>
        <w:tc>
          <w:tcPr>
            <w:tcW w:w="1322"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267D637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i w:val="0"/>
                <w:color w:val="auto"/>
                <w:sz w:val="21"/>
                <w:szCs w:val="21"/>
                <w:highlight w:val="none"/>
              </w:rPr>
              <w:t>一级需求项</w:t>
            </w:r>
          </w:p>
        </w:tc>
        <w:tc>
          <w:tcPr>
            <w:tcW w:w="1347"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173CF16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i w:val="0"/>
                <w:color w:val="auto"/>
                <w:sz w:val="21"/>
                <w:szCs w:val="21"/>
                <w:highlight w:val="none"/>
              </w:rPr>
              <w:t>二级需求项</w:t>
            </w:r>
          </w:p>
        </w:tc>
        <w:tc>
          <w:tcPr>
            <w:tcW w:w="5909"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606C20C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i w:val="0"/>
                <w:color w:val="auto"/>
                <w:sz w:val="21"/>
                <w:szCs w:val="21"/>
                <w:highlight w:val="none"/>
              </w:rPr>
              <w:t>具体要求</w:t>
            </w:r>
          </w:p>
        </w:tc>
      </w:tr>
      <w:tr w14:paraId="0458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5C00CDB5">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90D14F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基础服务</w:t>
            </w: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C865BC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分布式存储服务</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26BA042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提供完善、稳定、高可用的分布式文件系统服务。支持横向的扩缩容和多样化的数据类型存储，如结构化、半结构化、非结构化数据存储；无单点故障，提供成熟的高可用方案；支持多种存储介质的异构分布式存储架构，从而有效利用内存、SSD等存储介质的性能优势以及传统磁盘的容量成本优势。</w:t>
            </w:r>
          </w:p>
        </w:tc>
      </w:tr>
      <w:tr w14:paraId="1F15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460C5A6A">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AD2982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9B525C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77CF7AE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支持分级存储，即支持集群中同一节点上配备不同类型的磁盘，如SSD、SAS、SATA等，支持指定文件存放在指定类型磁盘上存储，提供多种标准访问方式，包括但不限于HTTP、HTTPS和原生API等。</w:t>
            </w:r>
          </w:p>
        </w:tc>
      </w:tr>
      <w:tr w14:paraId="74BB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7CC51516">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CD6207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B15E14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7BC5AC9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采用UTF-8字符集，支持国标GB18030-2022实现级别3的标准或中国人民银行正式发布的《金融服务生僻字处理指南》（JR/T 0253</w:t>
            </w:r>
            <w:r>
              <w:rPr>
                <w:rFonts w:hint="eastAsia" w:ascii="Times New Roman" w:hAnsi="Times New Roman" w:cs="Times New Roman"/>
                <w:b w:val="0"/>
                <w:i w:val="0"/>
                <w:color w:val="auto"/>
                <w:sz w:val="21"/>
                <w:szCs w:val="21"/>
                <w:highlight w:val="none"/>
                <w:lang w:val="en-US" w:eastAsia="zh-CN"/>
              </w:rPr>
              <w:t>-</w:t>
            </w:r>
            <w:r>
              <w:rPr>
                <w:rFonts w:hint="default" w:ascii="Times New Roman" w:hAnsi="Times New Roman" w:cs="Times New Roman"/>
                <w:b w:val="0"/>
                <w:i w:val="0"/>
                <w:color w:val="auto"/>
                <w:sz w:val="21"/>
                <w:szCs w:val="21"/>
                <w:highlight w:val="none"/>
              </w:rPr>
              <w:t>2022）金融行业标准，支持国标生僻字的输入、传输和存储。</w:t>
            </w:r>
          </w:p>
        </w:tc>
      </w:tr>
      <w:tr w14:paraId="3469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01FDA887">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BFF4E7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366A55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基础组件服务</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5A5D7CB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具有完备的分布式大数据技术体系组件服务，并纳入统一管理、维护和运营。提供的组件服务包括但不限于HDFS、HIVE、HBASE、RANGER、KUDU、SOLR、SPARK、IMPALA、HUDI/ICEBERG、PRESTO/TRINO、CLICKHOUSE</w:t>
            </w:r>
            <w:r>
              <w:rPr>
                <w:rFonts w:hint="eastAsia" w:ascii="Times New Roman" w:hAnsi="Times New Roman" w:cs="Times New Roman"/>
                <w:b w:val="0"/>
                <w:i w:val="0"/>
                <w:color w:val="auto"/>
                <w:sz w:val="21"/>
                <w:szCs w:val="21"/>
                <w:highlight w:val="none"/>
                <w:lang w:eastAsia="zh-CN"/>
              </w:rPr>
              <w:t>、</w:t>
            </w:r>
            <w:r>
              <w:rPr>
                <w:rFonts w:hint="default" w:ascii="Times New Roman" w:hAnsi="Times New Roman" w:cs="Times New Roman"/>
                <w:b w:val="0"/>
                <w:i w:val="0"/>
                <w:color w:val="auto"/>
                <w:sz w:val="21"/>
                <w:szCs w:val="21"/>
                <w:highlight w:val="none"/>
              </w:rPr>
              <w:t>DORIS、KAFKA、ELASTICSEARCH等或支持同等能力的组件服务，支持多种数据存储格式，满足湖仓一体、批流一体的应用场景；</w:t>
            </w:r>
          </w:p>
        </w:tc>
      </w:tr>
      <w:tr w14:paraId="172D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6665121D">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DC1993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left w:val="single" w:color="auto" w:sz="6" w:space="0"/>
              <w:right w:val="single" w:color="auto" w:sz="6" w:space="0"/>
              <w:tl2br w:val="nil"/>
              <w:tr2bl w:val="nil"/>
            </w:tcBorders>
            <w:noWrap/>
            <w:vAlign w:val="center"/>
          </w:tcPr>
          <w:p w14:paraId="43CA582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b w:val="0"/>
                <w:i w:val="0"/>
                <w:color w:val="auto"/>
                <w:sz w:val="21"/>
                <w:szCs w:val="21"/>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42B23CD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b w:val="0"/>
                <w:i w:val="0"/>
                <w:color w:val="auto"/>
                <w:sz w:val="21"/>
                <w:szCs w:val="21"/>
                <w:highlight w:val="none"/>
              </w:rPr>
            </w:pPr>
            <w:r>
              <w:rPr>
                <w:rFonts w:hint="default" w:ascii="Times New Roman" w:hAnsi="Times New Roman" w:cs="Times New Roman"/>
                <w:b w:val="0"/>
                <w:i w:val="0"/>
                <w:color w:val="auto"/>
                <w:sz w:val="21"/>
                <w:szCs w:val="21"/>
                <w:highlight w:val="none"/>
              </w:rPr>
              <w:t>支持流计算组件，支持SQL、STREAMING等多种实时计算能力和场景，满足批流融合的应用场景和服务需要；</w:t>
            </w:r>
          </w:p>
        </w:tc>
      </w:tr>
      <w:tr w14:paraId="66BA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55B006C5">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1DA6F2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6A35FC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679E468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各组件服务具有良好的API接口开放能力，需要兼容开源相关组件的API服务，以便于后续的业务服务对接；具有良好的扩展性、稳定性和高可用性（即99.99%的时间可用），满足业务对数据平台的稳定性和服务连续性的要求；</w:t>
            </w:r>
          </w:p>
        </w:tc>
      </w:tr>
      <w:tr w14:paraId="2046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2B65432A">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82E8C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FD452E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06F39D1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具备</w:t>
            </w:r>
            <w:r>
              <w:rPr>
                <w:rFonts w:hint="eastAsia" w:ascii="Times New Roman" w:hAnsi="Times New Roman" w:cs="Times New Roman"/>
                <w:b w:val="0"/>
                <w:i w:val="0"/>
                <w:color w:val="auto"/>
                <w:sz w:val="21"/>
                <w:szCs w:val="21"/>
                <w:highlight w:val="none"/>
                <w:lang w:val="en-US" w:eastAsia="zh-CN"/>
              </w:rPr>
              <w:t>支撑</w:t>
            </w:r>
            <w:r>
              <w:rPr>
                <w:rFonts w:hint="default" w:ascii="Times New Roman" w:hAnsi="Times New Roman" w:cs="Times New Roman"/>
                <w:b w:val="0"/>
                <w:i w:val="0"/>
                <w:color w:val="auto"/>
                <w:sz w:val="21"/>
                <w:szCs w:val="21"/>
                <w:highlight w:val="none"/>
              </w:rPr>
              <w:t>数据分析</w:t>
            </w:r>
            <w:r>
              <w:rPr>
                <w:rFonts w:hint="eastAsia" w:ascii="Times New Roman" w:hAnsi="Times New Roman" w:cs="Times New Roman"/>
                <w:b w:val="0"/>
                <w:i w:val="0"/>
                <w:color w:val="auto"/>
                <w:sz w:val="21"/>
                <w:szCs w:val="21"/>
                <w:highlight w:val="none"/>
                <w:lang w:eastAsia="zh-CN"/>
              </w:rPr>
              <w:t>、</w:t>
            </w:r>
            <w:r>
              <w:rPr>
                <w:rFonts w:hint="default" w:ascii="Times New Roman" w:hAnsi="Times New Roman" w:cs="Times New Roman"/>
                <w:b w:val="0"/>
                <w:i w:val="0"/>
                <w:color w:val="auto"/>
                <w:sz w:val="21"/>
                <w:szCs w:val="21"/>
                <w:highlight w:val="none"/>
              </w:rPr>
              <w:t>即席查询等场景的功能服务，保障多表关联复杂查询的可用性、查询效率和性能要求（秒级）等，支持查询结果数据导出；</w:t>
            </w:r>
          </w:p>
        </w:tc>
      </w:tr>
      <w:tr w14:paraId="6ED5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024DF58E">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586C89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5A133F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1D4B2AB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支撑良好的批量数据处理能力，支持分区表和拉链表，提供表的行级更新能力，并满足性能要求；</w:t>
            </w:r>
          </w:p>
        </w:tc>
      </w:tr>
      <w:tr w14:paraId="7AA7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75FC709D">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F70AEA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平台管理运营</w:t>
            </w: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45F8B3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运营管理</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6E5E763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val="0"/>
                <w:i w:val="0"/>
                <w:color w:val="auto"/>
                <w:sz w:val="21"/>
                <w:szCs w:val="21"/>
                <w:highlight w:val="none"/>
              </w:rPr>
              <w:t>支持通过可视化管理台的方式对集群服务管理，包括但不限于集群创建、删除、节点扩缩容，服务启停、配置修改、运维管控、数据迁移、容灾备份、用户及租户权限体系管理等</w:t>
            </w:r>
            <w:r>
              <w:rPr>
                <w:rFonts w:hint="eastAsia" w:ascii="Times New Roman" w:hAnsi="Times New Roman" w:cs="Times New Roman"/>
                <w:b w:val="0"/>
                <w:i w:val="0"/>
                <w:color w:val="auto"/>
                <w:sz w:val="21"/>
                <w:szCs w:val="21"/>
                <w:highlight w:val="none"/>
                <w:lang w:eastAsia="zh-CN"/>
              </w:rPr>
              <w:t>；</w:t>
            </w:r>
          </w:p>
        </w:tc>
      </w:tr>
      <w:tr w14:paraId="4177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643A2042">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b w:val="0"/>
                <w:i w:val="0"/>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BD49BD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4184F1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67236A1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b w:val="0"/>
                <w:i w:val="0"/>
                <w:color w:val="auto"/>
                <w:sz w:val="21"/>
                <w:szCs w:val="21"/>
                <w:highlight w:val="none"/>
              </w:rPr>
            </w:pPr>
            <w:r>
              <w:rPr>
                <w:rFonts w:hint="eastAsia" w:ascii="Times New Roman" w:hAnsi="Times New Roman" w:cs="Times New Roman"/>
                <w:b w:val="0"/>
                <w:i w:val="0"/>
                <w:color w:val="auto"/>
                <w:sz w:val="21"/>
                <w:szCs w:val="21"/>
                <w:highlight w:val="none"/>
                <w:lang w:val="en-US" w:eastAsia="zh-CN"/>
              </w:rPr>
              <w:t>需支持滚动升级能力，升级过程中业务不中断；支持一次升级少量节点、循环滚动，直至集群所有节点完成升级；</w:t>
            </w:r>
          </w:p>
        </w:tc>
      </w:tr>
      <w:tr w14:paraId="69F4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5E86F71E">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4EEBF6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2951D5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6E1FC6C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执行任务信息查询导出，包括但不限于：执行内容，执行起始时间、执行用户、当前执行状态、执行计划图示、任务使用的表以及参与计算的数据量；支持统计任务执行情况监控，可手动管理任务实例，包括但不限于停止Kill、日志查询导出（错误日志、运行日志、堆栈日志）</w:t>
            </w:r>
          </w:p>
        </w:tc>
      </w:tr>
      <w:tr w14:paraId="69E8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282C3F2C">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E64E07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A6ACDB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4FAB6B6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可动态配置的集群自动、手动巡检，并生成巡检报告和优化建议，包括磁盘、内存、配置等健康检查；对异常的参数配置，数据异常分布进行提示并在巡检报告中体现；</w:t>
            </w:r>
          </w:p>
        </w:tc>
      </w:tr>
      <w:tr w14:paraId="5787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7DEB53CA">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A1C944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32E0F2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运营监控</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17A592A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可视化、便捷的集群管理监控告警预警机制。针对异常任务、异常节点、组件服务、CPU、内存等异常情况，有完善的告警机制，如可动态配置告警级别、告警方式和告知对象。告警支持对外发送告警通知，支持包括短信、日志、消息推送等多种方式；</w:t>
            </w:r>
          </w:p>
        </w:tc>
      </w:tr>
      <w:tr w14:paraId="0876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6FF4B772">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036BB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0A9E80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1FCE1B8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支持集群节点状态、健康检测状态、资源使用情况、各时间段资源消耗情况、各时段任务执行情况等统计查询。</w:t>
            </w:r>
          </w:p>
        </w:tc>
      </w:tr>
      <w:tr w14:paraId="1DE9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41D354EA">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4EF2DE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租户/项目管理</w:t>
            </w:r>
          </w:p>
        </w:tc>
        <w:tc>
          <w:tcPr>
            <w:tcW w:w="1347" w:type="dxa"/>
            <w:tcBorders>
              <w:top w:val="single" w:color="auto" w:sz="6" w:space="0"/>
              <w:left w:val="single" w:color="auto" w:sz="6" w:space="0"/>
              <w:bottom w:val="single" w:color="auto" w:sz="6" w:space="0"/>
              <w:right w:val="single" w:color="auto" w:sz="6" w:space="0"/>
              <w:tl2br w:val="nil"/>
              <w:tr2bl w:val="nil"/>
            </w:tcBorders>
            <w:noWrap/>
            <w:vAlign w:val="center"/>
          </w:tcPr>
          <w:p w14:paraId="43A97B9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租户管理</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6015D9D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支持租户（或项目）创建、管理、资源（含数据存储和计算）分配和隔离、数据权限配置及生命周期管理；</w:t>
            </w:r>
          </w:p>
        </w:tc>
      </w:tr>
      <w:tr w14:paraId="2B90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6CACF7E9">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A4935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E16B1C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权限管控</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520C7B9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支持租户/项目间的数据权限访问控制和数据同步；可动态设置数据同步的安全控制机制，如数据库、表、字段权限按租户、项目、用户进行控制；</w:t>
            </w:r>
          </w:p>
        </w:tc>
      </w:tr>
      <w:tr w14:paraId="52C9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4AAD06FE">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21E1EF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954CA2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10D02B4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支持租户/项目内权限的分级管控；</w:t>
            </w:r>
          </w:p>
        </w:tc>
      </w:tr>
      <w:tr w14:paraId="3473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01FA1034">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CA380C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安全和流程管控</w:t>
            </w: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CCC6AF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安全管控</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732BD80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各组件服务需有访问安全校验、权限认证及数据安全保护机制；如库表权限控制、API接口访问认证</w:t>
            </w:r>
            <w:r>
              <w:rPr>
                <w:rFonts w:hint="eastAsia" w:ascii="Times New Roman" w:hAnsi="Times New Roman" w:cs="Times New Roman"/>
                <w:b w:val="0"/>
                <w:i w:val="0"/>
                <w:color w:val="auto"/>
                <w:sz w:val="21"/>
                <w:szCs w:val="21"/>
                <w:highlight w:val="none"/>
                <w:lang w:val="en-US" w:eastAsia="zh-CN"/>
              </w:rPr>
              <w:t>等</w:t>
            </w:r>
            <w:r>
              <w:rPr>
                <w:rFonts w:hint="default" w:ascii="Times New Roman" w:hAnsi="Times New Roman" w:cs="Times New Roman"/>
                <w:b w:val="0"/>
                <w:i w:val="0"/>
                <w:color w:val="auto"/>
                <w:sz w:val="21"/>
                <w:szCs w:val="21"/>
                <w:highlight w:val="none"/>
              </w:rPr>
              <w:t>需要授权后方可访问；支持根据业务使用场景对敏感数据静态脱敏，动态脱敏。</w:t>
            </w:r>
          </w:p>
        </w:tc>
      </w:tr>
      <w:tr w14:paraId="3E11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4DF4FD5D">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DC696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10713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582574C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支持良好的账号权限统一管理认证能力，如支持Kerberos安全认证，细粒度权限控制，满足安全合规性要求；</w:t>
            </w:r>
          </w:p>
        </w:tc>
      </w:tr>
      <w:tr w14:paraId="1C15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194F0C9E">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BDD011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tcBorders>
              <w:top w:val="single" w:color="auto" w:sz="6" w:space="0"/>
              <w:left w:val="single" w:color="auto" w:sz="6" w:space="0"/>
              <w:bottom w:val="single" w:color="auto" w:sz="6" w:space="0"/>
              <w:right w:val="single" w:color="auto" w:sz="6" w:space="0"/>
              <w:tl2br w:val="nil"/>
              <w:tr2bl w:val="nil"/>
            </w:tcBorders>
            <w:noWrap/>
            <w:vAlign w:val="center"/>
          </w:tcPr>
          <w:p w14:paraId="78A2CFF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日志记录及存储</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2E0E2AC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应该具有良好的、完善日志记录和管理。包括但不限于系统运行日志、错误日志、告警日志、系统操作日志、事务审批日志等，具有标准的存储方式、生命周期管理，支持灵活的配置；其中操作日志内容需包括日期时间、操作员标识、操作内容、维护前数值、维护后数值等信息；允许通过管理台对日志进行查询浏览、筛选、导出审计等操作。</w:t>
            </w:r>
          </w:p>
        </w:tc>
      </w:tr>
      <w:tr w14:paraId="3A51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7DE6C99A">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339A9C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数据同步及灾备建设能力</w:t>
            </w:r>
          </w:p>
        </w:tc>
        <w:tc>
          <w:tcPr>
            <w:tcW w:w="134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DEE48D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数据同步及灾备建设能力</w:t>
            </w: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46D60DF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具备构建灾备、主备集群服务的能力。支持相同产品服务架构不同物理集群或跨机房之间的数据同步，同步方式可根据服务特性采用温备和热备等多种方式，</w:t>
            </w:r>
            <w:r>
              <w:rPr>
                <w:rFonts w:hint="eastAsia" w:ascii="Times New Roman" w:hAnsi="Times New Roman" w:cs="Times New Roman"/>
                <w:b w:val="0"/>
                <w:i w:val="0"/>
                <w:color w:val="auto"/>
                <w:sz w:val="21"/>
                <w:szCs w:val="21"/>
                <w:highlight w:val="none"/>
                <w:lang w:val="en-US" w:eastAsia="zh-CN"/>
              </w:rPr>
              <w:t>支持</w:t>
            </w:r>
            <w:r>
              <w:rPr>
                <w:rFonts w:hint="default" w:ascii="Times New Roman" w:hAnsi="Times New Roman" w:cs="Times New Roman"/>
                <w:b w:val="0"/>
                <w:i w:val="0"/>
                <w:color w:val="auto"/>
                <w:sz w:val="21"/>
                <w:szCs w:val="21"/>
                <w:highlight w:val="none"/>
              </w:rPr>
              <w:t>跨集群、跨机房实时或定时同步能力；</w:t>
            </w:r>
          </w:p>
        </w:tc>
      </w:tr>
      <w:tr w14:paraId="5EFF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675" w:type="dxa"/>
            <w:tcBorders>
              <w:top w:val="single" w:color="auto" w:sz="6" w:space="0"/>
              <w:left w:val="single" w:color="auto" w:sz="6" w:space="0"/>
              <w:bottom w:val="single" w:color="auto" w:sz="6" w:space="0"/>
              <w:right w:val="single" w:color="auto" w:sz="6" w:space="0"/>
              <w:tl2br w:val="nil"/>
              <w:tr2bl w:val="nil"/>
            </w:tcBorders>
            <w:noWrap/>
            <w:vAlign w:val="center"/>
          </w:tcPr>
          <w:p w14:paraId="351F2C9B">
            <w:pPr>
              <w:keepNext w:val="0"/>
              <w:keepLines w:val="0"/>
              <w:pageBreakBefore w:val="0"/>
              <w:widowControl w:val="0"/>
              <w:numPr>
                <w:ilvl w:val="0"/>
                <w:numId w:val="10"/>
              </w:numPr>
              <w:kinsoku/>
              <w:wordWrap/>
              <w:overflowPunct/>
              <w:topLinePunct w:val="0"/>
              <w:autoSpaceDE w:val="0"/>
              <w:autoSpaceDN w:val="0"/>
              <w:bidi w:val="0"/>
              <w:adjustRightInd/>
              <w:snapToGrid/>
              <w:spacing w:beforeAutospacing="0" w:afterAutospacing="0" w:line="400" w:lineRule="exact"/>
              <w:ind w:left="454" w:leftChars="0" w:hanging="454" w:firstLineChars="0"/>
              <w:jc w:val="center"/>
              <w:textAlignment w:val="auto"/>
              <w:rPr>
                <w:rFonts w:hint="default" w:ascii="Times New Roman" w:hAnsi="Times New Roman" w:cs="Times New Roman"/>
                <w:color w:val="auto"/>
                <w:sz w:val="21"/>
                <w:szCs w:val="21"/>
                <w:highlight w:val="none"/>
              </w:rPr>
            </w:pPr>
          </w:p>
        </w:tc>
        <w:tc>
          <w:tcPr>
            <w:tcW w:w="132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CACD2D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134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53B347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color w:val="auto"/>
                <w:highlight w:val="none"/>
              </w:rPr>
            </w:pPr>
          </w:p>
        </w:tc>
        <w:tc>
          <w:tcPr>
            <w:tcW w:w="5909" w:type="dxa"/>
            <w:tcBorders>
              <w:top w:val="single" w:color="auto" w:sz="6" w:space="0"/>
              <w:left w:val="single" w:color="auto" w:sz="6" w:space="0"/>
              <w:bottom w:val="single" w:color="auto" w:sz="6" w:space="0"/>
              <w:right w:val="single" w:color="auto" w:sz="6" w:space="0"/>
              <w:tl2br w:val="nil"/>
              <w:tr2bl w:val="nil"/>
            </w:tcBorders>
            <w:noWrap/>
            <w:vAlign w:val="center"/>
          </w:tcPr>
          <w:p w14:paraId="1642247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i w:val="0"/>
                <w:color w:val="auto"/>
                <w:sz w:val="21"/>
                <w:szCs w:val="21"/>
                <w:highlight w:val="none"/>
              </w:rPr>
              <w:t>具备快速在灾备集群、备份集群和主集群之间切换和数据一致性校验的能力，支持通过可视化的方式进行操作、参数配置和运营维护。如配置定期数据备份、服务切换触发条件等。</w:t>
            </w:r>
          </w:p>
        </w:tc>
      </w:tr>
    </w:tbl>
    <w:p w14:paraId="5DB506FF">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数据作业平台要求</w:t>
      </w:r>
    </w:p>
    <w:p w14:paraId="20BEE46B">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 xml:space="preserve"> </w:t>
      </w:r>
      <w:r>
        <w:rPr>
          <w:rFonts w:hint="eastAsia" w:ascii="Times New Roman" w:hAnsi="Times New Roman" w:cs="Times New Roman"/>
          <w:b/>
          <w:bCs w:val="0"/>
          <w:color w:val="auto"/>
          <w:sz w:val="24"/>
          <w:szCs w:val="24"/>
          <w:highlight w:val="none"/>
          <w:lang w:val="en-US" w:eastAsia="zh-CN"/>
        </w:rPr>
        <w:t>产品</w:t>
      </w:r>
      <w:r>
        <w:rPr>
          <w:rFonts w:hint="default" w:ascii="Times New Roman" w:hAnsi="Times New Roman" w:cs="Times New Roman"/>
          <w:b/>
          <w:bCs w:val="0"/>
          <w:color w:val="auto"/>
          <w:sz w:val="24"/>
          <w:szCs w:val="24"/>
          <w:highlight w:val="none"/>
          <w:lang w:val="en-US" w:eastAsia="zh-CN"/>
        </w:rPr>
        <w:t>要求</w:t>
      </w:r>
    </w:p>
    <w:p w14:paraId="5D65F56F">
      <w:pPr>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（1）基础要求</w:t>
      </w:r>
    </w:p>
    <w:p w14:paraId="4D1892D8">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数据作业平台需完全适配参选人提供的湖仓一体底座；</w:t>
      </w:r>
    </w:p>
    <w:p w14:paraId="28D78CCC">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2）产品需是基于微服务架构开发，且支持容器化部署；</w:t>
      </w:r>
    </w:p>
    <w:p w14:paraId="32A99A57">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3）数据作业平台需将数据治理的流程与数据开发的全生命周期深度融合，实现“规范即设计，设计即开发，开发即治理”的开发治理一体化理念。</w:t>
      </w:r>
    </w:p>
    <w:p w14:paraId="066A13B4">
      <w:pPr>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（2）性能要求</w:t>
      </w:r>
    </w:p>
    <w:p w14:paraId="410FD86C">
      <w:pPr>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数据作业平台旨在构建以</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DataOps</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数据敏捷研发体系为基础</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具备处理各类复杂数据场景能力</w:t>
      </w:r>
      <w:r>
        <w:rPr>
          <w:rFonts w:hint="eastAsia" w:ascii="Times New Roman" w:hAnsi="Times New Roman" w:cs="Times New Roman"/>
          <w:color w:val="auto"/>
          <w:highlight w:val="none"/>
          <w:lang w:val="en-US" w:eastAsia="zh-CN"/>
        </w:rPr>
        <w:t>的平台，以</w:t>
      </w:r>
      <w:r>
        <w:rPr>
          <w:rFonts w:hint="default" w:ascii="Times New Roman" w:hAnsi="Times New Roman" w:cs="Times New Roman"/>
          <w:color w:val="auto"/>
          <w:highlight w:val="none"/>
          <w:lang w:val="en-US" w:eastAsia="zh-CN"/>
        </w:rPr>
        <w:t>有效降低数据开发门槛，提升需求开发的质量和交付效率</w:t>
      </w:r>
      <w:r>
        <w:rPr>
          <w:rFonts w:hint="eastAsia" w:ascii="Times New Roman" w:hAnsi="Times New Roman" w:cs="Times New Roman"/>
          <w:color w:val="auto"/>
          <w:highlight w:val="none"/>
          <w:lang w:val="en-US" w:eastAsia="zh-CN"/>
        </w:rPr>
        <w:t>。数据作业平台后续将作为比选人数据作业开发的唯一平台，因此平台的部分重要模块需满足如下性能指标要求：</w:t>
      </w:r>
    </w:p>
    <w:p w14:paraId="3D7B93BD">
      <w:pPr>
        <w:pStyle w:val="9"/>
        <w:keepNext w:val="0"/>
        <w:keepLines w:val="0"/>
        <w:pageBreakBefore w:val="0"/>
        <w:widowControl w:val="0"/>
        <w:kinsoku/>
        <w:wordWrap/>
        <w:overflowPunct/>
        <w:topLinePunct w:val="0"/>
        <w:autoSpaceDE w:val="0"/>
        <w:autoSpaceDN w:val="0"/>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表3-</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数据作业平台</w:t>
      </w:r>
      <w:r>
        <w:rPr>
          <w:rFonts w:hint="eastAsia" w:cs="Times New Roman"/>
          <w:color w:val="auto"/>
          <w:sz w:val="21"/>
          <w:szCs w:val="21"/>
          <w:highlight w:val="none"/>
          <w:lang w:val="en-US" w:eastAsia="zh-CN"/>
        </w:rPr>
        <w:t>性能指标</w:t>
      </w:r>
    </w:p>
    <w:tbl>
      <w:tblPr>
        <w:tblStyle w:val="22"/>
        <w:tblW w:w="4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9"/>
        <w:gridCol w:w="3186"/>
        <w:gridCol w:w="2143"/>
      </w:tblGrid>
      <w:tr w14:paraId="2D22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371391B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模块</w:t>
            </w:r>
          </w:p>
        </w:tc>
        <w:tc>
          <w:tcPr>
            <w:tcW w:w="2286"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328DE82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性能指标</w:t>
            </w:r>
          </w:p>
        </w:tc>
        <w:tc>
          <w:tcPr>
            <w:tcW w:w="1537"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7A0FAF8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指标值</w:t>
            </w:r>
          </w:p>
        </w:tc>
      </w:tr>
      <w:tr w14:paraId="433F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7724624C">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批量采集</w:t>
            </w:r>
          </w:p>
        </w:tc>
        <w:tc>
          <w:tcPr>
            <w:tcW w:w="2286" w:type="pct"/>
            <w:tcBorders>
              <w:top w:val="single" w:color="auto" w:sz="6" w:space="0"/>
              <w:left w:val="single" w:color="auto" w:sz="6" w:space="0"/>
              <w:bottom w:val="single" w:color="auto" w:sz="6" w:space="0"/>
              <w:right w:val="single" w:color="auto" w:sz="6" w:space="0"/>
              <w:tl2br w:val="nil"/>
              <w:tr2bl w:val="nil"/>
            </w:tcBorders>
            <w:noWrap/>
            <w:vAlign w:val="center"/>
          </w:tcPr>
          <w:p w14:paraId="0E2D72C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平均数据吞吐量</w:t>
            </w:r>
          </w:p>
        </w:tc>
        <w:tc>
          <w:tcPr>
            <w:tcW w:w="1537" w:type="pct"/>
            <w:tcBorders>
              <w:top w:val="single" w:color="auto" w:sz="6" w:space="0"/>
              <w:left w:val="single" w:color="auto" w:sz="6" w:space="0"/>
              <w:bottom w:val="single" w:color="auto" w:sz="6" w:space="0"/>
              <w:right w:val="single" w:color="auto" w:sz="6" w:space="0"/>
              <w:tl2br w:val="nil"/>
              <w:tr2bl w:val="nil"/>
            </w:tcBorders>
            <w:noWrap/>
            <w:vAlign w:val="center"/>
          </w:tcPr>
          <w:p w14:paraId="6D54F48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&gt;=2万行/秒</w:t>
            </w:r>
          </w:p>
        </w:tc>
      </w:tr>
      <w:tr w14:paraId="7C82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6325A53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文件交换</w:t>
            </w:r>
          </w:p>
        </w:tc>
        <w:tc>
          <w:tcPr>
            <w:tcW w:w="2286" w:type="pct"/>
            <w:tcBorders>
              <w:top w:val="single" w:color="auto" w:sz="6" w:space="0"/>
              <w:left w:val="single" w:color="auto" w:sz="6" w:space="0"/>
              <w:bottom w:val="single" w:color="auto" w:sz="6" w:space="0"/>
              <w:right w:val="single" w:color="auto" w:sz="6" w:space="0"/>
              <w:tl2br w:val="nil"/>
              <w:tr2bl w:val="nil"/>
            </w:tcBorders>
            <w:noWrap/>
            <w:vAlign w:val="center"/>
          </w:tcPr>
          <w:p w14:paraId="6BF2594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平均文件处理速率</w:t>
            </w:r>
          </w:p>
        </w:tc>
        <w:tc>
          <w:tcPr>
            <w:tcW w:w="1537" w:type="pct"/>
            <w:tcBorders>
              <w:top w:val="single" w:color="auto" w:sz="6" w:space="0"/>
              <w:left w:val="single" w:color="auto" w:sz="6" w:space="0"/>
              <w:bottom w:val="single" w:color="auto" w:sz="6" w:space="0"/>
              <w:right w:val="single" w:color="auto" w:sz="6" w:space="0"/>
              <w:tl2br w:val="nil"/>
              <w:tr2bl w:val="nil"/>
            </w:tcBorders>
            <w:noWrap/>
            <w:vAlign w:val="center"/>
          </w:tcPr>
          <w:p w14:paraId="1135B51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&gt;=300M/秒</w:t>
            </w:r>
          </w:p>
        </w:tc>
      </w:tr>
      <w:tr w14:paraId="589A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7AC38C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实时采集</w:t>
            </w:r>
          </w:p>
        </w:tc>
        <w:tc>
          <w:tcPr>
            <w:tcW w:w="2286" w:type="pct"/>
            <w:tcBorders>
              <w:top w:val="single" w:color="auto" w:sz="6" w:space="0"/>
              <w:left w:val="single" w:color="auto" w:sz="6" w:space="0"/>
              <w:bottom w:val="single" w:color="auto" w:sz="6" w:space="0"/>
              <w:right w:val="single" w:color="auto" w:sz="6" w:space="0"/>
              <w:tl2br w:val="nil"/>
              <w:tr2bl w:val="nil"/>
            </w:tcBorders>
            <w:noWrap/>
            <w:vAlign w:val="center"/>
          </w:tcPr>
          <w:p w14:paraId="68FEA21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实时采集时间延迟</w:t>
            </w:r>
          </w:p>
        </w:tc>
        <w:tc>
          <w:tcPr>
            <w:tcW w:w="1537" w:type="pct"/>
            <w:tcBorders>
              <w:top w:val="single" w:color="auto" w:sz="6" w:space="0"/>
              <w:left w:val="single" w:color="auto" w:sz="6" w:space="0"/>
              <w:bottom w:val="single" w:color="auto" w:sz="6" w:space="0"/>
              <w:right w:val="single" w:color="auto" w:sz="6" w:space="0"/>
              <w:tl2br w:val="nil"/>
              <w:tr2bl w:val="nil"/>
            </w:tcBorders>
            <w:noWrap/>
            <w:vAlign w:val="center"/>
          </w:tcPr>
          <w:p w14:paraId="4D34F1A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&lt;=2秒</w:t>
            </w:r>
          </w:p>
        </w:tc>
      </w:tr>
      <w:tr w14:paraId="4A26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FE1F31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286" w:type="pct"/>
            <w:tcBorders>
              <w:top w:val="single" w:color="auto" w:sz="6" w:space="0"/>
              <w:left w:val="single" w:color="auto" w:sz="6" w:space="0"/>
              <w:bottom w:val="single" w:color="auto" w:sz="6" w:space="0"/>
              <w:right w:val="single" w:color="auto" w:sz="6" w:space="0"/>
              <w:tl2br w:val="nil"/>
              <w:tr2bl w:val="nil"/>
            </w:tcBorders>
            <w:noWrap/>
            <w:vAlign w:val="center"/>
          </w:tcPr>
          <w:p w14:paraId="48051B2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平均数据吞吐量</w:t>
            </w:r>
          </w:p>
        </w:tc>
        <w:tc>
          <w:tcPr>
            <w:tcW w:w="1537" w:type="pct"/>
            <w:tcBorders>
              <w:top w:val="single" w:color="auto" w:sz="6" w:space="0"/>
              <w:left w:val="single" w:color="auto" w:sz="6" w:space="0"/>
              <w:bottom w:val="single" w:color="auto" w:sz="6" w:space="0"/>
              <w:right w:val="single" w:color="auto" w:sz="6" w:space="0"/>
              <w:tl2br w:val="nil"/>
              <w:tr2bl w:val="nil"/>
            </w:tcBorders>
            <w:noWrap/>
            <w:vAlign w:val="center"/>
          </w:tcPr>
          <w:p w14:paraId="55F6B6A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&gt;=1万行/秒</w:t>
            </w:r>
          </w:p>
        </w:tc>
      </w:tr>
      <w:tr w14:paraId="2D1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pct"/>
            <w:tcBorders>
              <w:top w:val="single" w:color="auto" w:sz="6" w:space="0"/>
              <w:left w:val="single" w:color="auto" w:sz="6" w:space="0"/>
              <w:bottom w:val="single" w:color="auto" w:sz="6" w:space="0"/>
              <w:right w:val="single" w:color="auto" w:sz="6" w:space="0"/>
              <w:tl2br w:val="nil"/>
              <w:tr2bl w:val="nil"/>
            </w:tcBorders>
            <w:noWrap/>
            <w:vAlign w:val="center"/>
          </w:tcPr>
          <w:p w14:paraId="6907A27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任务调度</w:t>
            </w:r>
          </w:p>
        </w:tc>
        <w:tc>
          <w:tcPr>
            <w:tcW w:w="2286" w:type="pct"/>
            <w:tcBorders>
              <w:top w:val="single" w:color="auto" w:sz="6" w:space="0"/>
              <w:left w:val="single" w:color="auto" w:sz="6" w:space="0"/>
              <w:bottom w:val="single" w:color="auto" w:sz="6" w:space="0"/>
              <w:right w:val="single" w:color="auto" w:sz="6" w:space="0"/>
              <w:tl2br w:val="nil"/>
              <w:tr2bl w:val="nil"/>
            </w:tcBorders>
            <w:noWrap/>
            <w:vAlign w:val="center"/>
          </w:tcPr>
          <w:p w14:paraId="56211D4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调度任务数量</w:t>
            </w:r>
          </w:p>
        </w:tc>
        <w:tc>
          <w:tcPr>
            <w:tcW w:w="1537" w:type="pct"/>
            <w:tcBorders>
              <w:top w:val="single" w:color="auto" w:sz="6" w:space="0"/>
              <w:left w:val="single" w:color="auto" w:sz="6" w:space="0"/>
              <w:bottom w:val="single" w:color="auto" w:sz="6" w:space="0"/>
              <w:right w:val="single" w:color="auto" w:sz="6" w:space="0"/>
              <w:tl2br w:val="nil"/>
              <w:tr2bl w:val="nil"/>
            </w:tcBorders>
            <w:noWrap/>
            <w:vAlign w:val="center"/>
          </w:tcPr>
          <w:p w14:paraId="232084C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&gt;=10万个</w:t>
            </w:r>
          </w:p>
        </w:tc>
      </w:tr>
    </w:tbl>
    <w:p w14:paraId="699FE45C">
      <w:pPr>
        <w:numPr>
          <w:ilvl w:val="0"/>
          <w:numId w:val="0"/>
        </w:numPr>
        <w:ind w:firstLine="482" w:firstLineChars="200"/>
        <w:rPr>
          <w:rFonts w:hint="eastAsia" w:ascii="Times New Roman" w:hAnsi="Times New Roman" w:cs="Times New Roman"/>
          <w:b/>
          <w:bCs w:val="0"/>
          <w:color w:val="auto"/>
          <w:highlight w:val="none"/>
          <w:lang w:val="en-US" w:eastAsia="zh-CN"/>
        </w:rPr>
      </w:pPr>
      <w:r>
        <w:rPr>
          <w:rFonts w:hint="eastAsia" w:ascii="Times New Roman" w:hAnsi="Times New Roman" w:eastAsia="宋体" w:cs="Times New Roman"/>
          <w:b/>
          <w:bCs w:val="0"/>
          <w:color w:val="auto"/>
          <w:kern w:val="2"/>
          <w:sz w:val="24"/>
          <w:szCs w:val="20"/>
          <w:highlight w:val="none"/>
          <w:lang w:val="en-US" w:eastAsia="zh-CN" w:bidi="ar-SA"/>
        </w:rPr>
        <w:t>（3）</w:t>
      </w:r>
      <w:r>
        <w:rPr>
          <w:rFonts w:hint="eastAsia" w:ascii="Times New Roman" w:hAnsi="Times New Roman" w:cs="Times New Roman"/>
          <w:b/>
          <w:bCs w:val="0"/>
          <w:color w:val="auto"/>
          <w:kern w:val="2"/>
          <w:sz w:val="24"/>
          <w:szCs w:val="20"/>
          <w:highlight w:val="none"/>
          <w:lang w:val="en-US" w:eastAsia="zh-CN" w:bidi="ar-SA"/>
        </w:rPr>
        <w:t>使用</w:t>
      </w:r>
      <w:r>
        <w:rPr>
          <w:rFonts w:hint="eastAsia" w:ascii="Times New Roman" w:hAnsi="Times New Roman" w:cs="Times New Roman"/>
          <w:b/>
          <w:bCs w:val="0"/>
          <w:color w:val="auto"/>
          <w:highlight w:val="none"/>
          <w:lang w:val="en-US" w:eastAsia="zh-CN"/>
        </w:rPr>
        <w:t>要求</w:t>
      </w:r>
    </w:p>
    <w:p w14:paraId="396EE4E5">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为保证数据作业平台后续的高可用和稳定性，参选人提供的数据作业平台的部分重要模块必须满足如下要求：</w:t>
      </w:r>
    </w:p>
    <w:p w14:paraId="47A33351">
      <w:pPr>
        <w:numPr>
          <w:ilvl w:val="0"/>
          <w:numId w:val="11"/>
        </w:num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数据建模模块需至少支持15个数据开发人员同时在线使用；</w:t>
      </w:r>
    </w:p>
    <w:p w14:paraId="284D5A74">
      <w:pPr>
        <w:numPr>
          <w:ilvl w:val="0"/>
          <w:numId w:val="1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实时采集模块需至少支持20个业务系统的实时数据采集；</w:t>
      </w:r>
    </w:p>
    <w:p w14:paraId="394E2967">
      <w:pPr>
        <w:numPr>
          <w:ilvl w:val="0"/>
          <w:numId w:val="1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数据服务模块需满足高可用和灾备建设要求；</w:t>
      </w:r>
    </w:p>
    <w:p w14:paraId="4942D8F1">
      <w:pPr>
        <w:numPr>
          <w:ilvl w:val="0"/>
          <w:numId w:val="1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任务调度模块需满足调度性能要求、高可用及灾备建设要求。</w:t>
      </w:r>
    </w:p>
    <w:p w14:paraId="342FF9C8">
      <w:pPr>
        <w:pStyle w:val="6"/>
        <w:keepNext w:val="0"/>
        <w:keepLines w:val="0"/>
        <w:pageBreakBefore w:val="0"/>
        <w:widowControl w:val="0"/>
        <w:numPr>
          <w:ilvl w:val="3"/>
          <w:numId w:val="2"/>
        </w:numPr>
        <w:kinsoku/>
        <w:wordWrap/>
        <w:overflowPunct/>
        <w:topLinePunct w:val="0"/>
        <w:autoSpaceDE w:val="0"/>
        <w:autoSpaceDN w:val="0"/>
        <w:bidi w:val="0"/>
        <w:adjustRightInd/>
        <w:snapToGrid/>
        <w:spacing w:line="600" w:lineRule="exact"/>
        <w:ind w:left="0" w:leftChars="0" w:firstLine="482" w:firstLineChars="200"/>
        <w:jc w:val="left"/>
        <w:textAlignment w:val="auto"/>
        <w:outlineLvl w:val="4"/>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 功能</w:t>
      </w:r>
      <w:r>
        <w:rPr>
          <w:rFonts w:hint="default" w:ascii="Times New Roman" w:hAnsi="Times New Roman" w:cs="Times New Roman"/>
          <w:b/>
          <w:bCs w:val="0"/>
          <w:color w:val="auto"/>
          <w:sz w:val="24"/>
          <w:szCs w:val="24"/>
          <w:highlight w:val="none"/>
          <w:lang w:val="en-US" w:eastAsia="zh-CN"/>
        </w:rPr>
        <w:t>要求</w:t>
      </w:r>
    </w:p>
    <w:p w14:paraId="75F4C814">
      <w:pPr>
        <w:keepNext w:val="0"/>
        <w:keepLines w:val="0"/>
        <w:pageBreakBefore w:val="0"/>
        <w:widowControl/>
        <w:kinsoku/>
        <w:wordWrap/>
        <w:overflowPunct/>
        <w:topLinePunct w:val="0"/>
        <w:autoSpaceDE/>
        <w:autoSpaceDN/>
        <w:adjustRightInd/>
        <w:snapToGrid/>
        <w:ind w:left="0"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数据作业平台应满足比选人的功能需求，具体功能需求包括但不限于：</w:t>
      </w:r>
    </w:p>
    <w:p w14:paraId="3BF85BA4">
      <w:pPr>
        <w:pStyle w:val="9"/>
        <w:keepNext w:val="0"/>
        <w:keepLines w:val="0"/>
        <w:pageBreakBefore w:val="0"/>
        <w:widowControl w:val="0"/>
        <w:kinsoku/>
        <w:wordWrap/>
        <w:overflowPunct/>
        <w:topLinePunct w:val="0"/>
        <w:autoSpaceDE w:val="0"/>
        <w:autoSpaceDN w:val="0"/>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表3-</w:t>
      </w: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数据作业平台</w:t>
      </w:r>
      <w:r>
        <w:rPr>
          <w:rFonts w:hint="default" w:ascii="Times New Roman" w:hAnsi="Times New Roman" w:cs="Times New Roman"/>
          <w:color w:val="auto"/>
          <w:sz w:val="21"/>
          <w:szCs w:val="21"/>
          <w:highlight w:val="none"/>
        </w:rPr>
        <w:t>功能要求</w:t>
      </w:r>
    </w:p>
    <w:tbl>
      <w:tblPr>
        <w:tblStyle w:val="22"/>
        <w:tblW w:w="8423"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94"/>
        <w:gridCol w:w="1312"/>
        <w:gridCol w:w="1272"/>
        <w:gridCol w:w="5145"/>
      </w:tblGrid>
      <w:tr w14:paraId="43F95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D8D8D8"/>
            <w:noWrap/>
            <w:vAlign w:val="center"/>
          </w:tcPr>
          <w:p w14:paraId="5483FA08">
            <w:pPr>
              <w:keepNext w:val="0"/>
              <w:keepLines w:val="0"/>
              <w:pageBreakBefore w:val="0"/>
              <w:widowControl/>
              <w:numPr>
                <w:ilvl w:val="0"/>
                <w:numId w:val="0"/>
              </w:numPr>
              <w:suppressLineNumbers w:val="0"/>
              <w:kinsoku/>
              <w:wordWrap/>
              <w:overflowPunct/>
              <w:topLinePunct w:val="0"/>
              <w:bidi w:val="0"/>
              <w:adjustRightInd/>
              <w:snapToGrid/>
              <w:spacing w:line="400" w:lineRule="exact"/>
              <w:ind w:leftChars="0"/>
              <w:jc w:val="center"/>
              <w:textAlignment w:val="bottom"/>
              <w:rPr>
                <w:rFonts w:hint="eastAsia" w:ascii="Times New Roman" w:hAnsi="Times New Roman" w:eastAsia="宋体" w:cs="Times New Roman"/>
                <w:b/>
                <w:bCs/>
                <w:i w:val="0"/>
                <w:iCs w:val="0"/>
                <w:color w:val="auto"/>
                <w:sz w:val="21"/>
                <w:szCs w:val="21"/>
                <w:highlight w:val="none"/>
                <w:u w:val="none"/>
                <w:lang w:val="en-US" w:eastAsia="zh-CN"/>
              </w:rPr>
            </w:pPr>
            <w:r>
              <w:rPr>
                <w:rFonts w:hint="eastAsia" w:ascii="Times New Roman" w:hAnsi="Times New Roman" w:cs="Times New Roman"/>
                <w:b/>
                <w:bCs/>
                <w:i w:val="0"/>
                <w:iCs w:val="0"/>
                <w:color w:val="auto"/>
                <w:sz w:val="21"/>
                <w:szCs w:val="21"/>
                <w:highlight w:val="none"/>
                <w:u w:val="none"/>
                <w:lang w:val="en-US" w:eastAsia="zh-CN"/>
              </w:rPr>
              <w:t>序号</w:t>
            </w:r>
          </w:p>
        </w:tc>
        <w:tc>
          <w:tcPr>
            <w:tcW w:w="1312" w:type="dxa"/>
            <w:shd w:val="clear" w:color="auto" w:fill="D8D8D8"/>
            <w:noWrap/>
            <w:vAlign w:val="center"/>
          </w:tcPr>
          <w:p w14:paraId="3F79CFC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Style w:val="48"/>
                <w:rFonts w:hint="default" w:ascii="Times New Roman" w:hAnsi="Times New Roman" w:eastAsia="宋体" w:cs="Times New Roman"/>
                <w:color w:val="auto"/>
                <w:sz w:val="21"/>
                <w:szCs w:val="21"/>
                <w:highlight w:val="none"/>
                <w:lang w:val="en-US" w:eastAsia="zh-CN" w:bidi="ar"/>
              </w:rPr>
              <w:t>一级需求项</w:t>
            </w:r>
          </w:p>
        </w:tc>
        <w:tc>
          <w:tcPr>
            <w:tcW w:w="1272" w:type="dxa"/>
            <w:shd w:val="clear" w:color="auto" w:fill="D8D8D8"/>
            <w:noWrap/>
            <w:vAlign w:val="center"/>
          </w:tcPr>
          <w:p w14:paraId="0541CEB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Style w:val="48"/>
                <w:rFonts w:hint="default" w:ascii="Times New Roman" w:hAnsi="Times New Roman" w:eastAsia="宋体" w:cs="Times New Roman"/>
                <w:color w:val="auto"/>
                <w:sz w:val="21"/>
                <w:szCs w:val="21"/>
                <w:highlight w:val="none"/>
                <w:lang w:val="en-US" w:eastAsia="zh-CN" w:bidi="ar"/>
              </w:rPr>
              <w:t>二级需求项</w:t>
            </w:r>
          </w:p>
        </w:tc>
        <w:tc>
          <w:tcPr>
            <w:tcW w:w="5145" w:type="dxa"/>
            <w:shd w:val="clear" w:color="auto" w:fill="D8D8D8"/>
            <w:noWrap/>
            <w:vAlign w:val="center"/>
          </w:tcPr>
          <w:p w14:paraId="620800F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Style w:val="48"/>
                <w:rFonts w:hint="default" w:ascii="Times New Roman" w:hAnsi="Times New Roman" w:eastAsia="宋体" w:cs="Times New Roman"/>
                <w:color w:val="auto"/>
                <w:sz w:val="21"/>
                <w:szCs w:val="21"/>
                <w:highlight w:val="none"/>
                <w:lang w:val="en-US" w:eastAsia="zh-CN" w:bidi="ar"/>
              </w:rPr>
              <w:t>具体要求</w:t>
            </w:r>
          </w:p>
        </w:tc>
      </w:tr>
      <w:tr w14:paraId="5701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8" w:hRule="atLeast"/>
        </w:trPr>
        <w:tc>
          <w:tcPr>
            <w:tcW w:w="694" w:type="dxa"/>
            <w:shd w:val="clear" w:color="auto" w:fill="auto"/>
            <w:noWrap/>
            <w:vAlign w:val="center"/>
          </w:tcPr>
          <w:p w14:paraId="3F514D7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3BCFCC92">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批量采集</w:t>
            </w:r>
          </w:p>
        </w:tc>
        <w:tc>
          <w:tcPr>
            <w:tcW w:w="1272" w:type="dxa"/>
            <w:vMerge w:val="restart"/>
            <w:shd w:val="clear" w:color="auto" w:fill="auto"/>
            <w:noWrap/>
            <w:vAlign w:val="center"/>
          </w:tcPr>
          <w:p w14:paraId="3631C6B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批量采集</w:t>
            </w:r>
          </w:p>
        </w:tc>
        <w:tc>
          <w:tcPr>
            <w:tcW w:w="5145" w:type="dxa"/>
            <w:shd w:val="clear" w:color="auto" w:fill="auto"/>
            <w:noWrap/>
            <w:vAlign w:val="center"/>
          </w:tcPr>
          <w:p w14:paraId="2CF851D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支持采集主流信创及非信创关系型数据库、大数据组件存储、文件系统、消息队列等多种数据源，包括但不限于</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OceanBase、达梦、TDSQL、Oracle、Mysql、SqlServer、Hive、ClickHouse、Kafka、Hbase、ElasticSearch、Csv、Excel、Txt、API等；</w:t>
            </w:r>
          </w:p>
        </w:tc>
      </w:tr>
      <w:tr w14:paraId="26F9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694" w:type="dxa"/>
            <w:shd w:val="clear" w:color="auto" w:fill="auto"/>
            <w:noWrap/>
            <w:vAlign w:val="center"/>
          </w:tcPr>
          <w:p w14:paraId="6FD084D5">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7E651D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5FF6B3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00EA30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支持通过多种方式批量生成批量采集作业，包括但不限于</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Excel</w:t>
            </w:r>
            <w:r>
              <w:rPr>
                <w:rFonts w:hint="default" w:ascii="Times New Roman" w:hAnsi="Times New Roman" w:eastAsia="宋体" w:cs="Times New Roman"/>
                <w:i w:val="0"/>
                <w:iCs w:val="0"/>
                <w:color w:val="auto"/>
                <w:kern w:val="0"/>
                <w:sz w:val="21"/>
                <w:szCs w:val="21"/>
                <w:highlight w:val="none"/>
                <w:u w:val="none"/>
                <w:lang w:val="en-US" w:eastAsia="zh-CN" w:bidi="ar"/>
              </w:rPr>
              <w:t>、可视化界面配置；</w:t>
            </w:r>
          </w:p>
        </w:tc>
      </w:tr>
      <w:tr w14:paraId="57AD4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3C8578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357846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5C4ED5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1B7184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支持采集任务小批量采样数据在线测试；</w:t>
            </w:r>
          </w:p>
        </w:tc>
      </w:tr>
      <w:tr w14:paraId="6A6D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E61B86E">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5BE6FF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74FB4B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4AAD96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自带常见的数据处理算子，包括但不限于空值处理、数据过滤、码值转换、重复值处理等；</w:t>
            </w:r>
          </w:p>
        </w:tc>
      </w:tr>
      <w:tr w14:paraId="313A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FD94B8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E7C101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7380D0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95DD59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支持用户自定义数据处理算</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子（包括但不限于SQL脚本、Jar、Python、Shell）并进行注册后使用；</w:t>
            </w:r>
          </w:p>
        </w:tc>
      </w:tr>
      <w:tr w14:paraId="578C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2B6026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4EB8F4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D867F2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3B836D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支持根据不同表类型选择对应的数据处理算法，并自动生成相关脚本，数据处理算法包括但不限于增量拉链、全量拉链及切片；</w:t>
            </w:r>
          </w:p>
        </w:tc>
      </w:tr>
      <w:tr w14:paraId="34DA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998A67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D711A4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AF2CD2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E72EB7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支持自动根据源系统字段信息及目标库的数据库类型，自动创建目标表；</w:t>
            </w:r>
          </w:p>
        </w:tc>
      </w:tr>
      <w:tr w14:paraId="7B8E4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8" w:hRule="atLeast"/>
        </w:trPr>
        <w:tc>
          <w:tcPr>
            <w:tcW w:w="694" w:type="dxa"/>
            <w:shd w:val="clear" w:color="auto" w:fill="auto"/>
            <w:noWrap/>
            <w:vAlign w:val="center"/>
          </w:tcPr>
          <w:p w14:paraId="03D5029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8F1A35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5C0CC6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EC58F1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支持通过可视化界面配置后自动生成全链路的数据采集作业，即采集任务、数据处理、目标表建立、调度任务注册；</w:t>
            </w:r>
          </w:p>
        </w:tc>
      </w:tr>
      <w:tr w14:paraId="0E76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5E84532">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4A1436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2D0614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FAB22E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支持源系统和湖仓的库表、字段信息的自动比对，针对不一致的进行告警提示，并支持可视化的展示上下游的影响分析；</w:t>
            </w:r>
          </w:p>
        </w:tc>
      </w:tr>
      <w:tr w14:paraId="70081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B00959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F74042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973443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1C439A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支持批量采集LOB大字段；</w:t>
            </w:r>
          </w:p>
        </w:tc>
      </w:tr>
      <w:tr w14:paraId="43500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0304B0F">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39576C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7EA8B8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2EE5B25">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支持通过快速复制数据库文件的方式复制同构或异构数据库，且具有跨平台、跨版本的特点；</w:t>
            </w:r>
          </w:p>
        </w:tc>
      </w:tr>
      <w:tr w14:paraId="61A4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AD8A9F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689548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8BE419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DC2363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支持采集任务参数多样化配置，包括但不限于任务并发度、错误比例处理策略等；</w:t>
            </w:r>
          </w:p>
        </w:tc>
      </w:tr>
      <w:tr w14:paraId="374B2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D24688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C91D0F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8F5A63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4EB35B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针对上游新增字段或字段长度变更的情况，系统支持自动同步新增字段或最新字段长度信息到数据湖，并记录相关变更日志；</w:t>
            </w:r>
          </w:p>
        </w:tc>
      </w:tr>
      <w:tr w14:paraId="0413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078D68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4138DFD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实时采集</w:t>
            </w:r>
          </w:p>
        </w:tc>
        <w:tc>
          <w:tcPr>
            <w:tcW w:w="1272" w:type="dxa"/>
            <w:vMerge w:val="restart"/>
            <w:shd w:val="clear" w:color="auto" w:fill="auto"/>
            <w:noWrap/>
            <w:vAlign w:val="center"/>
          </w:tcPr>
          <w:p w14:paraId="3295ACC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实时采集</w:t>
            </w:r>
          </w:p>
        </w:tc>
        <w:tc>
          <w:tcPr>
            <w:tcW w:w="5145" w:type="dxa"/>
            <w:shd w:val="clear" w:color="auto" w:fill="auto"/>
            <w:noWrap/>
            <w:vAlign w:val="center"/>
          </w:tcPr>
          <w:p w14:paraId="55D45B5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w:t>
            </w:r>
            <w:r>
              <w:rPr>
                <w:rFonts w:hint="eastAsia" w:ascii="Times New Roman" w:hAnsi="Times New Roman" w:cs="Times New Roman"/>
                <w:i w:val="0"/>
                <w:iCs w:val="0"/>
                <w:color w:val="auto"/>
                <w:kern w:val="0"/>
                <w:sz w:val="21"/>
                <w:szCs w:val="21"/>
                <w:highlight w:val="none"/>
                <w:u w:val="none"/>
                <w:lang w:val="en-US" w:eastAsia="zh-CN" w:bidi="ar"/>
              </w:rPr>
              <w:t>实时</w:t>
            </w:r>
            <w:r>
              <w:rPr>
                <w:rFonts w:hint="default" w:ascii="Times New Roman" w:hAnsi="Times New Roman" w:eastAsia="宋体" w:cs="Times New Roman"/>
                <w:i w:val="0"/>
                <w:iCs w:val="0"/>
                <w:color w:val="auto"/>
                <w:kern w:val="0"/>
                <w:sz w:val="21"/>
                <w:szCs w:val="21"/>
                <w:highlight w:val="none"/>
                <w:u w:val="none"/>
                <w:lang w:val="en-US" w:eastAsia="zh-CN" w:bidi="ar"/>
              </w:rPr>
              <w:t>采</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集关系型数据库</w:t>
            </w:r>
            <w:r>
              <w:rPr>
                <w:rFonts w:hint="eastAsia" w:ascii="Times New Roman" w:hAnsi="Times New Roman" w:cs="Times New Roman"/>
                <w:i w:val="0"/>
                <w:iCs w:val="0"/>
                <w:caps/>
                <w:smallCaps w:val="0"/>
                <w:color w:val="auto"/>
                <w:kern w:val="0"/>
                <w:sz w:val="21"/>
                <w:szCs w:val="21"/>
                <w:highlight w:val="none"/>
                <w:u w:val="none"/>
                <w:lang w:val="en-US" w:eastAsia="zh-CN" w:bidi="ar"/>
              </w:rPr>
              <w:t>的</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binlog</w:t>
            </w:r>
            <w:r>
              <w:rPr>
                <w:rFonts w:hint="eastAsia" w:ascii="Times New Roman" w:hAnsi="Times New Roman" w:cs="Times New Roman"/>
                <w:i w:val="0"/>
                <w:iCs w:val="0"/>
                <w:caps/>
                <w:smallCaps w:val="0"/>
                <w:color w:val="auto"/>
                <w:kern w:val="0"/>
                <w:sz w:val="21"/>
                <w:szCs w:val="21"/>
                <w:highlight w:val="none"/>
                <w:u w:val="none"/>
                <w:lang w:val="en-US" w:eastAsia="zh-CN" w:bidi="ar"/>
              </w:rPr>
              <w:t>日志或</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归档日志</w:t>
            </w:r>
            <w:r>
              <w:rPr>
                <w:rFonts w:hint="eastAsia" w:ascii="Times New Roman" w:hAnsi="Times New Roman" w:cs="Times New Roman"/>
                <w:i w:val="0"/>
                <w:iCs w:val="0"/>
                <w:caps/>
                <w:smallCaps w:val="0"/>
                <w:color w:val="auto"/>
                <w:kern w:val="0"/>
                <w:sz w:val="21"/>
                <w:szCs w:val="21"/>
                <w:highlight w:val="none"/>
                <w:u w:val="none"/>
                <w:lang w:val="en-US" w:eastAsia="zh-CN" w:bidi="ar"/>
              </w:rPr>
              <w:t>以及消息队列的消息如</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Kafka</w:t>
            </w:r>
            <w:r>
              <w:rPr>
                <w:rFonts w:hint="eastAsia" w:ascii="Times New Roman" w:hAnsi="Times New Roman" w:cs="Times New Roman"/>
                <w:i w:val="0"/>
                <w:iCs w:val="0"/>
                <w:caps/>
                <w:smallCaps w:val="0"/>
                <w:color w:val="auto"/>
                <w:kern w:val="0"/>
                <w:sz w:val="21"/>
                <w:szCs w:val="21"/>
                <w:highlight w:val="none"/>
                <w:u w:val="none"/>
                <w:lang w:val="en-US" w:eastAsia="zh-CN" w:bidi="ar"/>
              </w:rPr>
              <w:t>等</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w:t>
            </w:r>
            <w:r>
              <w:rPr>
                <w:rFonts w:hint="eastAsia" w:ascii="Times New Roman" w:hAnsi="Times New Roman" w:cs="Times New Roman"/>
                <w:i w:val="0"/>
                <w:iCs w:val="0"/>
                <w:caps/>
                <w:smallCaps w:val="0"/>
                <w:color w:val="auto"/>
                <w:kern w:val="0"/>
                <w:sz w:val="21"/>
                <w:szCs w:val="21"/>
                <w:highlight w:val="none"/>
                <w:u w:val="none"/>
                <w:lang w:val="en-US" w:eastAsia="zh-CN" w:bidi="ar"/>
              </w:rPr>
              <w:t>其中</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数据库类型包括但不限于OceanBase、达梦、TDSQL、Oracle、Mysql；</w:t>
            </w:r>
          </w:p>
        </w:tc>
      </w:tr>
      <w:tr w14:paraId="1F6C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9F17E3F">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694149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272" w:type="dxa"/>
            <w:vMerge w:val="continue"/>
            <w:shd w:val="clear" w:color="auto" w:fill="auto"/>
            <w:noWrap/>
            <w:vAlign w:val="center"/>
          </w:tcPr>
          <w:p w14:paraId="47C6170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5145" w:type="dxa"/>
            <w:shd w:val="clear" w:color="auto" w:fill="auto"/>
            <w:noWrap/>
            <w:vAlign w:val="center"/>
          </w:tcPr>
          <w:p w14:paraId="7DC7D55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支持实时采集LOB大字段；</w:t>
            </w:r>
          </w:p>
        </w:tc>
      </w:tr>
      <w:tr w14:paraId="772F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1FBF65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F2DC30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43A52A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16D555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支持多种实时采集方式，包括但不限于仅增量、仅全量、先全量再增量及按时间范围筛选；</w:t>
            </w:r>
          </w:p>
        </w:tc>
      </w:tr>
      <w:tr w14:paraId="53AC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55D2E0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373EBF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07592F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13E15D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支持多种实时数据目标源，</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包括但不限于Hive、ClickHouse、Hbase、Kafka、ElasticSearch、Hudi；</w:t>
            </w:r>
          </w:p>
        </w:tc>
      </w:tr>
      <w:tr w14:paraId="7DB45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CBE0DD0">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21EC5CD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数据建模</w:t>
            </w:r>
          </w:p>
        </w:tc>
        <w:tc>
          <w:tcPr>
            <w:tcW w:w="1272" w:type="dxa"/>
            <w:vMerge w:val="restart"/>
            <w:shd w:val="clear" w:color="auto" w:fill="auto"/>
            <w:noWrap/>
            <w:vAlign w:val="center"/>
          </w:tcPr>
          <w:p w14:paraId="3A51185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数据建模</w:t>
            </w:r>
          </w:p>
        </w:tc>
        <w:tc>
          <w:tcPr>
            <w:tcW w:w="5145" w:type="dxa"/>
            <w:shd w:val="clear" w:color="auto" w:fill="auto"/>
            <w:noWrap/>
            <w:vAlign w:val="center"/>
          </w:tcPr>
          <w:p w14:paraId="4A6A612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支持通过可视化、图形化的方式进行数据模型设计，并可选择不同的数据库类型自动化生成对应的物理模型；</w:t>
            </w:r>
          </w:p>
        </w:tc>
      </w:tr>
      <w:tr w14:paraId="33477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0F8E171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A6F9BA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BB5A3A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DA69A0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自动化</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生成物理模型时，</w:t>
            </w:r>
            <w:r>
              <w:rPr>
                <w:rFonts w:hint="eastAsia" w:ascii="Times New Roman" w:hAnsi="Times New Roman" w:cs="Times New Roman"/>
                <w:i w:val="0"/>
                <w:iCs w:val="0"/>
                <w:caps/>
                <w:smallCaps w:val="0"/>
                <w:color w:val="auto"/>
                <w:kern w:val="0"/>
                <w:sz w:val="21"/>
                <w:szCs w:val="21"/>
                <w:highlight w:val="none"/>
                <w:u w:val="none"/>
                <w:lang w:val="en-US" w:eastAsia="zh-CN" w:bidi="ar"/>
              </w:rPr>
              <w:t>除适配湖仓一体底座外，还需</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支持多种数据库类型，包括但不限于Oracle、Hive、Hudi、OceanBase、ClickHouse、TDSQL、达梦及Mysql</w:t>
            </w:r>
            <w:r>
              <w:rPr>
                <w:rFonts w:hint="eastAsia" w:ascii="Times New Roman" w:hAnsi="Times New Roman" w:cs="Times New Roman"/>
                <w:i w:val="0"/>
                <w:iCs w:val="0"/>
                <w:caps/>
                <w:smallCaps w:val="0"/>
                <w:color w:val="auto"/>
                <w:kern w:val="0"/>
                <w:sz w:val="21"/>
                <w:szCs w:val="21"/>
                <w:highlight w:val="none"/>
                <w:u w:val="none"/>
                <w:lang w:val="en-US" w:eastAsia="zh-CN" w:bidi="ar"/>
              </w:rPr>
              <w:t>；</w:t>
            </w:r>
          </w:p>
        </w:tc>
      </w:tr>
      <w:tr w14:paraId="1C39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C1691E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E4020A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66B431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7D8A26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支持模型资产图可视化查询展示；</w:t>
            </w:r>
          </w:p>
        </w:tc>
      </w:tr>
      <w:tr w14:paraId="3151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7376F2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9F02A2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D81B94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A8444A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支持建模后生成完善、详尽的数据治理落标检测报告；</w:t>
            </w:r>
          </w:p>
        </w:tc>
      </w:tr>
      <w:tr w14:paraId="26B8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376EA2E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65BE3D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B4F1B9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37EC7E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支持可视化的查询和展示库表、字段、任务间的血缘关系，支持上下钻，提供统一的查询服务；</w:t>
            </w:r>
          </w:p>
        </w:tc>
      </w:tr>
      <w:tr w14:paraId="3032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5FC502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E62709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6BC1B1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53BD48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支持在建模时进行数据标准引用、校验；</w:t>
            </w:r>
          </w:p>
        </w:tc>
      </w:tr>
      <w:tr w14:paraId="527C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6BBF38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246BB8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EDADE7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4E56D1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支持词根维护、词根翻译、词根引用和词根校验；</w:t>
            </w:r>
          </w:p>
        </w:tc>
      </w:tr>
      <w:tr w14:paraId="009E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41F12E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339DB0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5C44E3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FD25D5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支持模型资产、脚本任务、逻辑模型、物理模型导出发布、上线审批发布等功能及流程管控机制；</w:t>
            </w:r>
          </w:p>
        </w:tc>
      </w:tr>
      <w:tr w14:paraId="2A76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83E626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19B154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10E4FA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8BFFE4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支持直连数据库进行逆向建模；</w:t>
            </w:r>
          </w:p>
        </w:tc>
      </w:tr>
      <w:tr w14:paraId="7238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3BFA9B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22B02518">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数据开发</w:t>
            </w:r>
          </w:p>
        </w:tc>
        <w:tc>
          <w:tcPr>
            <w:tcW w:w="1272" w:type="dxa"/>
            <w:vMerge w:val="restart"/>
            <w:shd w:val="clear" w:color="auto" w:fill="auto"/>
            <w:noWrap/>
            <w:vAlign w:val="center"/>
          </w:tcPr>
          <w:p w14:paraId="5DAC57E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基础功能</w:t>
            </w:r>
          </w:p>
        </w:tc>
        <w:tc>
          <w:tcPr>
            <w:tcW w:w="5145" w:type="dxa"/>
            <w:shd w:val="clear" w:color="auto" w:fill="auto"/>
            <w:noWrap/>
            <w:vAlign w:val="center"/>
          </w:tcPr>
          <w:p w14:paraId="7C78A65D">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支持通过操作体验良好的可视化界面进行数据即席查询分析、实时计算等数据开发任务；</w:t>
            </w:r>
          </w:p>
        </w:tc>
      </w:tr>
      <w:tr w14:paraId="3224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F0F198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15B10B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272" w:type="dxa"/>
            <w:vMerge w:val="continue"/>
            <w:shd w:val="clear" w:color="auto" w:fill="auto"/>
            <w:noWrap/>
            <w:vAlign w:val="center"/>
          </w:tcPr>
          <w:p w14:paraId="0FB1B38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5145" w:type="dxa"/>
            <w:shd w:val="clear" w:color="auto" w:fill="auto"/>
            <w:noWrap/>
            <w:vAlign w:val="center"/>
          </w:tcPr>
          <w:p w14:paraId="2517B035">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支持丰富的AI辅助开发功能，包括但不限于通过自然语言生成SQL脚本、血缘智能解析等；</w:t>
            </w:r>
          </w:p>
        </w:tc>
      </w:tr>
      <w:tr w14:paraId="3407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7079775">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A01473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272" w:type="dxa"/>
            <w:vMerge w:val="continue"/>
            <w:shd w:val="clear" w:color="auto" w:fill="auto"/>
            <w:noWrap/>
            <w:vAlign w:val="center"/>
          </w:tcPr>
          <w:p w14:paraId="56270C3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5145" w:type="dxa"/>
            <w:shd w:val="clear" w:color="auto" w:fill="auto"/>
            <w:noWrap/>
            <w:vAlign w:val="center"/>
          </w:tcPr>
          <w:p w14:paraId="6D2E71C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支持对接行内私有部署的大模型或支持接入行外第三方大模型；</w:t>
            </w:r>
          </w:p>
        </w:tc>
      </w:tr>
      <w:tr w14:paraId="712C1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A1A672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40F0A4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4699E6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EECAE0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支持多种脚本任务的开发、配置，包括但不限于PERL、PYTHON、SHELL、ORACLESQL、HIVESQL、SPARKSQL、FLINKSQL等；</w:t>
            </w:r>
          </w:p>
        </w:tc>
      </w:tr>
      <w:tr w14:paraId="016D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76058D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747D07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488384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844079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可视化界面支持脚本格式化、关键字提示、语法校验（支持自定义配置校验规则）、查询结果及日志查询导出下载、主题风格设置、执行引擎设置等；</w:t>
            </w:r>
          </w:p>
        </w:tc>
      </w:tr>
      <w:tr w14:paraId="49ED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71C8B5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E30A09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335022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773522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支持数据开发任务脚本版本管理（支持对接SVN、</w:t>
            </w:r>
            <w:r>
              <w:rPr>
                <w:rFonts w:hint="default" w:ascii="Times New Roman" w:hAnsi="Times New Roman" w:eastAsia="宋体" w:cs="Times New Roman"/>
                <w:i w:val="0"/>
                <w:iCs w:val="0"/>
                <w:caps/>
                <w:smallCaps w:val="0"/>
                <w:color w:val="auto"/>
                <w:kern w:val="0"/>
                <w:sz w:val="21"/>
                <w:szCs w:val="21"/>
                <w:highlight w:val="none"/>
                <w:u w:val="none"/>
                <w:lang w:val="en-US" w:eastAsia="zh-CN" w:bidi="ar"/>
              </w:rPr>
              <w:t>gitlab</w:t>
            </w:r>
            <w:r>
              <w:rPr>
                <w:rFonts w:hint="default" w:ascii="Times New Roman" w:hAnsi="Times New Roman" w:eastAsia="宋体" w:cs="Times New Roman"/>
                <w:i w:val="0"/>
                <w:iCs w:val="0"/>
                <w:color w:val="auto"/>
                <w:kern w:val="0"/>
                <w:sz w:val="21"/>
                <w:szCs w:val="21"/>
                <w:highlight w:val="none"/>
                <w:u w:val="none"/>
                <w:lang w:val="en-US" w:eastAsia="zh-CN" w:bidi="ar"/>
              </w:rPr>
              <w:t>等版本管理工具），可对历史版本进行版本对比或回溯，并记录详细版本操作日志包含以供查询和审计；</w:t>
            </w:r>
          </w:p>
        </w:tc>
      </w:tr>
      <w:tr w14:paraId="25A3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714B8D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30932A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D758F6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3F6869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color w:val="auto"/>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支持数据开发过程资料如需求分析说明书、设计文档、上线包、程序包等对接版本管理工具，如SVN、</w:t>
            </w:r>
            <w:r>
              <w:rPr>
                <w:rFonts w:hint="default" w:ascii="Times New Roman" w:hAnsi="Times New Roman" w:eastAsia="宋体" w:cs="Times New Roman"/>
                <w:i w:val="0"/>
                <w:iCs w:val="0"/>
                <w:color w:val="auto"/>
                <w:kern w:val="0"/>
                <w:sz w:val="21"/>
                <w:szCs w:val="21"/>
                <w:highlight w:val="none"/>
                <w:u w:val="none"/>
                <w:lang w:val="en-US" w:eastAsia="zh-CN" w:bidi="ar"/>
              </w:rPr>
              <w:t>gitlab</w:t>
            </w:r>
            <w:r>
              <w:rPr>
                <w:rFonts w:hint="eastAsia" w:ascii="Times New Roman" w:hAnsi="Times New Roman" w:eastAsia="宋体" w:cs="Times New Roman"/>
                <w:i w:val="0"/>
                <w:iCs w:val="0"/>
                <w:color w:val="auto"/>
                <w:kern w:val="0"/>
                <w:sz w:val="21"/>
                <w:szCs w:val="21"/>
                <w:highlight w:val="none"/>
                <w:u w:val="none"/>
                <w:lang w:val="en-US" w:eastAsia="zh-CN" w:bidi="ar"/>
              </w:rPr>
              <w:t>等；</w:t>
            </w:r>
          </w:p>
        </w:tc>
      </w:tr>
      <w:tr w14:paraId="218FB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09F3B9A">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5ACEA8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6CE4ED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6FBEAA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支持数据开发任务详细记录包括但不限于任务创建人、创建日期、任务类型等元数据信息；</w:t>
            </w:r>
          </w:p>
        </w:tc>
      </w:tr>
      <w:tr w14:paraId="1863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D76E76A">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834A23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A883A9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975BB5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支持数据任务协同开发、共享机制，多人同时编辑同一个脚本时，需要根据先后顺序进行编辑，对脚本编辑状态进行锁定，待编辑提交后方可查询并编辑；</w:t>
            </w:r>
          </w:p>
        </w:tc>
      </w:tr>
      <w:tr w14:paraId="648D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EB3703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9E07EB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BB6751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E1BE26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支持将数据开发规范、数据标准接入和配置，并在数据开发过程中引用，对命名、代码、数据标准及其他开发规范进行强制校验；</w:t>
            </w:r>
          </w:p>
        </w:tc>
      </w:tr>
      <w:tr w14:paraId="430F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BF6226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BBE99B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46490F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893A422">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数仓整体血缘关系可查询，如通过供数时的某个字段能够查询得到整体血缘关系</w:t>
            </w:r>
            <w:r>
              <w:rPr>
                <w:rFonts w:hint="eastAsia" w:ascii="Times New Roman" w:hAnsi="Times New Roman" w:cs="Times New Roman"/>
                <w:i w:val="0"/>
                <w:iCs w:val="0"/>
                <w:color w:val="auto"/>
                <w:kern w:val="0"/>
                <w:sz w:val="21"/>
                <w:szCs w:val="21"/>
                <w:highlight w:val="none"/>
                <w:u w:val="none"/>
                <w:lang w:val="en-US" w:eastAsia="zh-CN" w:bidi="ar"/>
              </w:rPr>
              <w:t>；</w:t>
            </w:r>
          </w:p>
        </w:tc>
      </w:tr>
      <w:tr w14:paraId="22543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67F8A8F">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A381B6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B22534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EB376FD">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支持通过批量导入文件的方式生成任务，导入时可以按照目录结构生成对应的工作流及任务；</w:t>
            </w:r>
          </w:p>
        </w:tc>
      </w:tr>
      <w:tr w14:paraId="381E7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93ED5C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F98BE3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C967EE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994C24D">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支持任务上下游依赖的上下钻，能够完整的展示任务级、表级、字段级的上下游依赖关系信息；</w:t>
            </w:r>
          </w:p>
        </w:tc>
      </w:tr>
      <w:tr w14:paraId="110B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360E12F">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BE32FF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D1C1EB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380DD4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支持统一设置不同层级或不同用途表的表名前缀和后缀；</w:t>
            </w:r>
          </w:p>
        </w:tc>
      </w:tr>
      <w:tr w14:paraId="7EACF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4AD827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12C5B8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669CAD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7781EC6">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任务信息的打包导出，且针对同网络环境，支持任务发布的审批机制，可选择对应的责任人进行任务审批，审批后方可发布上线；针对非同种网络环境，支持将开发内容进行打包导出，包括脚本、任务配置等信息，并支持导入其他环境，并具有完善的版本管理机制；</w:t>
            </w:r>
          </w:p>
        </w:tc>
      </w:tr>
      <w:tr w14:paraId="72F4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B62F92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39D65F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053FAB8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实时数据开发</w:t>
            </w:r>
          </w:p>
        </w:tc>
        <w:tc>
          <w:tcPr>
            <w:tcW w:w="5145" w:type="dxa"/>
            <w:shd w:val="clear" w:color="auto" w:fill="auto"/>
            <w:noWrap/>
            <w:vAlign w:val="center"/>
          </w:tcPr>
          <w:p w14:paraId="2511C6C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支持通过操作体验良好的可视化界面对实时计算任务的开发（如FLINK SQL）；</w:t>
            </w:r>
          </w:p>
        </w:tc>
      </w:tr>
      <w:tr w14:paraId="0820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43FD75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D3640B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7208A6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AE9900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提供丰富的内置算子函数，包括常用的字符串处理、时间、窗口统计等各类内置函数；</w:t>
            </w:r>
          </w:p>
        </w:tc>
      </w:tr>
      <w:tr w14:paraId="4C8B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2A2652E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C6B457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9282E1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B7BF83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支持用户自定义函数（UDF）的导入、注册和引用，包括SCALAR（标量函数）、AGGREGATE（聚合函数）、TABLE（表函数）等；</w:t>
            </w:r>
          </w:p>
        </w:tc>
      </w:tr>
      <w:tr w14:paraId="33BA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C38E36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14D530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D4BB87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C1DCF0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支持实时计算任务对应队列（集群）设置、任务版本管理、调度方式（FLINK ON K8S或ON YARN）设置、并行度、内存、CPU、CHECKPOINT保存时间间隔设置等；</w:t>
            </w:r>
          </w:p>
        </w:tc>
      </w:tr>
      <w:tr w14:paraId="6961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2AC5150">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AEFEFB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415BFF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A48D8F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支持JAR、SQL等多种类型的实时计算任务信息（包括脚本、配置等信息）的打包导入导出，并支持对任务进行版本管理且针对同网络环境，完成审批后可直接发布到指定环境；</w:t>
            </w:r>
          </w:p>
        </w:tc>
      </w:tr>
      <w:tr w14:paraId="647B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63BC4FE">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D27988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73B136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C92D9A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支持对作业运行时的多个运行指标进行采集，包括Task Man</w:t>
            </w:r>
            <w:r>
              <w:rPr>
                <w:rFonts w:hint="eastAsia" w:ascii="Times New Roman" w:hAnsi="Times New Roman" w:eastAsia="宋体" w:cs="Times New Roman"/>
                <w:i w:val="0"/>
                <w:iCs w:val="0"/>
                <w:color w:val="auto"/>
                <w:kern w:val="0"/>
                <w:sz w:val="21"/>
                <w:szCs w:val="21"/>
                <w:highlight w:val="none"/>
                <w:u w:val="none"/>
                <w:lang w:val="en-US" w:eastAsia="zh-CN" w:bidi="ar"/>
              </w:rPr>
              <w:t>a</w:t>
            </w:r>
            <w:r>
              <w:rPr>
                <w:rFonts w:hint="default" w:ascii="Times New Roman" w:hAnsi="Times New Roman" w:eastAsia="宋体" w:cs="Times New Roman"/>
                <w:i w:val="0"/>
                <w:iCs w:val="0"/>
                <w:color w:val="auto"/>
                <w:kern w:val="0"/>
                <w:sz w:val="21"/>
                <w:szCs w:val="21"/>
                <w:highlight w:val="none"/>
                <w:u w:val="none"/>
                <w:lang w:val="en-US" w:eastAsia="zh-CN" w:bidi="ar"/>
              </w:rPr>
              <w:t>ger、Job Manager的内存I/O和CPU以及快照信息等，并支持可视化展示；</w:t>
            </w:r>
          </w:p>
        </w:tc>
      </w:tr>
      <w:tr w14:paraId="614ED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E0C783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5B59BE4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数据服务</w:t>
            </w:r>
          </w:p>
        </w:tc>
        <w:tc>
          <w:tcPr>
            <w:tcW w:w="1272" w:type="dxa"/>
            <w:vMerge w:val="restart"/>
            <w:shd w:val="clear" w:color="auto" w:fill="auto"/>
            <w:noWrap/>
            <w:vAlign w:val="center"/>
          </w:tcPr>
          <w:p w14:paraId="484B262A">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文件服务</w:t>
            </w:r>
          </w:p>
        </w:tc>
        <w:tc>
          <w:tcPr>
            <w:tcW w:w="5145" w:type="dxa"/>
            <w:shd w:val="clear" w:color="auto" w:fill="auto"/>
            <w:noWrap/>
            <w:vAlign w:val="center"/>
          </w:tcPr>
          <w:p w14:paraId="08403BC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数据库与文件系统之间相互数据集成交换（数据库到文件系统、文件系统到数据库、数据库到数据库），包含但不限于达梦、ORACLE、MYSQL、OCEANBASE、TDSQL、HDFS体系组件（HIVE、HBASE）、CLICKHOUSE、ELASTICSEARCH、共享存储NAS、对象存储等；</w:t>
            </w:r>
          </w:p>
        </w:tc>
      </w:tr>
      <w:tr w14:paraId="0FCF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CEC8C2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DC85A1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E68DB6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7460FF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以文件卸数时，支持可指定文件目录、文件名称、分隔符、编码、是否包含表头、是否包含校验文件、校验文件内容格式、任务执行周期频率、字段（动态选择或自定义脚本）等参数；</w:t>
            </w:r>
          </w:p>
        </w:tc>
      </w:tr>
      <w:tr w14:paraId="541E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110C13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A3F43E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8AD322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28322A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通过文件方式卸数时支持通过可视化界面选择对应源表、字段、目标系统、供数频率等参数后，自动生成相关作业及调度任务；</w:t>
            </w:r>
          </w:p>
        </w:tc>
      </w:tr>
      <w:tr w14:paraId="34926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D2A431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BD56B7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21F2B35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API服务</w:t>
            </w:r>
          </w:p>
        </w:tc>
        <w:tc>
          <w:tcPr>
            <w:tcW w:w="5145" w:type="dxa"/>
            <w:shd w:val="clear" w:color="auto" w:fill="auto"/>
            <w:noWrap/>
            <w:vAlign w:val="center"/>
          </w:tcPr>
          <w:p w14:paraId="62A5BE9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支持可视化、配置化、低代码、零代码等多种方式快速将物理表、复杂逻辑发布成数据服务，形式包括但不限于API接口、文件接口、消息队列等服务；</w:t>
            </w:r>
          </w:p>
        </w:tc>
      </w:tr>
      <w:tr w14:paraId="5C81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A73D6D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1B4730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8BF898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F92EB5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提供不同粒度数据权限和访问认证安全管控，支持传输报文加密，保证服务的数据安全；</w:t>
            </w:r>
          </w:p>
        </w:tc>
      </w:tr>
      <w:tr w14:paraId="256B8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4D41CCA">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DE9F92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A1BD72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BCBDB8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API接口报文格式支持JSON和XML；</w:t>
            </w:r>
          </w:p>
        </w:tc>
      </w:tr>
      <w:tr w14:paraId="73BA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0710E85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DF7F0C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0348EA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FB6314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支持数据服务运营管理分析能力。如对API接口调用权限、调用方、调用量、响应情况统计分析，提供可视化查询分析服务；</w:t>
            </w:r>
          </w:p>
        </w:tc>
      </w:tr>
      <w:tr w14:paraId="1CDB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4A4963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D999B3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54EB78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A69FD1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API接口支持挡板数据的配置；</w:t>
            </w:r>
          </w:p>
        </w:tc>
      </w:tr>
      <w:tr w14:paraId="6890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3B1A0CD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54B380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FF1BB0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589F15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API接口直接单条和批量数据查询（例如客户画像接口传入10个客户号，一次性返回10个客户的标签信息）；</w:t>
            </w:r>
          </w:p>
        </w:tc>
      </w:tr>
      <w:tr w14:paraId="7B87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F821F2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985FB4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6ABD86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B03E4A6">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API接口需具备丰富的配置选项，包括参数配置、调用方管理、调用次数限制、分页查询、打包查询（将所有查询内容打包到一个文件中返回）等，其中参数配置需具备根据数据类型选择不同的参数设置（如字段类型是数值，可支持按数值区间进行筛选；字段类型是字符，可支持精准匹配和模糊匹配）</w:t>
            </w:r>
          </w:p>
        </w:tc>
      </w:tr>
      <w:tr w14:paraId="2936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694" w:type="dxa"/>
            <w:shd w:val="clear" w:color="auto" w:fill="auto"/>
            <w:noWrap/>
            <w:vAlign w:val="center"/>
          </w:tcPr>
          <w:p w14:paraId="7C4D0FF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5349316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任务调度</w:t>
            </w:r>
          </w:p>
        </w:tc>
        <w:tc>
          <w:tcPr>
            <w:tcW w:w="1272" w:type="dxa"/>
            <w:vMerge w:val="restart"/>
            <w:shd w:val="clear" w:color="auto" w:fill="auto"/>
            <w:noWrap/>
            <w:vAlign w:val="center"/>
          </w:tcPr>
          <w:p w14:paraId="6B4DF56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调度配置</w:t>
            </w:r>
          </w:p>
        </w:tc>
        <w:tc>
          <w:tcPr>
            <w:tcW w:w="5145" w:type="dxa"/>
            <w:shd w:val="clear" w:color="auto" w:fill="auto"/>
            <w:noWrap/>
            <w:vAlign w:val="center"/>
          </w:tcPr>
          <w:p w14:paraId="5BD4D82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支持多种调度策略，包括但不限于微批调度、实时任务调度、事件触发调度、定时调度及手动调度；</w:t>
            </w:r>
          </w:p>
        </w:tc>
      </w:tr>
      <w:tr w14:paraId="581B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653ABD2">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040E03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13150C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9222A2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支持可视化的参数配置如调度策略、事件、依赖、命令等；</w:t>
            </w:r>
          </w:p>
        </w:tc>
      </w:tr>
      <w:tr w14:paraId="72C2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226A36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584F8C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A4DFF8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FE43BE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支持通过导入Excel的方式批量配置调度任务；</w:t>
            </w:r>
          </w:p>
        </w:tc>
      </w:tr>
      <w:tr w14:paraId="2065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E0B004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D8FE6F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4C3A9B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0AC415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调度服务支持的任务类型包括但不限于SQL脚本类（ORACLE SQL、SPARK SQL、HIVE SQL等）、JAR、PYTHON、PERL、SHELL等；</w:t>
            </w:r>
          </w:p>
        </w:tc>
      </w:tr>
      <w:tr w14:paraId="7CA3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F2EEBC5">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2A33A2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28C350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135945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支持配置自动翻牌机制，例如配置切日时间，调起新的作业批次，且新批次不影响旧批次未运行完成的任务；</w:t>
            </w:r>
          </w:p>
        </w:tc>
      </w:tr>
      <w:tr w14:paraId="00E6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F4DD7D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C01A29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CD5517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5DF8706">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支持配置调度任务执行器的并发度</w:t>
            </w:r>
            <w:r>
              <w:rPr>
                <w:rFonts w:hint="eastAsia" w:ascii="Times New Roman" w:hAnsi="Times New Roman" w:cs="Times New Roman"/>
                <w:i w:val="0"/>
                <w:iCs w:val="0"/>
                <w:color w:val="auto"/>
                <w:kern w:val="0"/>
                <w:sz w:val="21"/>
                <w:szCs w:val="21"/>
                <w:highlight w:val="none"/>
                <w:u w:val="none"/>
                <w:lang w:val="en-US" w:eastAsia="zh-CN" w:bidi="ar"/>
              </w:rPr>
              <w:t>、最大作业数、CPU或内存阈值、同类作业的最大并发数</w:t>
            </w:r>
            <w:r>
              <w:rPr>
                <w:rFonts w:hint="default" w:ascii="Times New Roman" w:hAnsi="Times New Roman" w:eastAsia="宋体" w:cs="Times New Roman"/>
                <w:i w:val="0"/>
                <w:iCs w:val="0"/>
                <w:color w:val="auto"/>
                <w:kern w:val="0"/>
                <w:sz w:val="21"/>
                <w:szCs w:val="21"/>
                <w:highlight w:val="none"/>
                <w:u w:val="none"/>
                <w:lang w:val="en-US" w:eastAsia="zh-CN" w:bidi="ar"/>
              </w:rPr>
              <w:t>；支持设置调度作业的优先级；</w:t>
            </w:r>
          </w:p>
        </w:tc>
      </w:tr>
      <w:tr w14:paraId="6A0B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5488F7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70300D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F5B241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39CE6C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支持设置任务失败或超时后重试的次数及间隔时间；</w:t>
            </w:r>
          </w:p>
        </w:tc>
      </w:tr>
      <w:tr w14:paraId="6195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2990B3F">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A719D8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EE8463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CA48CD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支持多种特殊调度日期配置，如</w:t>
            </w:r>
            <w:r>
              <w:rPr>
                <w:rFonts w:hint="eastAsia" w:ascii="Times New Roman" w:hAnsi="Times New Roman" w:cs="Times New Roman"/>
                <w:i w:val="0"/>
                <w:iCs w:val="0"/>
                <w:color w:val="auto"/>
                <w:kern w:val="0"/>
                <w:sz w:val="21"/>
                <w:szCs w:val="21"/>
                <w:highlight w:val="none"/>
                <w:u w:val="none"/>
                <w:lang w:val="en-US" w:eastAsia="zh-CN" w:bidi="ar"/>
              </w:rPr>
              <w:t>仅工作日（同步国家法定节假日）、</w:t>
            </w:r>
            <w:r>
              <w:rPr>
                <w:rFonts w:hint="default" w:ascii="Times New Roman" w:hAnsi="Times New Roman" w:eastAsia="宋体" w:cs="Times New Roman"/>
                <w:i w:val="0"/>
                <w:iCs w:val="0"/>
                <w:color w:val="auto"/>
                <w:kern w:val="0"/>
                <w:sz w:val="21"/>
                <w:szCs w:val="21"/>
                <w:highlight w:val="none"/>
                <w:u w:val="none"/>
                <w:lang w:val="en-US" w:eastAsia="zh-CN" w:bidi="ar"/>
              </w:rPr>
              <w:t>月初、每周第几天、月底、每月开始第几天、每月结束第几天、年初、季初、年末、季末等；</w:t>
            </w:r>
          </w:p>
        </w:tc>
      </w:tr>
      <w:tr w14:paraId="52E4C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C4AF96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AFFDA4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8E94DA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A8DEA9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支持在结束任务实例的同时将后台的运行任务进程同步结束；</w:t>
            </w:r>
          </w:p>
        </w:tc>
      </w:tr>
      <w:tr w14:paraId="26A8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04A5D25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9E82F1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C803B4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493BF2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支持调度任务上下游依赖个性化配置并记录任务的元数据信息和关联关系；</w:t>
            </w:r>
          </w:p>
        </w:tc>
      </w:tr>
      <w:tr w14:paraId="3F9A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FF924A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7500ED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C08B8C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0DC12F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支持可针对项目配置任务实例、运行日志保留周期；</w:t>
            </w:r>
          </w:p>
        </w:tc>
      </w:tr>
      <w:tr w14:paraId="757A4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786570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16A856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03E2F1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20C1BED">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支持作业失败自动转移至其他节点继续执行；</w:t>
            </w:r>
          </w:p>
        </w:tc>
      </w:tr>
      <w:tr w14:paraId="1D52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416512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01DD2A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EBEBB8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04F417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支持可视化的长周期追数和任务实例管理，支持按系统、时间跨度、日历周期等灵活配置，不影响已有的数据处理任务，提升整个数据处理和调度服务的效率；</w:t>
            </w:r>
          </w:p>
        </w:tc>
      </w:tr>
      <w:tr w14:paraId="5D3B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8" w:hRule="atLeast"/>
        </w:trPr>
        <w:tc>
          <w:tcPr>
            <w:tcW w:w="694" w:type="dxa"/>
            <w:shd w:val="clear" w:color="auto" w:fill="auto"/>
            <w:noWrap/>
            <w:vAlign w:val="center"/>
          </w:tcPr>
          <w:p w14:paraId="39BA1D2A">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59B88D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626E8DE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运营管理</w:t>
            </w:r>
          </w:p>
        </w:tc>
        <w:tc>
          <w:tcPr>
            <w:tcW w:w="5145" w:type="dxa"/>
            <w:shd w:val="clear" w:color="auto" w:fill="auto"/>
            <w:noWrap/>
            <w:vAlign w:val="center"/>
          </w:tcPr>
          <w:p w14:paraId="559C7EA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支持调度作业按照数仓层级进行分组、查看、批量导入导出等；</w:t>
            </w:r>
          </w:p>
        </w:tc>
      </w:tr>
      <w:tr w14:paraId="240E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0FBEE0A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A8F791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C4DD85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2951B7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支持按照树形结构查看调度作业实例列表，并支持对实例进行新建、删除、导入、导出、重命名；</w:t>
            </w:r>
          </w:p>
        </w:tc>
      </w:tr>
      <w:tr w14:paraId="57DF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76D6910">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E47E33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7FD77D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10DB694">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支持可视化展示调度任务和实例的完整血缘关系图，并支持上下钻；</w:t>
            </w:r>
          </w:p>
        </w:tc>
      </w:tr>
      <w:tr w14:paraId="7AD2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8F9852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C62087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CC0F5E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A4342C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支持任务实例执行进度监控查询、资源使用情况监控查询、任务内容查询、上下游依赖任务实例执行状态查询；</w:t>
            </w:r>
          </w:p>
        </w:tc>
      </w:tr>
      <w:tr w14:paraId="12CA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D6A8DE5">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984AC6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4DE691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22A99D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支持在各个功能页面能够实现复杂多样的筛选、搜索功能；</w:t>
            </w:r>
          </w:p>
        </w:tc>
      </w:tr>
      <w:tr w14:paraId="78B78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E0B7EE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CE1142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495964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7E8E33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支持调度日志查询，包含执行日志、手工操作日志等；</w:t>
            </w:r>
          </w:p>
        </w:tc>
      </w:tr>
      <w:tr w14:paraId="767F2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C8D0B62">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7B2423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A199A0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CDC28F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支持记录任务的不同运行状态，并支持可视化快速筛选出不同运行状态的全部任务实例，包括但不限于调度中、运行中、已暂停、已完成、等待中、已失败及已停止；</w:t>
            </w:r>
          </w:p>
        </w:tc>
      </w:tr>
      <w:tr w14:paraId="0CE44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7A514D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C9C337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778339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01D453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支持统一查询展示统计指标包括任务实例状态分布、任务类型分布、运行时长排行（当日、指定周期）等丰富的任务监控运营指标；</w:t>
            </w:r>
          </w:p>
        </w:tc>
      </w:tr>
      <w:tr w14:paraId="7A31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694" w:type="dxa"/>
            <w:shd w:val="clear" w:color="auto" w:fill="auto"/>
            <w:noWrap/>
            <w:vAlign w:val="center"/>
          </w:tcPr>
          <w:p w14:paraId="13DC2DD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3F8C2C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6B84C59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任务监控</w:t>
            </w:r>
          </w:p>
        </w:tc>
        <w:tc>
          <w:tcPr>
            <w:tcW w:w="5145" w:type="dxa"/>
            <w:shd w:val="clear" w:color="auto" w:fill="auto"/>
            <w:noWrap/>
            <w:vAlign w:val="center"/>
          </w:tcPr>
          <w:p w14:paraId="3A81174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支持根据任务错误级别配置个性化、多种级别、多种方式的任务监控告警。如针对任务失败、实时计算任务突然终止、长时间未运行设计较高级别的告警；</w:t>
            </w:r>
          </w:p>
        </w:tc>
      </w:tr>
      <w:tr w14:paraId="38EF7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34309E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6AA89E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D2F288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D7099E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支持设置关键任务的告警，如针对某批量任务设置指定时间或前置时间完成，未在规定时间完成则告警；</w:t>
            </w:r>
          </w:p>
        </w:tc>
      </w:tr>
      <w:tr w14:paraId="2D47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D950A5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A5549E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6824E5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EF9D35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支持对指定项目下所有告警、异常触发事件实例展示和搜索，包括事件名称、告警方式、告警时间等；</w:t>
            </w:r>
          </w:p>
        </w:tc>
      </w:tr>
      <w:tr w14:paraId="5D6E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1A39C57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4BF3EE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38E15B7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D943D7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平台需支持设置任务实例执行时间阈值，超过则告警；</w:t>
            </w:r>
          </w:p>
        </w:tc>
      </w:tr>
      <w:tr w14:paraId="419A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60A741B9">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2387B0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6D52EC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7404BF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支持任务执行状态消息通知订阅，实现复杂定制化需求；</w:t>
            </w:r>
          </w:p>
        </w:tc>
      </w:tr>
      <w:tr w14:paraId="354A3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2F325A5">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DF24A1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5000D7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C6DD78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任务告警支持通过短信、邮件、企业微信、OA统一消息服务对接等多种方式；</w:t>
            </w:r>
          </w:p>
        </w:tc>
      </w:tr>
      <w:tr w14:paraId="3724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8" w:hRule="atLeast"/>
        </w:trPr>
        <w:tc>
          <w:tcPr>
            <w:tcW w:w="694" w:type="dxa"/>
            <w:shd w:val="clear" w:color="auto" w:fill="auto"/>
            <w:noWrap/>
            <w:vAlign w:val="center"/>
          </w:tcPr>
          <w:p w14:paraId="09F970C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restart"/>
            <w:shd w:val="clear" w:color="auto" w:fill="auto"/>
            <w:noWrap/>
            <w:vAlign w:val="center"/>
          </w:tcPr>
          <w:p w14:paraId="723F86C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平台管理</w:t>
            </w:r>
          </w:p>
        </w:tc>
        <w:tc>
          <w:tcPr>
            <w:tcW w:w="1272" w:type="dxa"/>
            <w:vMerge w:val="restart"/>
            <w:shd w:val="clear" w:color="auto" w:fill="auto"/>
            <w:noWrap/>
            <w:vAlign w:val="center"/>
          </w:tcPr>
          <w:p w14:paraId="0B72D7E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租户和项目管理</w:t>
            </w:r>
          </w:p>
        </w:tc>
        <w:tc>
          <w:tcPr>
            <w:tcW w:w="5145" w:type="dxa"/>
            <w:shd w:val="clear" w:color="auto" w:fill="auto"/>
            <w:noWrap/>
            <w:vAlign w:val="center"/>
          </w:tcPr>
          <w:p w14:paraId="0E948D1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支持租户/项目的创建、参数调整、销毁等生命周期管理；</w:t>
            </w:r>
          </w:p>
        </w:tc>
      </w:tr>
      <w:tr w14:paraId="479D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ADAFCD2">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4EC20A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B2F5E8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5DF452E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支持项目的成员管理、租户管理以及对项目所需存储与计算资源的配置；</w:t>
            </w:r>
          </w:p>
        </w:tc>
      </w:tr>
      <w:tr w14:paraId="6843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7289E2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B3DB55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73E096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7C69643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支持对项目/租户进行资源和数据权限管控；</w:t>
            </w:r>
          </w:p>
        </w:tc>
      </w:tr>
      <w:tr w14:paraId="5696E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35A273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2B5F67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58E869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D1D014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支持对租户内的用户、用户组、角色、部门等内容的个性化管理，满足不同业务场景对人员组织结构多样化管控的需求；</w:t>
            </w:r>
          </w:p>
        </w:tc>
      </w:tr>
      <w:tr w14:paraId="4897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8" w:hRule="atLeast"/>
        </w:trPr>
        <w:tc>
          <w:tcPr>
            <w:tcW w:w="694" w:type="dxa"/>
            <w:shd w:val="clear" w:color="auto" w:fill="auto"/>
            <w:noWrap/>
            <w:vAlign w:val="center"/>
          </w:tcPr>
          <w:p w14:paraId="7A2C36B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F3AAEE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08E94B1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流程与权限管控</w:t>
            </w:r>
          </w:p>
        </w:tc>
        <w:tc>
          <w:tcPr>
            <w:tcW w:w="5145" w:type="dxa"/>
            <w:shd w:val="clear" w:color="auto" w:fill="auto"/>
            <w:noWrap/>
            <w:vAlign w:val="center"/>
          </w:tcPr>
          <w:p w14:paraId="1D5DCA7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支持基于项目对数据权限、任务权限、发布权限、数据服务权限等进行隔离与管控；</w:t>
            </w:r>
          </w:p>
        </w:tc>
      </w:tr>
      <w:tr w14:paraId="5E78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77A9F9F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9383A6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B10108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26A168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支持建立项目管理员、数据人员、运营人员等不同的平台预设角色并进行自定义的权限和资源管控；</w:t>
            </w:r>
          </w:p>
        </w:tc>
      </w:tr>
      <w:tr w14:paraId="7687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6471A40">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1A7777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95AD5C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7512B0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平台需自带可自定流程节点的流程引擎，具有完善的流程管控机制，对关键节点、关键操作（可由项目管理员自行配置）设置审批流程管控，如数据导出、任务发布等；</w:t>
            </w:r>
          </w:p>
        </w:tc>
      </w:tr>
      <w:tr w14:paraId="10A8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32E0AB2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CC9832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168304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AB8783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平台需支持根据不同的访问网段进行功能模块屏蔽；</w:t>
            </w:r>
          </w:p>
        </w:tc>
      </w:tr>
      <w:tr w14:paraId="74A3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78230F3A">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268788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0A9195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880C8A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平台需支持与OA系统、项目管理平台进行流程对接；</w:t>
            </w:r>
          </w:p>
        </w:tc>
      </w:tr>
      <w:tr w14:paraId="6AC35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17DDC11C">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228AD4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F71F03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C550A0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平台所有流程需支持在移动端进行查看与处理；</w:t>
            </w:r>
          </w:p>
        </w:tc>
      </w:tr>
      <w:tr w14:paraId="5862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694" w:type="dxa"/>
            <w:shd w:val="clear" w:color="auto" w:fill="auto"/>
            <w:noWrap/>
            <w:vAlign w:val="center"/>
          </w:tcPr>
          <w:p w14:paraId="2324BC3D">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7547C8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215F690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平台监控与运营</w:t>
            </w:r>
          </w:p>
        </w:tc>
        <w:tc>
          <w:tcPr>
            <w:tcW w:w="5145" w:type="dxa"/>
            <w:shd w:val="clear" w:color="auto" w:fill="auto"/>
            <w:noWrap/>
            <w:vAlign w:val="center"/>
          </w:tcPr>
          <w:p w14:paraId="708521C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支持查看项目下的所有工作流列表，包括工作流名称、文件夹、责任人、任务树、状态、首次/最后提交时间等信息；</w:t>
            </w:r>
          </w:p>
        </w:tc>
      </w:tr>
      <w:tr w14:paraId="06801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2AE8C41">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6A77A9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1A842B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E562FE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支持搜索和展示任务所有渠道的告警信息，支持查看告警详情，包括基本信息和告警发送状态；</w:t>
            </w:r>
          </w:p>
        </w:tc>
      </w:tr>
      <w:tr w14:paraId="3554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0E81C16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F0791C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44A3DB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44A22E8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支持按照工作流粒度进行运营操作，包括任务启动、停止、暂停、置成功、重跑、查看日志、DAG图、修改责任人、删除、工作流开发和补录数据等；</w:t>
            </w:r>
          </w:p>
        </w:tc>
      </w:tr>
      <w:tr w14:paraId="7FA0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3EC1302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147DEA6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593641ED">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11BAF3F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需与我行统一监控平台进行对接打通，实现指标传递；</w:t>
            </w:r>
          </w:p>
        </w:tc>
      </w:tr>
      <w:tr w14:paraId="3699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208D4CE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4121DAF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491CBF5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25851BA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支持上线时双人复核功能；</w:t>
            </w:r>
          </w:p>
        </w:tc>
      </w:tr>
      <w:tr w14:paraId="1D07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58C95F88">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F0458B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50FF8B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EE651E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支持任务列表可视化查询和多维度筛选，包括任务名称、工作流、文件夹、责任人、任务树、状态、首次/最后提交时间等；</w:t>
            </w:r>
          </w:p>
        </w:tc>
      </w:tr>
      <w:tr w14:paraId="3E975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46AD3964">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08A27F0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6CD7B514">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68850097">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支持统一的平台系统服务预警、告警服务，包括监控配置、监控图表展示、时间筛选等功能，主机指标、组件服务指标、作业指标等多类型指标监控；如集群负载、服务状态、内存、CPU、IO、网络等情况；</w:t>
            </w:r>
          </w:p>
        </w:tc>
      </w:tr>
      <w:tr w14:paraId="32BF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8F06A52">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3460E38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restart"/>
            <w:shd w:val="clear" w:color="auto" w:fill="auto"/>
            <w:noWrap/>
            <w:vAlign w:val="center"/>
          </w:tcPr>
          <w:p w14:paraId="32BA0878">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数据管理</w:t>
            </w:r>
          </w:p>
        </w:tc>
        <w:tc>
          <w:tcPr>
            <w:tcW w:w="5145" w:type="dxa"/>
            <w:shd w:val="clear" w:color="auto" w:fill="auto"/>
            <w:noWrap/>
            <w:vAlign w:val="center"/>
          </w:tcPr>
          <w:p w14:paraId="3E874F1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支持通过数据分级标准（如是否敏感数据、数据安全分级等）配置数据安全管控策略，包括展示样例数据、加密、表字段权限控制等；</w:t>
            </w:r>
          </w:p>
        </w:tc>
      </w:tr>
      <w:tr w14:paraId="334A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4B172793">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249809F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71F4A96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320932E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针对敏感的数据项，产品需支持在资源查看或导出时对敏感数据进行脱敏，且可针对不同的敏感项设置不同的脱敏规则</w:t>
            </w:r>
            <w:r>
              <w:rPr>
                <w:rFonts w:hint="eastAsia" w:ascii="Times New Roman" w:hAnsi="Times New Roman" w:cs="Times New Roman"/>
                <w:i w:val="0"/>
                <w:iCs w:val="0"/>
                <w:color w:val="auto"/>
                <w:kern w:val="0"/>
                <w:sz w:val="21"/>
                <w:szCs w:val="21"/>
                <w:highlight w:val="none"/>
                <w:u w:val="none"/>
                <w:lang w:val="en-US" w:eastAsia="zh-CN" w:bidi="ar"/>
              </w:rPr>
              <w:t>；</w:t>
            </w:r>
          </w:p>
        </w:tc>
      </w:tr>
      <w:tr w14:paraId="01E85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2160B957">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5B9FEE16">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08A1246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6C7312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具备完善的系统元数据、业务元数据、血缘关系的完整记录并支持可视化展示。如需将平台系统本身和接入的业务数据信息（库表、字段、关联关系）、任务信息（名称、</w:t>
            </w:r>
            <w:r>
              <w:rPr>
                <w:rFonts w:hint="eastAsia" w:ascii="Times New Roman" w:hAnsi="Times New Roman" w:cs="Times New Roman"/>
                <w:i w:val="0"/>
                <w:iCs w:val="0"/>
                <w:color w:val="auto"/>
                <w:kern w:val="0"/>
                <w:sz w:val="21"/>
                <w:szCs w:val="21"/>
                <w:highlight w:val="none"/>
                <w:u w:val="none"/>
                <w:lang w:val="en-US" w:eastAsia="zh-CN" w:bidi="ar"/>
              </w:rPr>
              <w:t>数量、</w:t>
            </w:r>
            <w:r>
              <w:rPr>
                <w:rFonts w:hint="default" w:ascii="Times New Roman" w:hAnsi="Times New Roman" w:eastAsia="宋体" w:cs="Times New Roman"/>
                <w:i w:val="0"/>
                <w:iCs w:val="0"/>
                <w:color w:val="auto"/>
                <w:kern w:val="0"/>
                <w:sz w:val="21"/>
                <w:szCs w:val="21"/>
                <w:highlight w:val="none"/>
                <w:u w:val="none"/>
                <w:lang w:val="en-US" w:eastAsia="zh-CN" w:bidi="ar"/>
              </w:rPr>
              <w:t>关联关系等）的落库详细记录</w:t>
            </w:r>
            <w:r>
              <w:rPr>
                <w:rFonts w:hint="eastAsia" w:ascii="Times New Roman" w:hAnsi="Times New Roman" w:cs="Times New Roman"/>
                <w:i w:val="0"/>
                <w:iCs w:val="0"/>
                <w:color w:val="auto"/>
                <w:kern w:val="0"/>
                <w:sz w:val="21"/>
                <w:szCs w:val="21"/>
                <w:highlight w:val="none"/>
                <w:u w:val="none"/>
                <w:lang w:val="en-US" w:eastAsia="zh-CN" w:bidi="ar"/>
              </w:rPr>
              <w:t>和展示</w:t>
            </w:r>
            <w:r>
              <w:rPr>
                <w:rFonts w:hint="default" w:ascii="Times New Roman" w:hAnsi="Times New Roman" w:eastAsia="宋体" w:cs="Times New Roman"/>
                <w:i w:val="0"/>
                <w:iCs w:val="0"/>
                <w:color w:val="auto"/>
                <w:kern w:val="0"/>
                <w:sz w:val="21"/>
                <w:szCs w:val="21"/>
                <w:highlight w:val="none"/>
                <w:u w:val="none"/>
                <w:lang w:val="en-US" w:eastAsia="zh-CN" w:bidi="ar"/>
              </w:rPr>
              <w:t>，以便于后续的应用；</w:t>
            </w:r>
          </w:p>
        </w:tc>
      </w:tr>
      <w:tr w14:paraId="5846C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4" w:type="dxa"/>
            <w:shd w:val="clear" w:color="auto" w:fill="auto"/>
            <w:noWrap/>
            <w:vAlign w:val="center"/>
          </w:tcPr>
          <w:p w14:paraId="50583320">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6C8FFEA9">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10BE50B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00CEB2D">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支持元数据检索。包括库表、用户角色信息、数据服务（API接口服务）、脚本任务等；如在元数据目录中搜索特定的元数据（例如，特定表的字段名）；</w:t>
            </w:r>
          </w:p>
        </w:tc>
      </w:tr>
      <w:tr w14:paraId="4434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82" w:hRule="atLeast"/>
        </w:trPr>
        <w:tc>
          <w:tcPr>
            <w:tcW w:w="694" w:type="dxa"/>
            <w:shd w:val="clear" w:color="auto" w:fill="auto"/>
            <w:noWrap/>
            <w:vAlign w:val="center"/>
          </w:tcPr>
          <w:p w14:paraId="6EC98B2B">
            <w:pPr>
              <w:keepNext w:val="0"/>
              <w:keepLines w:val="0"/>
              <w:pageBreakBefore w:val="0"/>
              <w:widowControl/>
              <w:numPr>
                <w:ilvl w:val="0"/>
                <w:numId w:val="12"/>
              </w:numPr>
              <w:suppressLineNumbers w:val="0"/>
              <w:kinsoku/>
              <w:wordWrap/>
              <w:overflowPunct/>
              <w:topLinePunct w:val="0"/>
              <w:bidi w:val="0"/>
              <w:adjustRightInd/>
              <w:snapToGrid/>
              <w:spacing w:line="400" w:lineRule="exact"/>
              <w:ind w:left="454" w:leftChars="0" w:hanging="454" w:firstLineChars="0"/>
              <w:jc w:val="center"/>
              <w:textAlignment w:val="bottom"/>
              <w:rPr>
                <w:rFonts w:hint="default" w:ascii="Times New Roman" w:hAnsi="Times New Roman" w:eastAsia="宋体" w:cs="Times New Roman"/>
                <w:i w:val="0"/>
                <w:iCs w:val="0"/>
                <w:color w:val="auto"/>
                <w:sz w:val="21"/>
                <w:szCs w:val="21"/>
                <w:highlight w:val="none"/>
                <w:u w:val="none"/>
              </w:rPr>
            </w:pPr>
          </w:p>
        </w:tc>
        <w:tc>
          <w:tcPr>
            <w:tcW w:w="1312" w:type="dxa"/>
            <w:vMerge w:val="continue"/>
            <w:shd w:val="clear" w:color="auto" w:fill="auto"/>
            <w:noWrap/>
            <w:vAlign w:val="center"/>
          </w:tcPr>
          <w:p w14:paraId="735DB18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1272" w:type="dxa"/>
            <w:vMerge w:val="continue"/>
            <w:shd w:val="clear" w:color="auto" w:fill="auto"/>
            <w:noWrap/>
            <w:vAlign w:val="center"/>
          </w:tcPr>
          <w:p w14:paraId="20B8E55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sz w:val="21"/>
                <w:szCs w:val="21"/>
                <w:highlight w:val="none"/>
                <w:u w:val="none"/>
              </w:rPr>
            </w:pPr>
          </w:p>
        </w:tc>
        <w:tc>
          <w:tcPr>
            <w:tcW w:w="5145" w:type="dxa"/>
            <w:shd w:val="clear" w:color="auto" w:fill="auto"/>
            <w:noWrap/>
            <w:vAlign w:val="center"/>
          </w:tcPr>
          <w:p w14:paraId="022C95E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支持码值重复值检查，例如对新增的码值先自动检查当前码值表中是否有重复的码值，如果有则需审批后才可插入；</w:t>
            </w:r>
          </w:p>
        </w:tc>
      </w:tr>
    </w:tbl>
    <w:p w14:paraId="4390C496">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bookmarkStart w:id="51" w:name="_Toc603"/>
      <w:r>
        <w:rPr>
          <w:rFonts w:hint="eastAsia" w:ascii="Times New Roman" w:hAnsi="Times New Roman" w:cs="Times New Roman"/>
          <w:color w:val="auto"/>
          <w:highlight w:val="none"/>
          <w:lang w:val="en-US" w:eastAsia="zh-CN"/>
        </w:rPr>
        <w:t xml:space="preserve"> 项目</w:t>
      </w:r>
      <w:r>
        <w:rPr>
          <w:rFonts w:hint="default" w:ascii="Times New Roman" w:hAnsi="Times New Roman" w:cs="Times New Roman"/>
          <w:color w:val="auto"/>
          <w:highlight w:val="none"/>
          <w:lang w:val="en-US" w:eastAsia="zh-CN"/>
        </w:rPr>
        <w:t>实施</w:t>
      </w:r>
      <w:r>
        <w:rPr>
          <w:rFonts w:hint="eastAsia" w:ascii="Times New Roman" w:hAnsi="Times New Roman" w:cs="Times New Roman"/>
          <w:color w:val="auto"/>
          <w:highlight w:val="none"/>
          <w:lang w:val="en-US" w:eastAsia="zh-CN"/>
        </w:rPr>
        <w:t>和</w:t>
      </w:r>
      <w:r>
        <w:rPr>
          <w:rFonts w:hint="default" w:ascii="Times New Roman" w:hAnsi="Times New Roman" w:cs="Times New Roman"/>
          <w:color w:val="auto"/>
          <w:highlight w:val="none"/>
          <w:lang w:val="en-US" w:eastAsia="zh-CN"/>
        </w:rPr>
        <w:t>迁移</w:t>
      </w:r>
    </w:p>
    <w:p w14:paraId="79A1A72B">
      <w:pPr>
        <w:adjustRightInd w:val="0"/>
        <w:snapToGrid/>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参选人需</w:t>
      </w:r>
      <w:r>
        <w:rPr>
          <w:rFonts w:hint="default" w:ascii="Times New Roman" w:hAnsi="Times New Roman" w:cs="Times New Roman"/>
          <w:color w:val="auto"/>
          <w:highlight w:val="none"/>
        </w:rPr>
        <w:t>结合</w:t>
      </w:r>
      <w:r>
        <w:rPr>
          <w:rFonts w:hint="default" w:ascii="Times New Roman" w:hAnsi="Times New Roman" w:cs="Times New Roman"/>
          <w:color w:val="auto"/>
          <w:highlight w:val="none"/>
          <w:lang w:val="en-US" w:eastAsia="zh-CN"/>
        </w:rPr>
        <w:t>比选人</w:t>
      </w:r>
      <w:r>
        <w:rPr>
          <w:rFonts w:hint="default" w:ascii="Times New Roman" w:hAnsi="Times New Roman" w:cs="Times New Roman"/>
          <w:color w:val="auto"/>
          <w:highlight w:val="none"/>
        </w:rPr>
        <w:t>IT规划和</w:t>
      </w:r>
      <w:r>
        <w:rPr>
          <w:rFonts w:hint="default" w:ascii="Times New Roman" w:hAnsi="Times New Roman" w:cs="Times New Roman"/>
          <w:color w:val="auto"/>
          <w:highlight w:val="none"/>
          <w:lang w:val="en-US" w:eastAsia="zh-CN"/>
        </w:rPr>
        <w:t>未来业务发展需要</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在完成湖仓一体底座和数据作业平台的部署与集成后，在此基础上</w:t>
      </w:r>
      <w:r>
        <w:rPr>
          <w:rFonts w:hint="default" w:ascii="Times New Roman" w:hAnsi="Times New Roman" w:cs="Times New Roman"/>
          <w:color w:val="auto"/>
          <w:highlight w:val="none"/>
        </w:rPr>
        <w:t>将现有数据仓库、大数据平台</w:t>
      </w:r>
      <w:r>
        <w:rPr>
          <w:rFonts w:hint="default" w:ascii="Times New Roman" w:hAnsi="Times New Roman" w:cs="Times New Roman"/>
          <w:color w:val="auto"/>
          <w:highlight w:val="none"/>
          <w:lang w:val="en-US" w:eastAsia="zh-CN"/>
        </w:rPr>
        <w:t>的各类数据、模型、应用和服</w:t>
      </w:r>
      <w:r>
        <w:rPr>
          <w:rFonts w:hint="default" w:ascii="Times New Roman" w:hAnsi="Times New Roman" w:cs="Times New Roman"/>
          <w:color w:val="auto"/>
          <w:highlight w:val="none"/>
        </w:rPr>
        <w:t>务</w:t>
      </w:r>
      <w:r>
        <w:rPr>
          <w:rFonts w:hint="default" w:ascii="Times New Roman" w:hAnsi="Times New Roman" w:cs="Times New Roman"/>
          <w:color w:val="auto"/>
          <w:highlight w:val="none"/>
          <w:lang w:val="en-US" w:eastAsia="zh-CN"/>
        </w:rPr>
        <w:t>等</w:t>
      </w:r>
      <w:r>
        <w:rPr>
          <w:rFonts w:hint="default" w:ascii="Times New Roman" w:hAnsi="Times New Roman" w:cs="Times New Roman"/>
          <w:color w:val="auto"/>
          <w:highlight w:val="none"/>
        </w:rPr>
        <w:t>进行迁移</w:t>
      </w:r>
      <w:r>
        <w:rPr>
          <w:rFonts w:hint="default" w:ascii="Times New Roman" w:hAnsi="Times New Roman" w:cs="Times New Roman"/>
          <w:color w:val="auto"/>
          <w:highlight w:val="none"/>
          <w:lang w:val="en-US" w:eastAsia="zh-CN"/>
        </w:rPr>
        <w:t>并按照新架构进行重构改造</w:t>
      </w:r>
      <w:r>
        <w:rPr>
          <w:rFonts w:hint="default" w:ascii="Times New Roman" w:hAnsi="Times New Roman" w:cs="Times New Roman"/>
          <w:color w:val="auto"/>
          <w:highlight w:val="none"/>
        </w:rPr>
        <w:t>，保障整个数据平台业务的连续</w:t>
      </w:r>
      <w:r>
        <w:rPr>
          <w:rFonts w:hint="default" w:ascii="Times New Roman" w:hAnsi="Times New Roman" w:cs="Times New Roman"/>
          <w:color w:val="auto"/>
          <w:highlight w:val="none"/>
          <w:lang w:val="en-US" w:eastAsia="zh-CN"/>
        </w:rPr>
        <w:t>性和服务切换的平滑性</w:t>
      </w:r>
      <w:r>
        <w:rPr>
          <w:rFonts w:hint="default" w:ascii="Times New Roman" w:hAnsi="Times New Roman" w:cs="Times New Roman"/>
          <w:color w:val="auto"/>
          <w:highlight w:val="none"/>
          <w:lang w:eastAsia="zh-CN"/>
        </w:rPr>
        <w:t>。</w:t>
      </w:r>
    </w:p>
    <w:p w14:paraId="0596E8E8">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eastAsia"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数据标准化建设</w:t>
      </w:r>
    </w:p>
    <w:p w14:paraId="595F52A9">
      <w:pPr>
        <w:keepNext w:val="0"/>
        <w:keepLines w:val="0"/>
        <w:widowControl/>
        <w:suppressLineNumbers w:val="0"/>
        <w:jc w:val="left"/>
        <w:rPr>
          <w:rFonts w:hint="eastAsia" w:ascii="Times New Roman" w:hAnsi="Times New Roman" w:cs="Times New Roman"/>
          <w:color w:val="auto"/>
          <w:highlight w:val="none"/>
          <w:lang w:val="en-US" w:eastAsia="zh-CN"/>
        </w:rPr>
      </w:pPr>
      <w:r>
        <w:rPr>
          <w:rFonts w:hint="default" w:ascii="Times New Roman" w:hAnsi="Times New Roman" w:cs="Times New Roman"/>
          <w:color w:val="auto"/>
          <w:szCs w:val="24"/>
          <w:highlight w:val="none"/>
          <w:lang w:val="en-US" w:eastAsia="zh-CN"/>
        </w:rPr>
        <w:t>为确保实施过程中的数据质量和一致性，</w:t>
      </w:r>
      <w:r>
        <w:rPr>
          <w:rFonts w:hint="eastAsia" w:ascii="Times New Roman" w:hAnsi="Times New Roman" w:cs="Times New Roman"/>
          <w:color w:val="auto"/>
          <w:szCs w:val="24"/>
          <w:highlight w:val="none"/>
          <w:lang w:val="en-US" w:eastAsia="zh-CN"/>
        </w:rPr>
        <w:t>切实做到“标准先行”，</w:t>
      </w:r>
      <w:r>
        <w:rPr>
          <w:rFonts w:hint="default" w:ascii="Times New Roman" w:hAnsi="Times New Roman" w:cs="Times New Roman"/>
          <w:color w:val="auto"/>
          <w:highlight w:val="none"/>
          <w:lang w:val="en-US" w:eastAsia="zh-CN"/>
        </w:rPr>
        <w:t>参选人</w:t>
      </w:r>
      <w:r>
        <w:rPr>
          <w:rFonts w:hint="eastAsia" w:ascii="Times New Roman" w:hAnsi="Times New Roman" w:cs="Times New Roman"/>
          <w:color w:val="auto"/>
          <w:highlight w:val="none"/>
          <w:lang w:val="en-US" w:eastAsia="zh-CN"/>
        </w:rPr>
        <w:t>需根据比选人当前数据治理相关工作情况，结合行业最佳实践，为比选人完善数据治理工作方案，并在实施过程中严格按照方案进行落地。具体要求包括但不限于：</w:t>
      </w:r>
    </w:p>
    <w:p w14:paraId="10ECF50A">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1）需提供一整套行业通用的数据标准，包括但不限于码值标准、词根标准、命名标准、元数据标准、指标标准等，并按照比选人实际情况对标准进行适配，形成一套适合比选人的数据标准并进行落地，且要求实施完成后标准层及以上</w:t>
      </w:r>
      <w:r>
        <w:rPr>
          <w:rFonts w:hint="default" w:ascii="Times New Roman" w:hAnsi="Times New Roman" w:cs="Times New Roman"/>
          <w:color w:val="auto"/>
          <w:szCs w:val="24"/>
          <w:highlight w:val="none"/>
          <w:lang w:val="en-US" w:eastAsia="zh-CN"/>
        </w:rPr>
        <w:t>落标率不得低于98%</w:t>
      </w:r>
      <w:r>
        <w:rPr>
          <w:rFonts w:hint="eastAsia" w:ascii="Times New Roman" w:hAnsi="Times New Roman" w:cs="Times New Roman"/>
          <w:color w:val="auto"/>
          <w:szCs w:val="24"/>
          <w:highlight w:val="none"/>
          <w:lang w:val="en-US" w:eastAsia="zh-CN"/>
        </w:rPr>
        <w:t>；</w:t>
      </w:r>
    </w:p>
    <w:p w14:paraId="4F1BE504">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（2）参选人需根据行业最佳实践，考虑新一代数据中台技术架构特点，为比选人形成一套完善的数据质量检核规则，并落实检核工作，且数据质量</w:t>
      </w:r>
      <w:r>
        <w:rPr>
          <w:rFonts w:hint="default" w:ascii="Times New Roman" w:hAnsi="Times New Roman" w:cs="Times New Roman"/>
          <w:color w:val="auto"/>
          <w:szCs w:val="24"/>
          <w:highlight w:val="none"/>
          <w:lang w:val="en-US" w:eastAsia="zh-CN"/>
        </w:rPr>
        <w:t>检核</w:t>
      </w:r>
      <w:r>
        <w:rPr>
          <w:rFonts w:hint="eastAsia" w:ascii="Times New Roman" w:hAnsi="Times New Roman" w:cs="Times New Roman"/>
          <w:color w:val="auto"/>
          <w:szCs w:val="24"/>
          <w:highlight w:val="none"/>
          <w:lang w:val="en-US" w:eastAsia="zh-CN"/>
        </w:rPr>
        <w:t>通过率不得低于98%（因客观、外部原因无法解决的仅进行记录但不纳入通过率计算范围）；</w:t>
      </w:r>
    </w:p>
    <w:p w14:paraId="1A6C732E">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（3）充分借鉴行业数据安全管控的最佳实践，结合法律法规、监管要求、国家标准和行业标准，并按照比选人实际情况和要求，制定</w:t>
      </w:r>
      <w:r>
        <w:rPr>
          <w:rFonts w:hint="default" w:ascii="Times New Roman" w:hAnsi="Times New Roman" w:cs="Times New Roman"/>
          <w:color w:val="auto"/>
          <w:szCs w:val="24"/>
          <w:highlight w:val="none"/>
          <w:lang w:val="en-US" w:eastAsia="zh-CN"/>
        </w:rPr>
        <w:t>数据建设全流程的数据安全管控</w:t>
      </w:r>
      <w:r>
        <w:rPr>
          <w:rFonts w:hint="eastAsia" w:ascii="Times New Roman" w:hAnsi="Times New Roman" w:cs="Times New Roman"/>
          <w:color w:val="auto"/>
          <w:szCs w:val="24"/>
          <w:highlight w:val="none"/>
          <w:lang w:val="en-US" w:eastAsia="zh-CN"/>
        </w:rPr>
        <w:t>方案。在实施过程中应严格遵守数据安全管控方案，</w:t>
      </w:r>
      <w:r>
        <w:rPr>
          <w:rFonts w:hint="default" w:ascii="Times New Roman" w:hAnsi="Times New Roman" w:cs="Times New Roman"/>
          <w:color w:val="auto"/>
          <w:szCs w:val="24"/>
          <w:highlight w:val="none"/>
          <w:lang w:val="en-US" w:eastAsia="zh-CN"/>
        </w:rPr>
        <w:t>满足</w:t>
      </w:r>
      <w:r>
        <w:rPr>
          <w:rFonts w:hint="eastAsia" w:ascii="Times New Roman" w:hAnsi="Times New Roman" w:cs="Times New Roman"/>
          <w:color w:val="auto"/>
          <w:szCs w:val="24"/>
          <w:highlight w:val="none"/>
          <w:lang w:val="en-US" w:eastAsia="zh-CN"/>
        </w:rPr>
        <w:t>数据采集到应用</w:t>
      </w:r>
      <w:r>
        <w:rPr>
          <w:rFonts w:hint="default" w:ascii="Times New Roman" w:hAnsi="Times New Roman" w:cs="Times New Roman"/>
          <w:color w:val="auto"/>
          <w:szCs w:val="24"/>
          <w:highlight w:val="none"/>
          <w:lang w:val="en-US" w:eastAsia="zh-CN"/>
        </w:rPr>
        <w:t>全流程的数据安全管控</w:t>
      </w:r>
      <w:r>
        <w:rPr>
          <w:rFonts w:hint="eastAsia" w:ascii="Times New Roman" w:hAnsi="Times New Roman" w:cs="Times New Roman"/>
          <w:color w:val="auto"/>
          <w:szCs w:val="24"/>
          <w:highlight w:val="none"/>
          <w:lang w:val="en-US" w:eastAsia="zh-CN"/>
        </w:rPr>
        <w:t>要求</w:t>
      </w:r>
      <w:r>
        <w:rPr>
          <w:rFonts w:hint="default" w:ascii="Times New Roman" w:hAnsi="Times New Roman" w:cs="Times New Roman"/>
          <w:color w:val="auto"/>
          <w:szCs w:val="24"/>
          <w:highlight w:val="none"/>
          <w:lang w:val="en-US" w:eastAsia="zh-CN"/>
        </w:rPr>
        <w:t>；</w:t>
      </w:r>
    </w:p>
    <w:p w14:paraId="6B66AE66">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（4）</w:t>
      </w:r>
      <w:r>
        <w:rPr>
          <w:rFonts w:hint="default" w:ascii="Times New Roman" w:hAnsi="Times New Roman" w:cs="Times New Roman"/>
          <w:color w:val="auto"/>
          <w:szCs w:val="24"/>
          <w:highlight w:val="none"/>
          <w:lang w:val="en-US" w:eastAsia="zh-CN"/>
        </w:rPr>
        <w:t>构建常用词根表和码表，在不同层级和维度上保持数据的统一和连贯，具有相同含义的字段如客户名称、客户号等，在不同的表中命名必须相同；</w:t>
      </w:r>
    </w:p>
    <w:p w14:paraId="41DDA3B9">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（5）参选人在实施过程中需全量收集各类数据信息，包括但不限于行内数据库表及表结构信息、行内外接口信息等，形成体系化的数据清单。</w:t>
      </w:r>
    </w:p>
    <w:p w14:paraId="33727615">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数据采集</w:t>
      </w:r>
      <w:r>
        <w:rPr>
          <w:rFonts w:hint="eastAsia" w:ascii="Times New Roman" w:hAnsi="Times New Roman" w:cs="Times New Roman"/>
          <w:b/>
          <w:bCs w:val="0"/>
          <w:color w:val="auto"/>
          <w:highlight w:val="none"/>
          <w:lang w:val="en-US" w:eastAsia="zh-CN"/>
        </w:rPr>
        <w:t>版块</w:t>
      </w:r>
      <w:r>
        <w:rPr>
          <w:rFonts w:hint="default" w:ascii="Times New Roman" w:hAnsi="Times New Roman" w:cs="Times New Roman"/>
          <w:b/>
          <w:bCs w:val="0"/>
          <w:color w:val="auto"/>
          <w:highlight w:val="none"/>
          <w:lang w:val="en-US" w:eastAsia="zh-CN"/>
        </w:rPr>
        <w:t>建设</w:t>
      </w:r>
    </w:p>
    <w:p w14:paraId="1DB0A9AC">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参选人需使用新建的数据作业平台设计批量和实时采集任务，采集行内和行外各类型数据，</w:t>
      </w:r>
      <w:r>
        <w:rPr>
          <w:rFonts w:hint="default" w:ascii="Times New Roman" w:hAnsi="Times New Roman" w:cs="Times New Roman"/>
          <w:color w:val="auto"/>
          <w:szCs w:val="24"/>
          <w:highlight w:val="none"/>
          <w:lang w:val="zh-CN"/>
        </w:rPr>
        <w:t>对</w:t>
      </w:r>
      <w:r>
        <w:rPr>
          <w:rFonts w:hint="default" w:ascii="Times New Roman" w:hAnsi="Times New Roman" w:cs="Times New Roman"/>
          <w:color w:val="auto"/>
          <w:szCs w:val="24"/>
          <w:highlight w:val="none"/>
        </w:rPr>
        <w:t>行内外</w:t>
      </w:r>
      <w:r>
        <w:rPr>
          <w:rFonts w:hint="default" w:ascii="Times New Roman" w:hAnsi="Times New Roman" w:cs="Times New Roman"/>
          <w:color w:val="auto"/>
          <w:szCs w:val="24"/>
          <w:highlight w:val="none"/>
          <w:lang w:val="zh-CN"/>
        </w:rPr>
        <w:t>数据进行统一存储。</w:t>
      </w:r>
      <w:r>
        <w:rPr>
          <w:rFonts w:hint="default" w:ascii="Times New Roman" w:hAnsi="Times New Roman" w:cs="Times New Roman"/>
          <w:color w:val="auto"/>
          <w:szCs w:val="24"/>
          <w:highlight w:val="none"/>
        </w:rPr>
        <w:t>行内数据</w:t>
      </w:r>
      <w:r>
        <w:rPr>
          <w:rFonts w:hint="default" w:ascii="Times New Roman" w:hAnsi="Times New Roman" w:cs="Times New Roman"/>
          <w:color w:val="auto"/>
          <w:szCs w:val="24"/>
          <w:highlight w:val="none"/>
          <w:lang w:val="en-US" w:eastAsia="zh-CN"/>
        </w:rPr>
        <w:t>包括但不限于</w:t>
      </w:r>
      <w:r>
        <w:rPr>
          <w:rFonts w:hint="default" w:ascii="Times New Roman" w:hAnsi="Times New Roman" w:cs="Times New Roman"/>
          <w:color w:val="auto"/>
          <w:szCs w:val="24"/>
          <w:highlight w:val="none"/>
        </w:rPr>
        <w:t>如存款、贷款、渠道等业务系统数据</w:t>
      </w:r>
      <w:r>
        <w:rPr>
          <w:rFonts w:hint="default" w:ascii="Times New Roman" w:hAnsi="Times New Roman" w:cs="Times New Roman"/>
          <w:color w:val="auto"/>
          <w:szCs w:val="24"/>
          <w:highlight w:val="none"/>
          <w:lang w:val="zh-CN"/>
        </w:rPr>
        <w:t>，</w:t>
      </w:r>
      <w:r>
        <w:rPr>
          <w:rFonts w:hint="default" w:ascii="Times New Roman" w:hAnsi="Times New Roman" w:cs="Times New Roman"/>
          <w:color w:val="auto"/>
          <w:szCs w:val="24"/>
          <w:highlight w:val="none"/>
          <w:lang w:val="en-US" w:eastAsia="zh-CN"/>
        </w:rPr>
        <w:t>含</w:t>
      </w:r>
      <w:r>
        <w:rPr>
          <w:rFonts w:hint="default" w:ascii="Times New Roman" w:hAnsi="Times New Roman" w:cs="Times New Roman"/>
          <w:color w:val="auto"/>
          <w:szCs w:val="24"/>
          <w:highlight w:val="none"/>
        </w:rPr>
        <w:t>实时数据和日间批量数据</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行外数据</w:t>
      </w:r>
      <w:r>
        <w:rPr>
          <w:rFonts w:hint="default" w:ascii="Times New Roman" w:hAnsi="Times New Roman" w:cs="Times New Roman"/>
          <w:color w:val="auto"/>
          <w:szCs w:val="24"/>
          <w:highlight w:val="none"/>
          <w:lang w:val="en-US" w:eastAsia="zh-CN"/>
        </w:rPr>
        <w:t>包括但不限于</w:t>
      </w:r>
      <w:r>
        <w:rPr>
          <w:rFonts w:hint="default" w:ascii="Times New Roman" w:hAnsi="Times New Roman" w:cs="Times New Roman"/>
          <w:color w:val="auto"/>
          <w:szCs w:val="24"/>
          <w:highlight w:val="none"/>
        </w:rPr>
        <w:t>如征信、司法、工商等数据</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lang w:val="en-US" w:eastAsia="zh-CN"/>
        </w:rPr>
        <w:t>参选人在进行数据采集建设时需满足</w:t>
      </w:r>
      <w:r>
        <w:rPr>
          <w:rFonts w:hint="eastAsia" w:ascii="Times New Roman" w:hAnsi="Times New Roman" w:cs="Times New Roman"/>
          <w:color w:val="auto"/>
          <w:szCs w:val="24"/>
          <w:highlight w:val="none"/>
          <w:lang w:val="en-US" w:eastAsia="zh-CN"/>
        </w:rPr>
        <w:t>的要求包括但不限于</w:t>
      </w:r>
      <w:r>
        <w:rPr>
          <w:rFonts w:hint="default" w:ascii="Times New Roman" w:hAnsi="Times New Roman" w:cs="Times New Roman"/>
          <w:color w:val="auto"/>
          <w:szCs w:val="24"/>
          <w:highlight w:val="none"/>
          <w:lang w:val="en-US" w:eastAsia="zh-CN"/>
        </w:rPr>
        <w:t>：</w:t>
      </w:r>
    </w:p>
    <w:p w14:paraId="0C5B0B4F">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zh-CN" w:eastAsia="zh-CN"/>
        </w:rPr>
        <w:t>（</w:t>
      </w:r>
      <w:r>
        <w:rPr>
          <w:rFonts w:hint="eastAsia" w:ascii="Times New Roman" w:hAnsi="Times New Roman" w:cs="Times New Roman"/>
          <w:color w:val="auto"/>
          <w:szCs w:val="24"/>
          <w:highlight w:val="none"/>
          <w:lang w:val="en-US" w:eastAsia="zh-CN"/>
        </w:rPr>
        <w:t>1</w:t>
      </w:r>
      <w:r>
        <w:rPr>
          <w:rFonts w:hint="eastAsia" w:ascii="Times New Roman" w:hAnsi="Times New Roman" w:cs="Times New Roman"/>
          <w:color w:val="auto"/>
          <w:szCs w:val="24"/>
          <w:highlight w:val="none"/>
          <w:lang w:val="zh-CN" w:eastAsia="zh-CN"/>
        </w:rPr>
        <w:t>）</w:t>
      </w:r>
      <w:r>
        <w:rPr>
          <w:rFonts w:hint="default" w:ascii="Times New Roman" w:hAnsi="Times New Roman" w:cs="Times New Roman"/>
          <w:color w:val="auto"/>
          <w:szCs w:val="24"/>
          <w:highlight w:val="none"/>
          <w:lang w:val="zh-CN" w:eastAsia="zh-CN"/>
        </w:rPr>
        <w:t>数据采集建设</w:t>
      </w:r>
      <w:r>
        <w:rPr>
          <w:rFonts w:hint="default" w:ascii="Times New Roman" w:hAnsi="Times New Roman" w:cs="Times New Roman"/>
          <w:color w:val="auto"/>
          <w:szCs w:val="24"/>
          <w:highlight w:val="none"/>
          <w:lang w:val="en-US" w:eastAsia="zh-CN"/>
        </w:rPr>
        <w:t>需采取应接尽接的原则，满足各类型数据包括结构化数据、半结构化数据、非结构化数据的采集需求</w:t>
      </w:r>
      <w:r>
        <w:rPr>
          <w:rFonts w:hint="eastAsia" w:ascii="Times New Roman" w:hAnsi="Times New Roman" w:cs="Times New Roman"/>
          <w:color w:val="auto"/>
          <w:szCs w:val="24"/>
          <w:highlight w:val="none"/>
          <w:lang w:val="en-US" w:eastAsia="zh-CN"/>
        </w:rPr>
        <w:t>，完成比选人所有内、外部数据的接入</w:t>
      </w:r>
      <w:r>
        <w:rPr>
          <w:rFonts w:hint="default" w:ascii="Times New Roman" w:hAnsi="Times New Roman" w:cs="Times New Roman"/>
          <w:color w:val="auto"/>
          <w:szCs w:val="24"/>
          <w:highlight w:val="none"/>
          <w:lang w:val="en-US" w:eastAsia="zh-CN"/>
        </w:rPr>
        <w:t>；</w:t>
      </w:r>
    </w:p>
    <w:p w14:paraId="4B98F928">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（2）数据采集建设需满足比选人实时数仓的建设要求；</w:t>
      </w:r>
    </w:p>
    <w:p w14:paraId="6DC4A666">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（3）在数据采集时</w:t>
      </w:r>
      <w:r>
        <w:rPr>
          <w:rFonts w:hint="default" w:ascii="Times New Roman" w:hAnsi="Times New Roman" w:cs="Times New Roman"/>
          <w:color w:val="auto"/>
          <w:szCs w:val="24"/>
          <w:highlight w:val="none"/>
          <w:lang w:val="en-US" w:eastAsia="zh-CN"/>
        </w:rPr>
        <w:t>针对</w:t>
      </w:r>
      <w:r>
        <w:rPr>
          <w:rFonts w:hint="eastAsia" w:ascii="Times New Roman" w:hAnsi="Times New Roman" w:cs="Times New Roman"/>
          <w:color w:val="auto"/>
          <w:szCs w:val="24"/>
          <w:highlight w:val="none"/>
          <w:lang w:val="en-US" w:eastAsia="zh-CN"/>
        </w:rPr>
        <w:t>不同类型数据选择合适的存储结构</w:t>
      </w:r>
      <w:r>
        <w:rPr>
          <w:rFonts w:hint="default" w:ascii="Times New Roman" w:hAnsi="Times New Roman" w:cs="Times New Roman"/>
          <w:color w:val="auto"/>
          <w:szCs w:val="24"/>
          <w:highlight w:val="none"/>
          <w:lang w:val="en-US" w:eastAsia="zh-CN"/>
        </w:rPr>
        <w:t>，有效提升存储效率的同时提高不同场景下的查询效率。</w:t>
      </w:r>
    </w:p>
    <w:p w14:paraId="2BC390DA">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主题模型</w:t>
      </w:r>
      <w:r>
        <w:rPr>
          <w:rFonts w:hint="eastAsia" w:ascii="Times New Roman" w:hAnsi="Times New Roman" w:cs="Times New Roman"/>
          <w:b/>
          <w:bCs w:val="0"/>
          <w:color w:val="auto"/>
          <w:highlight w:val="none"/>
          <w:lang w:val="en-US" w:eastAsia="zh-CN"/>
        </w:rPr>
        <w:t>版块</w:t>
      </w:r>
      <w:r>
        <w:rPr>
          <w:rFonts w:hint="default" w:ascii="Times New Roman" w:hAnsi="Times New Roman" w:cs="Times New Roman"/>
          <w:b/>
          <w:bCs w:val="0"/>
          <w:color w:val="auto"/>
          <w:highlight w:val="none"/>
          <w:lang w:val="en-US" w:eastAsia="zh-CN"/>
        </w:rPr>
        <w:t>建设</w:t>
      </w:r>
    </w:p>
    <w:p w14:paraId="22CD1B6A">
      <w:pPr>
        <w:ind w:left="0"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val="en-US" w:eastAsia="zh-CN"/>
        </w:rPr>
        <w:t>参选人需</w:t>
      </w:r>
      <w:r>
        <w:rPr>
          <w:rFonts w:hint="default" w:ascii="Times New Roman" w:hAnsi="Times New Roman" w:cs="Times New Roman"/>
          <w:color w:val="auto"/>
          <w:szCs w:val="24"/>
          <w:highlight w:val="none"/>
          <w:lang w:val="zh-CN" w:eastAsia="zh-CN"/>
        </w:rPr>
        <w:t>调研</w:t>
      </w:r>
      <w:r>
        <w:rPr>
          <w:rFonts w:hint="default" w:ascii="Times New Roman" w:hAnsi="Times New Roman" w:cs="Times New Roman"/>
          <w:color w:val="auto"/>
          <w:szCs w:val="24"/>
          <w:highlight w:val="none"/>
          <w:lang w:val="en-US" w:eastAsia="zh-CN"/>
        </w:rPr>
        <w:t>包括但不限于现有报表、下游供数、客户集市、近三年提数任务、日常运营、领导驾驶舱等需求，采用维度建模方法论新建</w:t>
      </w:r>
      <w:r>
        <w:rPr>
          <w:rFonts w:hint="default" w:ascii="Times New Roman" w:hAnsi="Times New Roman" w:cs="Times New Roman"/>
          <w:color w:val="auto"/>
          <w:szCs w:val="24"/>
          <w:highlight w:val="none"/>
          <w:lang w:val="zh-CN" w:eastAsia="zh-CN"/>
        </w:rPr>
        <w:t>金融行业级</w:t>
      </w:r>
      <w:r>
        <w:rPr>
          <w:rFonts w:hint="default" w:ascii="Times New Roman" w:hAnsi="Times New Roman" w:cs="Times New Roman"/>
          <w:color w:val="auto"/>
          <w:szCs w:val="24"/>
          <w:highlight w:val="none"/>
          <w:lang w:val="en-US" w:eastAsia="zh-CN"/>
        </w:rPr>
        <w:t>模型，</w:t>
      </w:r>
      <w:r>
        <w:rPr>
          <w:rFonts w:hint="default" w:ascii="Times New Roman" w:hAnsi="Times New Roman" w:cs="Times New Roman"/>
          <w:color w:val="auto"/>
          <w:szCs w:val="24"/>
          <w:highlight w:val="none"/>
          <w:lang w:val="zh-CN" w:eastAsia="zh-CN"/>
        </w:rPr>
        <w:t>完成</w:t>
      </w:r>
      <w:r>
        <w:rPr>
          <w:rFonts w:hint="default" w:ascii="Times New Roman" w:hAnsi="Times New Roman" w:cs="Times New Roman"/>
          <w:color w:val="auto"/>
          <w:szCs w:val="24"/>
          <w:highlight w:val="none"/>
          <w:lang w:val="en-US" w:eastAsia="zh-CN"/>
        </w:rPr>
        <w:t>包括但不限于</w:t>
      </w:r>
      <w:r>
        <w:rPr>
          <w:rFonts w:hint="default" w:ascii="Times New Roman" w:hAnsi="Times New Roman" w:cs="Times New Roman"/>
          <w:color w:val="auto"/>
          <w:szCs w:val="24"/>
          <w:highlight w:val="none"/>
          <w:lang w:val="zh-CN" w:eastAsia="zh-CN"/>
        </w:rPr>
        <w:t>逻辑模型设计、数据映射、物理模型</w:t>
      </w:r>
      <w:r>
        <w:rPr>
          <w:rFonts w:hint="default" w:ascii="Times New Roman" w:hAnsi="Times New Roman" w:cs="Times New Roman"/>
          <w:color w:val="auto"/>
          <w:szCs w:val="24"/>
          <w:highlight w:val="none"/>
          <w:lang w:val="en-US" w:eastAsia="zh-CN"/>
        </w:rPr>
        <w:t>等设计工作</w:t>
      </w:r>
      <w:r>
        <w:rPr>
          <w:rFonts w:hint="default" w:ascii="Times New Roman" w:hAnsi="Times New Roman" w:cs="Times New Roman"/>
          <w:color w:val="auto"/>
          <w:szCs w:val="24"/>
          <w:highlight w:val="none"/>
          <w:lang w:val="zh-CN" w:eastAsia="zh-CN"/>
        </w:rPr>
        <w:t>。</w:t>
      </w:r>
      <w:r>
        <w:rPr>
          <w:rFonts w:hint="default" w:ascii="Times New Roman" w:hAnsi="Times New Roman" w:cs="Times New Roman"/>
          <w:color w:val="auto"/>
          <w:szCs w:val="24"/>
          <w:highlight w:val="none"/>
          <w:lang w:val="en-US" w:eastAsia="zh-CN"/>
        </w:rPr>
        <w:t>主题模型需覆盖我行全部业务范围以支撑各下游系统的数据需求，并满足后续各应用系统及数据集市的使用。主题模型建设要求应包括但不限于：</w:t>
      </w:r>
    </w:p>
    <w:p w14:paraId="0B271DC5">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模型需参照行内数据治理提供的十大主题模型分类进行建设，即当事人、产品、协议、事件、资产、财务、机构、地域、营销、渠道。每个主题的内容如下，但具体建设的模型分类和数量以实际建设内容为准：</w:t>
      </w:r>
    </w:p>
    <w:p w14:paraId="05CBECFC">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当事人主题：包含比选人所服务的和感兴趣进行分析的任意对象，如</w:t>
      </w:r>
      <w:r>
        <w:rPr>
          <w:rFonts w:hint="default" w:ascii="Times New Roman" w:hAnsi="Times New Roman" w:cs="Times New Roman"/>
          <w:color w:val="auto"/>
          <w:highlight w:val="none"/>
        </w:rPr>
        <w:t>登记注册开立账户的单位、个人客户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业务往来的其他金融机构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行内员工</w:t>
      </w:r>
      <w:r>
        <w:rPr>
          <w:rFonts w:hint="default" w:ascii="Times New Roman" w:hAnsi="Times New Roman" w:cs="Times New Roman"/>
          <w:color w:val="auto"/>
          <w:highlight w:val="none"/>
          <w:lang w:val="en-US" w:eastAsia="zh-CN"/>
        </w:rPr>
        <w:t>等；</w:t>
      </w:r>
    </w:p>
    <w:p w14:paraId="385FD8C1">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产品主题：包含比选人向用户销售的或提供给客户所使用的各类金融产品和服务，如存款、贷款、理财、贵金属、债券等；</w:t>
      </w:r>
    </w:p>
    <w:p w14:paraId="52CD8CD6">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协议主题：包含比选人与客户签订的各种形式的协议，如分户账、贷款账户、内部账户、贷款合同与借据、存款账户、理财账户、</w:t>
      </w:r>
      <w:r>
        <w:rPr>
          <w:rFonts w:hint="default" w:ascii="Times New Roman" w:hAnsi="Times New Roman" w:cs="Times New Roman"/>
          <w:color w:val="auto"/>
          <w:szCs w:val="24"/>
          <w:highlight w:val="none"/>
        </w:rPr>
        <w:t>债券交易、同业拆借协议</w:t>
      </w:r>
      <w:r>
        <w:rPr>
          <w:rFonts w:hint="default" w:ascii="Times New Roman" w:hAnsi="Times New Roman" w:cs="Times New Roman"/>
          <w:color w:val="auto"/>
          <w:szCs w:val="24"/>
          <w:highlight w:val="none"/>
          <w:lang w:val="en-US" w:eastAsia="zh-CN"/>
        </w:rPr>
        <w:t>等；</w:t>
      </w:r>
    </w:p>
    <w:p w14:paraId="7392331C">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事件主题：</w:t>
      </w:r>
      <w:r>
        <w:rPr>
          <w:rFonts w:hint="default" w:ascii="Times New Roman" w:hAnsi="Times New Roman" w:cs="Times New Roman"/>
          <w:color w:val="auto"/>
          <w:highlight w:val="none"/>
        </w:rPr>
        <w:t>包含</w:t>
      </w:r>
      <w:r>
        <w:rPr>
          <w:rFonts w:hint="default" w:ascii="Times New Roman" w:hAnsi="Times New Roman" w:cs="Times New Roman"/>
          <w:color w:val="auto"/>
          <w:highlight w:val="none"/>
          <w:lang w:val="en-US" w:eastAsia="zh-CN"/>
        </w:rPr>
        <w:t>比选人跟业务开展</w:t>
      </w:r>
      <w:r>
        <w:rPr>
          <w:rFonts w:hint="default" w:ascii="Times New Roman" w:hAnsi="Times New Roman" w:cs="Times New Roman"/>
          <w:color w:val="auto"/>
          <w:highlight w:val="none"/>
        </w:rPr>
        <w:t>相关的任何动作的记录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如存款交易</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贷款交易、业务查询交易等；</w:t>
      </w:r>
    </w:p>
    <w:p w14:paraId="10366963">
      <w:pPr>
        <w:ind w:left="0" w:firstLine="480" w:firstLineChars="20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资产主题：包含比选人所有客户的各类资产信息，如客户的存款信息、贷款信息、理财信息、贵金属持有信息等；</w:t>
      </w:r>
    </w:p>
    <w:p w14:paraId="385E5979">
      <w:pPr>
        <w:ind w:left="0" w:firstLine="480" w:firstLineChars="20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财务主题：包含全行的财务相关信息，收集并整合科目组织、控制、内部核算等银行核心科目账务以及预算管理有关内容；</w:t>
      </w:r>
    </w:p>
    <w:p w14:paraId="017D8141">
      <w:pPr>
        <w:ind w:left="0" w:firstLine="480" w:firstLineChars="20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机构主题：包括全行的内部组织和业务单元，如分行、支行、部门等账务机构和管理机构、各业务系统出于统计分析或管理目的设立的虚拟机构等；</w:t>
      </w:r>
    </w:p>
    <w:p w14:paraId="0BA1D52F">
      <w:pPr>
        <w:ind w:left="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lang w:val="en-US" w:eastAsia="zh-CN"/>
        </w:rPr>
        <w:t>地域主题：包括比选人</w:t>
      </w:r>
      <w:r>
        <w:rPr>
          <w:rFonts w:hint="default" w:ascii="Times New Roman" w:hAnsi="Times New Roman" w:cs="Times New Roman"/>
          <w:color w:val="auto"/>
          <w:highlight w:val="none"/>
        </w:rPr>
        <w:t>希望观察和分析的任何区域</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w:t>
      </w:r>
      <w:r>
        <w:rPr>
          <w:rFonts w:hint="default" w:ascii="Times New Roman" w:hAnsi="Times New Roman" w:cs="Times New Roman"/>
          <w:color w:val="auto"/>
          <w:highlight w:val="none"/>
        </w:rPr>
        <w:t>传统类型的地址信息（如国家、地区、城市、区县、街道等）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电子地址、邮箱等信息</w:t>
      </w:r>
      <w:r>
        <w:rPr>
          <w:rFonts w:hint="default" w:ascii="Times New Roman" w:hAnsi="Times New Roman" w:cs="Times New Roman"/>
          <w:color w:val="auto"/>
          <w:highlight w:val="none"/>
          <w:lang w:eastAsia="zh-CN"/>
        </w:rPr>
        <w:t>；</w:t>
      </w:r>
    </w:p>
    <w:p w14:paraId="7259F608">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营销主题：包括用于记录针对客户所做的宣传、促销等活动的相关信息，如</w:t>
      </w:r>
      <w:r>
        <w:rPr>
          <w:rFonts w:hint="default" w:ascii="Times New Roman" w:hAnsi="Times New Roman" w:cs="Times New Roman"/>
          <w:color w:val="auto"/>
          <w:highlight w:val="none"/>
        </w:rPr>
        <w:t>营销计划、营销活动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实施信息</w:t>
      </w:r>
      <w:r>
        <w:rPr>
          <w:rFonts w:hint="default" w:ascii="Times New Roman" w:hAnsi="Times New Roman" w:cs="Times New Roman"/>
          <w:color w:val="auto"/>
          <w:highlight w:val="none"/>
          <w:lang w:val="en-US" w:eastAsia="zh-CN"/>
        </w:rPr>
        <w:t>和营销结果等；</w:t>
      </w:r>
    </w:p>
    <w:p w14:paraId="588A2E16">
      <w:pPr>
        <w:ind w:left="0" w:firstLine="480" w:firstLineChars="20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渠道主题：包括客户通过与银行进行接触、购买产品、使用服务并交流信息的所有渠道，如ATM、柜面、电话、个人网银、企业网银、手机银行等；</w:t>
      </w:r>
    </w:p>
    <w:p w14:paraId="2A090261">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模型需精准反映业务的真实状况，指标口径明确、数据准确；</w:t>
      </w:r>
    </w:p>
    <w:p w14:paraId="35586A87">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模型需严格按照数据治理要求进行落标，实现包括但不限于性别、国籍、行业等所有码值的标准化落地；</w:t>
      </w:r>
    </w:p>
    <w:p w14:paraId="7AD4DF64">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支持模型任务重跑，在不同时间多次运行的结果不变；</w:t>
      </w:r>
    </w:p>
    <w:p w14:paraId="3972988F">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能够灵活适应业务发展变化和规模增长，建立核心模型和扩展模型体系。核心模型字段支持常用的核心业务，扩展模型字段支持个性化或者少量应用的需要，确保核心模型的简洁性和可维护性，扩展模型的便捷性；</w:t>
      </w:r>
    </w:p>
    <w:p w14:paraId="739984C4">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模型具备清晰的结构和易于理解的逻辑、合理的层次划分，命名清晰、可理解，将复杂的业务概念转化为简洁明了的模型术语，易于数据消费者理解和使用；</w:t>
      </w:r>
    </w:p>
    <w:p w14:paraId="3543B5B1">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模型设计要充分考虑数据的存储和查询效率，通过合理建立索引、分区表等技术手段，优化数据的组织和存储方式，提高数据查询效率；</w:t>
      </w:r>
    </w:p>
    <w:p w14:paraId="0224F168">
      <w:pPr>
        <w:keepNext w:val="0"/>
        <w:keepLines w:val="0"/>
        <w:widowControl/>
        <w:numPr>
          <w:ilvl w:val="0"/>
          <w:numId w:val="13"/>
        </w:numPr>
        <w:suppressLineNumbers w:val="0"/>
        <w:jc w:val="left"/>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建立数据质量的监控和治理机制，确保模型中的数据符合比选人数据质量要求，对重复数据、缺失值、异常值等进行检测和处理。</w:t>
      </w:r>
    </w:p>
    <w:p w14:paraId="1A54242D">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应用集市</w:t>
      </w:r>
      <w:r>
        <w:rPr>
          <w:rFonts w:hint="eastAsia" w:ascii="Times New Roman" w:hAnsi="Times New Roman" w:cs="Times New Roman"/>
          <w:b/>
          <w:bCs w:val="0"/>
          <w:color w:val="auto"/>
          <w:highlight w:val="none"/>
          <w:lang w:val="en-US" w:eastAsia="zh-CN"/>
        </w:rPr>
        <w:t>版块</w:t>
      </w:r>
      <w:r>
        <w:rPr>
          <w:rFonts w:hint="default" w:ascii="Times New Roman" w:hAnsi="Times New Roman" w:cs="Times New Roman"/>
          <w:b/>
          <w:bCs w:val="0"/>
          <w:color w:val="auto"/>
          <w:highlight w:val="none"/>
          <w:lang w:val="en-US" w:eastAsia="zh-CN"/>
        </w:rPr>
        <w:t>建设</w:t>
      </w:r>
    </w:p>
    <w:p w14:paraId="17FA5C9A">
      <w:pPr>
        <w:numPr>
          <w:ilvl w:val="0"/>
          <w:numId w:val="0"/>
        </w:numPr>
        <w:ind w:left="0" w:leftChars="0"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val="en-US" w:eastAsia="zh-CN"/>
        </w:rPr>
        <w:t>参选人</w:t>
      </w:r>
      <w:r>
        <w:rPr>
          <w:rFonts w:hint="eastAsia" w:ascii="Times New Roman" w:hAnsi="Times New Roman" w:cs="Times New Roman"/>
          <w:color w:val="auto"/>
          <w:szCs w:val="24"/>
          <w:highlight w:val="none"/>
          <w:lang w:val="en-US" w:eastAsia="zh-CN"/>
        </w:rPr>
        <w:t>需参考业务应用集市建设的最佳实践并结合</w:t>
      </w:r>
      <w:r>
        <w:rPr>
          <w:rFonts w:hint="default" w:ascii="Times New Roman" w:hAnsi="Times New Roman" w:cs="Times New Roman"/>
          <w:color w:val="auto"/>
          <w:szCs w:val="24"/>
          <w:highlight w:val="none"/>
          <w:lang w:val="en-US" w:eastAsia="zh-CN"/>
        </w:rPr>
        <w:t>比选人</w:t>
      </w:r>
      <w:r>
        <w:rPr>
          <w:rFonts w:hint="eastAsia" w:ascii="Times New Roman" w:hAnsi="Times New Roman" w:cs="Times New Roman"/>
          <w:color w:val="auto"/>
          <w:szCs w:val="24"/>
          <w:highlight w:val="none"/>
          <w:lang w:val="en-US" w:eastAsia="zh-CN"/>
        </w:rPr>
        <w:t>实际业务需求</w:t>
      </w:r>
      <w:r>
        <w:rPr>
          <w:rFonts w:hint="default" w:ascii="Times New Roman" w:hAnsi="Times New Roman" w:cs="Times New Roman"/>
          <w:color w:val="auto"/>
          <w:szCs w:val="24"/>
          <w:highlight w:val="none"/>
        </w:rPr>
        <w:t>建立</w:t>
      </w:r>
      <w:r>
        <w:rPr>
          <w:rFonts w:hint="default" w:ascii="Times New Roman" w:hAnsi="Times New Roman" w:cs="Times New Roman"/>
          <w:color w:val="auto"/>
          <w:szCs w:val="24"/>
          <w:highlight w:val="none"/>
          <w:lang w:val="en-US" w:eastAsia="zh-CN"/>
        </w:rPr>
        <w:t>常用集市</w:t>
      </w:r>
      <w:r>
        <w:rPr>
          <w:rFonts w:hint="default" w:ascii="Times New Roman" w:hAnsi="Times New Roman" w:cs="Times New Roman"/>
          <w:color w:val="auto"/>
          <w:szCs w:val="24"/>
          <w:highlight w:val="none"/>
        </w:rPr>
        <w:t>，为特定数据使用人群及</w:t>
      </w:r>
      <w:r>
        <w:rPr>
          <w:rFonts w:hint="default" w:ascii="Times New Roman" w:hAnsi="Times New Roman" w:cs="Times New Roman"/>
          <w:color w:val="auto"/>
          <w:szCs w:val="24"/>
          <w:highlight w:val="none"/>
          <w:lang w:val="en-US" w:eastAsia="zh-CN"/>
        </w:rPr>
        <w:t>下游</w:t>
      </w:r>
      <w:r>
        <w:rPr>
          <w:rFonts w:hint="default" w:ascii="Times New Roman" w:hAnsi="Times New Roman" w:cs="Times New Roman"/>
          <w:color w:val="auto"/>
          <w:szCs w:val="24"/>
          <w:highlight w:val="none"/>
        </w:rPr>
        <w:t>应用提供快速、灵活的数据服务。</w:t>
      </w:r>
      <w:r>
        <w:rPr>
          <w:rFonts w:hint="eastAsia" w:ascii="Times New Roman" w:hAnsi="Times New Roman" w:cs="Times New Roman"/>
          <w:color w:val="auto"/>
          <w:szCs w:val="24"/>
          <w:highlight w:val="none"/>
          <w:lang w:val="en-US" w:eastAsia="zh-CN"/>
        </w:rPr>
        <w:t>参选人应建设的应用集市包括如下内容，但具体集市名称、划分和建设内容以项目实际调研情况和业务需求为准</w:t>
      </w:r>
      <w:r>
        <w:rPr>
          <w:rFonts w:hint="default" w:ascii="Times New Roman" w:hAnsi="Times New Roman" w:cs="Times New Roman"/>
          <w:color w:val="auto"/>
          <w:szCs w:val="24"/>
          <w:highlight w:val="none"/>
        </w:rPr>
        <w:t>：</w:t>
      </w:r>
    </w:p>
    <w:p w14:paraId="475E0682">
      <w:pPr>
        <w:keepNext w:val="0"/>
        <w:keepLines w:val="0"/>
        <w:widowControl/>
        <w:numPr>
          <w:ilvl w:val="0"/>
          <w:numId w:val="0"/>
        </w:numPr>
        <w:suppressLineNumbers w:val="0"/>
        <w:ind w:firstLine="482" w:firstLineChars="200"/>
        <w:jc w:val="left"/>
        <w:rPr>
          <w:rFonts w:hint="default"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（1）查询分析相关集市</w:t>
      </w:r>
    </w:p>
    <w:p w14:paraId="3D1ACA9A">
      <w:pPr>
        <w:keepNext w:val="0"/>
        <w:keepLines w:val="0"/>
        <w:widowControl/>
        <w:numPr>
          <w:ilvl w:val="0"/>
          <w:numId w:val="0"/>
        </w:numPr>
        <w:suppressLineNumbers w:val="0"/>
        <w:ind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1）驾驶舱集市</w:t>
      </w:r>
    </w:p>
    <w:p w14:paraId="412DCEC3">
      <w:pPr>
        <w:keepNext w:val="0"/>
        <w:keepLines w:val="0"/>
        <w:widowControl/>
        <w:numPr>
          <w:ilvl w:val="0"/>
          <w:numId w:val="0"/>
        </w:numPr>
        <w:suppressLineNumbers w:val="0"/>
        <w:ind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驾驶舱集市需将内部及外部的关键业务指标进行统一加工整合，实现数据实时采集、加工、计算，如总体业务状况、经营效益情况、业务条线经营情况、同业经营状况等，服务于领导驾驶舱、贷后管理驾驶舱等数据应用，便于管理层更精准、迅速地洞悉全行的运营状况和市场动态，从而指导业务经营。</w:t>
      </w:r>
    </w:p>
    <w:p w14:paraId="1F068F64">
      <w:pPr>
        <w:keepNext w:val="0"/>
        <w:keepLines w:val="0"/>
        <w:widowControl/>
        <w:numPr>
          <w:ilvl w:val="0"/>
          <w:numId w:val="0"/>
        </w:numPr>
        <w:suppressLineNumbers w:val="0"/>
        <w:ind w:firstLine="480" w:firstLineChars="20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2）报表集市</w:t>
      </w:r>
    </w:p>
    <w:p w14:paraId="1AA4409D">
      <w:pPr>
        <w:keepNext w:val="0"/>
        <w:keepLines w:val="0"/>
        <w:widowControl/>
        <w:numPr>
          <w:ilvl w:val="0"/>
          <w:numId w:val="0"/>
        </w:numPr>
        <w:suppressLineNumbers w:val="0"/>
        <w:ind w:firstLine="480" w:firstLineChars="200"/>
        <w:jc w:val="left"/>
        <w:rPr>
          <w:rFonts w:hint="eastAsia"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针</w:t>
      </w:r>
      <w:r>
        <w:rPr>
          <w:rFonts w:hint="eastAsia" w:ascii="Times New Roman" w:hAnsi="Times New Roman" w:cs="Times New Roman"/>
          <w:color w:val="auto"/>
          <w:szCs w:val="24"/>
          <w:highlight w:val="none"/>
          <w:lang w:val="en-US" w:eastAsia="zh-CN"/>
        </w:rPr>
        <w:t>对</w:t>
      </w:r>
      <w:r>
        <w:rPr>
          <w:rFonts w:hint="default" w:ascii="Times New Roman" w:hAnsi="Times New Roman" w:cs="Times New Roman"/>
          <w:color w:val="auto"/>
          <w:szCs w:val="24"/>
          <w:highlight w:val="none"/>
          <w:lang w:val="en-US" w:eastAsia="zh-CN"/>
        </w:rPr>
        <w:t>业务报表</w:t>
      </w:r>
      <w:r>
        <w:rPr>
          <w:rFonts w:hint="eastAsia" w:ascii="Times New Roman" w:hAnsi="Times New Roman" w:cs="Times New Roman"/>
          <w:color w:val="auto"/>
          <w:szCs w:val="24"/>
          <w:highlight w:val="none"/>
          <w:lang w:val="en-US" w:eastAsia="zh-CN"/>
        </w:rPr>
        <w:t>、数据提取等需求</w:t>
      </w:r>
      <w:r>
        <w:rPr>
          <w:rFonts w:hint="default" w:ascii="Times New Roman" w:hAnsi="Times New Roman" w:cs="Times New Roman"/>
          <w:color w:val="auto"/>
          <w:szCs w:val="24"/>
          <w:highlight w:val="none"/>
          <w:lang w:val="en-US" w:eastAsia="zh-CN"/>
        </w:rPr>
        <w:t>涉及到的业务范围、业务数据等方面进行全面梳理分析，</w:t>
      </w:r>
      <w:r>
        <w:rPr>
          <w:rFonts w:hint="eastAsia" w:ascii="Times New Roman" w:hAnsi="Times New Roman" w:cs="Times New Roman"/>
          <w:color w:val="auto"/>
          <w:szCs w:val="24"/>
          <w:highlight w:val="none"/>
          <w:lang w:val="en-US" w:eastAsia="zh-CN"/>
        </w:rPr>
        <w:t>完成</w:t>
      </w:r>
      <w:r>
        <w:rPr>
          <w:rFonts w:hint="default" w:ascii="Times New Roman" w:hAnsi="Times New Roman" w:cs="Times New Roman"/>
          <w:color w:val="auto"/>
          <w:szCs w:val="24"/>
          <w:highlight w:val="none"/>
          <w:lang w:val="en-US" w:eastAsia="zh-CN"/>
        </w:rPr>
        <w:t>维度和度量设计，建立报表常用指标体系</w:t>
      </w:r>
      <w:r>
        <w:rPr>
          <w:rFonts w:hint="eastAsia" w:ascii="Times New Roman" w:hAnsi="Times New Roman" w:cs="Times New Roman"/>
          <w:color w:val="auto"/>
          <w:szCs w:val="24"/>
          <w:highlight w:val="none"/>
          <w:lang w:val="en-US" w:eastAsia="zh-CN"/>
        </w:rPr>
        <w:t>，</w:t>
      </w:r>
      <w:r>
        <w:rPr>
          <w:rFonts w:hint="default" w:ascii="Times New Roman" w:hAnsi="Times New Roman" w:cs="Times New Roman"/>
          <w:color w:val="auto"/>
          <w:szCs w:val="24"/>
          <w:highlight w:val="none"/>
          <w:lang w:val="en-US" w:eastAsia="zh-CN"/>
        </w:rPr>
        <w:t>构建</w:t>
      </w:r>
      <w:r>
        <w:rPr>
          <w:rFonts w:hint="eastAsia" w:ascii="Times New Roman" w:hAnsi="Times New Roman" w:cs="Times New Roman"/>
          <w:color w:val="auto"/>
          <w:szCs w:val="24"/>
          <w:highlight w:val="none"/>
          <w:lang w:val="en-US" w:eastAsia="zh-CN"/>
        </w:rPr>
        <w:t>包括存款、贷款、客户、理财、产品、机构、信用风险、反洗钱等主题的</w:t>
      </w:r>
      <w:r>
        <w:rPr>
          <w:rFonts w:hint="default" w:ascii="Times New Roman" w:hAnsi="Times New Roman" w:cs="Times New Roman"/>
          <w:color w:val="auto"/>
          <w:szCs w:val="24"/>
          <w:highlight w:val="none"/>
          <w:lang w:val="en-US" w:eastAsia="zh-CN"/>
        </w:rPr>
        <w:t>多维数据模型以支持报表查询</w:t>
      </w:r>
      <w:r>
        <w:rPr>
          <w:rFonts w:hint="eastAsia" w:ascii="Times New Roman" w:hAnsi="Times New Roman" w:cs="Times New Roman"/>
          <w:color w:val="auto"/>
          <w:szCs w:val="24"/>
          <w:highlight w:val="none"/>
          <w:lang w:val="en-US" w:eastAsia="zh-CN"/>
        </w:rPr>
        <w:t>、大屏展示和</w:t>
      </w:r>
      <w:r>
        <w:rPr>
          <w:rFonts w:hint="default" w:ascii="Times New Roman" w:hAnsi="Times New Roman" w:cs="Times New Roman"/>
          <w:color w:val="auto"/>
          <w:szCs w:val="24"/>
          <w:highlight w:val="none"/>
          <w:lang w:val="en-US" w:eastAsia="zh-CN"/>
        </w:rPr>
        <w:t>业务自助分析</w:t>
      </w:r>
      <w:r>
        <w:rPr>
          <w:rFonts w:hint="eastAsia" w:ascii="Times New Roman" w:hAnsi="Times New Roman" w:cs="Times New Roman"/>
          <w:color w:val="auto"/>
          <w:szCs w:val="24"/>
          <w:highlight w:val="none"/>
          <w:lang w:val="en-US" w:eastAsia="zh-CN"/>
        </w:rPr>
        <w:t>。</w:t>
      </w:r>
    </w:p>
    <w:p w14:paraId="497C2CC0">
      <w:pPr>
        <w:keepNext w:val="0"/>
        <w:keepLines w:val="0"/>
        <w:widowControl/>
        <w:numPr>
          <w:ilvl w:val="0"/>
          <w:numId w:val="0"/>
        </w:numPr>
        <w:suppressLineNumbers w:val="0"/>
        <w:ind w:firstLine="482" w:firstLineChars="200"/>
        <w:jc w:val="left"/>
        <w:rPr>
          <w:rFonts w:hint="default" w:ascii="Times New Roman" w:hAnsi="Times New Roman" w:cs="Times New Roman"/>
          <w:b/>
          <w:bCs/>
          <w:color w:val="auto"/>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（2）</w:t>
      </w:r>
      <w:r>
        <w:rPr>
          <w:rFonts w:hint="eastAsia" w:ascii="Times New Roman" w:hAnsi="Times New Roman" w:cs="Times New Roman"/>
          <w:b/>
          <w:bCs/>
          <w:color w:val="auto"/>
          <w:szCs w:val="24"/>
          <w:highlight w:val="none"/>
          <w:lang w:val="en-US" w:eastAsia="zh-CN"/>
        </w:rPr>
        <w:t>客户营销相关集市</w:t>
      </w:r>
    </w:p>
    <w:p w14:paraId="4A2E7E5C">
      <w:pPr>
        <w:keepNext w:val="0"/>
        <w:keepLines w:val="0"/>
        <w:widowControl/>
        <w:numPr>
          <w:ilvl w:val="0"/>
          <w:numId w:val="0"/>
        </w:numPr>
        <w:suppressLineNumbers w:val="0"/>
        <w:ind w:firstLine="480" w:firstLineChars="200"/>
        <w:jc w:val="left"/>
        <w:rPr>
          <w:rFonts w:hint="eastAsia"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1）零售客户营销集市</w:t>
      </w:r>
    </w:p>
    <w:p w14:paraId="509BFAB4">
      <w:pPr>
        <w:keepNext w:val="0"/>
        <w:keepLines w:val="0"/>
        <w:widowControl/>
        <w:suppressLineNumbers w:val="0"/>
        <w:jc w:val="left"/>
        <w:rPr>
          <w:rFonts w:hint="default" w:ascii="Times New Roman" w:hAnsi="Times New Roman" w:cs="Times New Roman"/>
          <w:b/>
          <w:bCs/>
          <w:color w:val="auto"/>
          <w:szCs w:val="24"/>
          <w:highlight w:val="none"/>
          <w:lang w:val="en-US" w:eastAsia="zh-CN"/>
        </w:rPr>
      </w:pPr>
      <w:r>
        <w:rPr>
          <w:rFonts w:hint="eastAsia" w:ascii="Times New Roman" w:hAnsi="Times New Roman" w:cs="Times New Roman"/>
          <w:color w:val="auto"/>
          <w:szCs w:val="24"/>
          <w:highlight w:val="none"/>
          <w:lang w:val="en-US" w:eastAsia="zh-CN"/>
        </w:rPr>
        <w:t>零售客户营销集市根据业务提供的指标与口径，整合来自不同渠道的零售客户数据，以零售客户为维度形成一个全面的零售客户营销数据视图，如基本信息、存贷款信息、交易信息、营销信息等，提供准确、一致和可靠的零售客户数据。集市建设需满足包括但不限于标签管理平台、个人客户数字营销平台等系统对零售客户信息管理、客户分析、营销支持、客户互动与服务等数据需求。</w:t>
      </w:r>
    </w:p>
    <w:p w14:paraId="33533B60">
      <w:pPr>
        <w:keepNext w:val="0"/>
        <w:keepLines w:val="0"/>
        <w:pageBreakBefore w:val="0"/>
        <w:widowControl/>
        <w:numPr>
          <w:ilvl w:val="0"/>
          <w:numId w:val="0"/>
        </w:numPr>
        <w:suppressLineNumbers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kern w:val="2"/>
          <w:sz w:val="24"/>
          <w:szCs w:val="24"/>
          <w:highlight w:val="none"/>
          <w:lang w:val="en-US" w:eastAsia="zh-CN" w:bidi="ar-SA"/>
        </w:rPr>
        <w:t>2</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szCs w:val="24"/>
          <w:highlight w:val="none"/>
          <w:lang w:val="en-US" w:eastAsia="zh-CN"/>
        </w:rPr>
        <w:t>对公客户营销集市</w:t>
      </w:r>
    </w:p>
    <w:p w14:paraId="101594E4">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对公客户营销集市需整合全行公司客户相关的包括账户、产品持有、风险评级、财务信息、资金交易等行内外数据，建设全行对公类应用及服务的基础数据集市，服务于公司条线的营销、风控、运营管理等领域。集市建设需梳理加工对公业务指标体系，确保数据的全面性和准确性，支撑标签管理平台、阵地营销平台等系统，为其提供基础数据和加工数据支持。</w:t>
      </w:r>
    </w:p>
    <w:p w14:paraId="757153C0">
      <w:pPr>
        <w:keepNext w:val="0"/>
        <w:keepLines w:val="0"/>
        <w:widowControl/>
        <w:numPr>
          <w:ilvl w:val="0"/>
          <w:numId w:val="0"/>
        </w:numPr>
        <w:suppressLineNumbers w:val="0"/>
        <w:ind w:firstLine="480" w:firstLineChars="200"/>
        <w:jc w:val="left"/>
        <w:rPr>
          <w:rFonts w:hint="default"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3）商户客户营销集市</w:t>
      </w:r>
    </w:p>
    <w:p w14:paraId="295BC035">
      <w:pPr>
        <w:keepNext w:val="0"/>
        <w:keepLines w:val="0"/>
        <w:widowControl/>
        <w:suppressLineNumbers w:val="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商户客户营销集市需整合全行所有收单商户的内外部数据，包括但不限于商户基础信息、交易流水、产品持有信息等，形成以商户为主维度的营销集市。集市建设需满足商户管理驾驶舱、标签管理平台等系统的展示、运营、分析以及营销的用数需求。</w:t>
      </w:r>
    </w:p>
    <w:p w14:paraId="0E809591">
      <w:pPr>
        <w:keepNext w:val="0"/>
        <w:keepLines w:val="0"/>
        <w:widowControl/>
        <w:numPr>
          <w:ilvl w:val="0"/>
          <w:numId w:val="0"/>
        </w:numPr>
        <w:suppressLineNumbers w:val="0"/>
        <w:ind w:firstLine="482" w:firstLineChars="200"/>
        <w:jc w:val="left"/>
        <w:rPr>
          <w:rFonts w:hint="default"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（3）风险管理相关集市</w:t>
      </w:r>
    </w:p>
    <w:p w14:paraId="552A1763">
      <w:pPr>
        <w:keepNext w:val="0"/>
        <w:keepLines w:val="0"/>
        <w:widowControl/>
        <w:numPr>
          <w:ilvl w:val="0"/>
          <w:numId w:val="0"/>
        </w:numPr>
        <w:suppressLineNumbers w:val="0"/>
        <w:ind w:firstLine="480" w:firstLineChars="200"/>
        <w:jc w:val="left"/>
        <w:rPr>
          <w:rFonts w:hint="default"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1）操作</w:t>
      </w:r>
      <w:r>
        <w:rPr>
          <w:rFonts w:hint="default" w:ascii="Times New Roman" w:hAnsi="Times New Roman" w:cs="Times New Roman"/>
          <w:b w:val="0"/>
          <w:bCs w:val="0"/>
          <w:color w:val="auto"/>
          <w:szCs w:val="24"/>
          <w:highlight w:val="none"/>
          <w:lang w:val="en-US" w:eastAsia="zh-CN"/>
        </w:rPr>
        <w:t>风险集市</w:t>
      </w:r>
    </w:p>
    <w:p w14:paraId="7C32932A">
      <w:pPr>
        <w:keepNext w:val="0"/>
        <w:keepLines w:val="0"/>
        <w:widowControl/>
        <w:suppressLineNumbers w:val="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操作风险集市</w:t>
      </w:r>
      <w:r>
        <w:rPr>
          <w:rFonts w:hint="default" w:ascii="Times New Roman" w:hAnsi="Times New Roman" w:cs="Times New Roman"/>
          <w:color w:val="auto"/>
          <w:szCs w:val="24"/>
          <w:highlight w:val="none"/>
          <w:lang w:val="en-US" w:eastAsia="zh-CN"/>
        </w:rPr>
        <w:t>聚焦于</w:t>
      </w:r>
      <w:r>
        <w:rPr>
          <w:rFonts w:hint="eastAsia" w:ascii="Times New Roman" w:hAnsi="Times New Roman" w:cs="Times New Roman"/>
          <w:color w:val="auto"/>
          <w:szCs w:val="24"/>
          <w:highlight w:val="none"/>
          <w:lang w:val="en-US" w:eastAsia="zh-CN"/>
        </w:rPr>
        <w:t>操作</w:t>
      </w:r>
      <w:r>
        <w:rPr>
          <w:rFonts w:hint="default" w:ascii="Times New Roman" w:hAnsi="Times New Roman" w:cs="Times New Roman"/>
          <w:color w:val="auto"/>
          <w:szCs w:val="24"/>
          <w:highlight w:val="none"/>
          <w:lang w:val="en-US" w:eastAsia="zh-CN"/>
        </w:rPr>
        <w:t>风险相关的数据，</w:t>
      </w:r>
      <w:r>
        <w:rPr>
          <w:rFonts w:hint="eastAsia" w:ascii="Times New Roman" w:hAnsi="Times New Roman" w:cs="Times New Roman"/>
          <w:color w:val="auto"/>
          <w:szCs w:val="24"/>
          <w:highlight w:val="none"/>
          <w:lang w:val="en-US" w:eastAsia="zh-CN"/>
        </w:rPr>
        <w:t>需将现有操作风险相关指标进行梳理</w:t>
      </w:r>
      <w:r>
        <w:rPr>
          <w:rFonts w:hint="default" w:ascii="Times New Roman" w:hAnsi="Times New Roman" w:cs="Times New Roman"/>
          <w:color w:val="auto"/>
          <w:szCs w:val="24"/>
          <w:highlight w:val="none"/>
          <w:lang w:val="en-US" w:eastAsia="zh-CN"/>
        </w:rPr>
        <w:t>整合</w:t>
      </w:r>
      <w:r>
        <w:rPr>
          <w:rFonts w:hint="eastAsia" w:ascii="Times New Roman" w:hAnsi="Times New Roman" w:cs="Times New Roman"/>
          <w:color w:val="auto"/>
          <w:szCs w:val="24"/>
          <w:highlight w:val="none"/>
          <w:lang w:val="en-US" w:eastAsia="zh-CN"/>
        </w:rPr>
        <w:t>，包括但不限于信贷系统、金融产品代销平台、行内理财销售管理系统、运维管理平台、项目管理平台等系统的操作风险指标，同时结合业务实际需求建立操作风险管理专用集市</w:t>
      </w:r>
      <w:r>
        <w:rPr>
          <w:rFonts w:hint="default" w:ascii="Times New Roman" w:hAnsi="Times New Roman" w:cs="Times New Roman"/>
          <w:color w:val="auto"/>
          <w:szCs w:val="24"/>
          <w:highlight w:val="none"/>
          <w:lang w:val="en-US" w:eastAsia="zh-CN"/>
        </w:rPr>
        <w:t>，</w:t>
      </w:r>
      <w:r>
        <w:rPr>
          <w:rFonts w:hint="eastAsia" w:ascii="Times New Roman" w:hAnsi="Times New Roman" w:cs="Times New Roman"/>
          <w:color w:val="auto"/>
          <w:szCs w:val="24"/>
          <w:highlight w:val="none"/>
          <w:lang w:val="en-US" w:eastAsia="zh-CN"/>
        </w:rPr>
        <w:t>满足操作风险系统高效精准的用数需求，</w:t>
      </w:r>
      <w:r>
        <w:rPr>
          <w:rFonts w:hint="default" w:ascii="Times New Roman" w:hAnsi="Times New Roman" w:cs="Times New Roman"/>
          <w:color w:val="auto"/>
          <w:szCs w:val="24"/>
          <w:highlight w:val="none"/>
          <w:lang w:val="en-US" w:eastAsia="zh-CN"/>
        </w:rPr>
        <w:t>助力相关部门及时掌握</w:t>
      </w:r>
      <w:r>
        <w:rPr>
          <w:rFonts w:hint="eastAsia" w:ascii="Times New Roman" w:hAnsi="Times New Roman" w:cs="Times New Roman"/>
          <w:color w:val="auto"/>
          <w:szCs w:val="24"/>
          <w:highlight w:val="none"/>
          <w:lang w:val="en-US" w:eastAsia="zh-CN"/>
        </w:rPr>
        <w:t>操作</w:t>
      </w:r>
      <w:r>
        <w:rPr>
          <w:rFonts w:hint="default" w:ascii="Times New Roman" w:hAnsi="Times New Roman" w:cs="Times New Roman"/>
          <w:color w:val="auto"/>
          <w:szCs w:val="24"/>
          <w:highlight w:val="none"/>
          <w:lang w:val="en-US" w:eastAsia="zh-CN"/>
        </w:rPr>
        <w:t>风险情况</w:t>
      </w:r>
      <w:r>
        <w:rPr>
          <w:rFonts w:hint="eastAsia" w:ascii="Times New Roman" w:hAnsi="Times New Roman" w:cs="Times New Roman"/>
          <w:color w:val="auto"/>
          <w:szCs w:val="24"/>
          <w:highlight w:val="none"/>
          <w:lang w:val="en-US" w:eastAsia="zh-CN"/>
        </w:rPr>
        <w:t>。</w:t>
      </w:r>
    </w:p>
    <w:p w14:paraId="5851271B">
      <w:pPr>
        <w:keepNext w:val="0"/>
        <w:keepLines w:val="0"/>
        <w:widowControl/>
        <w:suppressLineNumbers w:val="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2）大数据风控集市</w:t>
      </w:r>
    </w:p>
    <w:p w14:paraId="5212AB88">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大数据风控集市需将现有风控变量、贷后预警等指标进行梳理</w:t>
      </w:r>
      <w:r>
        <w:rPr>
          <w:rFonts w:hint="default" w:ascii="Times New Roman" w:hAnsi="Times New Roman" w:cs="Times New Roman"/>
          <w:color w:val="auto"/>
          <w:szCs w:val="24"/>
          <w:highlight w:val="none"/>
          <w:lang w:val="en-US" w:eastAsia="zh-CN"/>
        </w:rPr>
        <w:t>整合</w:t>
      </w:r>
      <w:r>
        <w:rPr>
          <w:rFonts w:hint="eastAsia" w:ascii="Times New Roman" w:hAnsi="Times New Roman" w:cs="Times New Roman"/>
          <w:color w:val="auto"/>
          <w:szCs w:val="24"/>
          <w:highlight w:val="none"/>
          <w:lang w:val="en-US" w:eastAsia="zh-CN"/>
        </w:rPr>
        <w:t>，接入并整合贷款业务的内外部数据，包括但不限于客户信息、申请信息、放款信息、还款信息、逾期信息等行内数据，以及征信、工商等外部数据信息，满足智能信贷风控平台、授信业务管理系统等系统风险控制的用数需求。</w:t>
      </w:r>
    </w:p>
    <w:p w14:paraId="4073AA70">
      <w:pPr>
        <w:keepNext w:val="0"/>
        <w:keepLines w:val="0"/>
        <w:widowControl/>
        <w:numPr>
          <w:ilvl w:val="0"/>
          <w:numId w:val="0"/>
        </w:numPr>
        <w:suppressLineNumbers w:val="0"/>
        <w:ind w:firstLine="482" w:firstLineChars="200"/>
        <w:jc w:val="left"/>
        <w:rPr>
          <w:rFonts w:hint="default"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（4）运营分析相关集市</w:t>
      </w:r>
    </w:p>
    <w:p w14:paraId="4874AE1D">
      <w:pPr>
        <w:keepNext w:val="0"/>
        <w:keepLines w:val="0"/>
        <w:widowControl/>
        <w:numPr>
          <w:ilvl w:val="0"/>
          <w:numId w:val="0"/>
        </w:numPr>
        <w:suppressLineNumbers w:val="0"/>
        <w:ind w:firstLine="480" w:firstLineChars="200"/>
        <w:jc w:val="left"/>
        <w:rPr>
          <w:rFonts w:hint="eastAsia"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1）结算运营集市</w:t>
      </w:r>
    </w:p>
    <w:p w14:paraId="795E30E4">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结算运营</w:t>
      </w:r>
      <w:r>
        <w:rPr>
          <w:rFonts w:hint="eastAsia" w:ascii="Times New Roman" w:hAnsi="Times New Roman" w:cs="Times New Roman"/>
          <w:color w:val="auto"/>
          <w:szCs w:val="24"/>
          <w:highlight w:val="none"/>
          <w:lang w:val="en-US" w:eastAsia="zh-CN"/>
        </w:rPr>
        <w:t>集市需从运营管理相关报表、提数作业等需求出发，全面归纳业务运营指标，整合行内各业务系统的数据，按机构、员工、设备、客户、账户等维度加工形成一系列关于</w:t>
      </w:r>
      <w:r>
        <w:rPr>
          <w:rFonts w:hint="eastAsia" w:ascii="Times New Roman" w:hAnsi="Times New Roman" w:cs="Times New Roman"/>
          <w:b w:val="0"/>
          <w:bCs w:val="0"/>
          <w:color w:val="auto"/>
          <w:szCs w:val="24"/>
          <w:highlight w:val="none"/>
          <w:lang w:val="en-US" w:eastAsia="zh-CN"/>
        </w:rPr>
        <w:t>结算运营</w:t>
      </w:r>
      <w:r>
        <w:rPr>
          <w:rFonts w:hint="eastAsia" w:ascii="Times New Roman" w:hAnsi="Times New Roman" w:cs="Times New Roman"/>
          <w:color w:val="auto"/>
          <w:szCs w:val="24"/>
          <w:highlight w:val="none"/>
          <w:lang w:val="en-US" w:eastAsia="zh-CN"/>
        </w:rPr>
        <w:t>的指标，帮助运营管理条线自助分析日常业务运营的基本情况。</w:t>
      </w:r>
    </w:p>
    <w:p w14:paraId="75FC1174">
      <w:pPr>
        <w:keepNext w:val="0"/>
        <w:keepLines w:val="0"/>
        <w:widowControl/>
        <w:numPr>
          <w:ilvl w:val="0"/>
          <w:numId w:val="0"/>
        </w:numPr>
        <w:suppressLineNumbers w:val="0"/>
        <w:ind w:firstLine="480" w:firstLineChars="200"/>
        <w:jc w:val="left"/>
        <w:rPr>
          <w:rFonts w:hint="default" w:ascii="Times New Roman" w:hAnsi="Times New Roman" w:cs="Times New Roman"/>
          <w:b w:val="0"/>
          <w:bCs w:val="0"/>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2）产品</w:t>
      </w:r>
      <w:r>
        <w:rPr>
          <w:rFonts w:hint="default" w:ascii="Times New Roman" w:hAnsi="Times New Roman" w:cs="Times New Roman"/>
          <w:b w:val="0"/>
          <w:bCs w:val="0"/>
          <w:color w:val="auto"/>
          <w:szCs w:val="24"/>
          <w:highlight w:val="none"/>
          <w:lang w:val="en-US" w:eastAsia="zh-CN"/>
        </w:rPr>
        <w:t>运营集市</w:t>
      </w:r>
    </w:p>
    <w:p w14:paraId="54540BFE">
      <w:pPr>
        <w:keepNext w:val="0"/>
        <w:keepLines w:val="0"/>
        <w:widowControl/>
        <w:suppressLineNumbers w:val="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产品运营集市需全面梳理产品运营相关报表、提数、业务台账等需求，对行内不同的产品按时间、机构等维度</w:t>
      </w:r>
      <w:r>
        <w:rPr>
          <w:rFonts w:hint="default" w:ascii="Times New Roman" w:hAnsi="Times New Roman" w:cs="Times New Roman"/>
          <w:color w:val="auto"/>
          <w:szCs w:val="24"/>
          <w:highlight w:val="none"/>
          <w:lang w:val="en-US" w:eastAsia="zh-CN"/>
        </w:rPr>
        <w:t>加工关键运营指标数据</w:t>
      </w:r>
      <w:r>
        <w:rPr>
          <w:rFonts w:hint="eastAsia" w:ascii="Times New Roman" w:hAnsi="Times New Roman" w:cs="Times New Roman"/>
          <w:color w:val="auto"/>
          <w:szCs w:val="24"/>
          <w:highlight w:val="none"/>
          <w:lang w:val="en-US" w:eastAsia="zh-CN"/>
        </w:rPr>
        <w:t>，如产品销售情况、产品余额情况、产品到期情况等</w:t>
      </w:r>
      <w:r>
        <w:rPr>
          <w:rFonts w:hint="default" w:ascii="Times New Roman" w:hAnsi="Times New Roman" w:cs="Times New Roman"/>
          <w:color w:val="auto"/>
          <w:szCs w:val="24"/>
          <w:highlight w:val="none"/>
          <w:lang w:val="en-US" w:eastAsia="zh-CN"/>
        </w:rPr>
        <w:t>，为</w:t>
      </w:r>
      <w:r>
        <w:rPr>
          <w:rFonts w:hint="eastAsia" w:ascii="Times New Roman" w:hAnsi="Times New Roman" w:cs="Times New Roman"/>
          <w:color w:val="auto"/>
          <w:szCs w:val="24"/>
          <w:highlight w:val="none"/>
          <w:lang w:val="en-US" w:eastAsia="zh-CN"/>
        </w:rPr>
        <w:t>比选人各条线日常产品运营及业务自助分析</w:t>
      </w:r>
      <w:r>
        <w:rPr>
          <w:rFonts w:hint="default" w:ascii="Times New Roman" w:hAnsi="Times New Roman" w:cs="Times New Roman"/>
          <w:color w:val="auto"/>
          <w:szCs w:val="24"/>
          <w:highlight w:val="none"/>
          <w:lang w:val="en-US" w:eastAsia="zh-CN"/>
        </w:rPr>
        <w:t>提供及时</w:t>
      </w:r>
      <w:r>
        <w:rPr>
          <w:rFonts w:hint="eastAsia" w:ascii="Times New Roman" w:hAnsi="Times New Roman" w:cs="Times New Roman"/>
          <w:color w:val="auto"/>
          <w:szCs w:val="24"/>
          <w:highlight w:val="none"/>
          <w:lang w:val="en-US" w:eastAsia="zh-CN"/>
        </w:rPr>
        <w:t>、精准的</w:t>
      </w:r>
      <w:r>
        <w:rPr>
          <w:rFonts w:hint="default" w:ascii="Times New Roman" w:hAnsi="Times New Roman" w:cs="Times New Roman"/>
          <w:color w:val="auto"/>
          <w:szCs w:val="24"/>
          <w:highlight w:val="none"/>
          <w:lang w:val="en-US" w:eastAsia="zh-CN"/>
        </w:rPr>
        <w:t>数据</w:t>
      </w:r>
      <w:r>
        <w:rPr>
          <w:rFonts w:hint="eastAsia" w:ascii="Times New Roman" w:hAnsi="Times New Roman" w:cs="Times New Roman"/>
          <w:color w:val="auto"/>
          <w:szCs w:val="24"/>
          <w:highlight w:val="none"/>
          <w:lang w:val="en-US" w:eastAsia="zh-CN"/>
        </w:rPr>
        <w:t>支撑。</w:t>
      </w:r>
    </w:p>
    <w:p w14:paraId="3C079260">
      <w:pPr>
        <w:keepNext w:val="0"/>
        <w:keepLines w:val="0"/>
        <w:widowControl/>
        <w:numPr>
          <w:ilvl w:val="0"/>
          <w:numId w:val="0"/>
        </w:numPr>
        <w:suppressLineNumbers w:val="0"/>
        <w:ind w:firstLine="482" w:firstLineChars="200"/>
        <w:jc w:val="left"/>
        <w:rPr>
          <w:rFonts w:hint="eastAsia"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（5）业务条线相关集市</w:t>
      </w:r>
    </w:p>
    <w:p w14:paraId="4E66755A">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普惠金融</w:t>
      </w:r>
      <w:r>
        <w:rPr>
          <w:rFonts w:hint="eastAsia" w:ascii="Times New Roman" w:hAnsi="Times New Roman" w:cs="Times New Roman"/>
          <w:color w:val="auto"/>
          <w:szCs w:val="24"/>
          <w:highlight w:val="none"/>
          <w:lang w:val="en-US" w:eastAsia="zh-CN"/>
        </w:rPr>
        <w:t>集市</w:t>
      </w:r>
    </w:p>
    <w:p w14:paraId="349DED63">
      <w:pPr>
        <w:keepNext w:val="0"/>
        <w:keepLines w:val="0"/>
        <w:widowControl/>
        <w:suppressLineNumbers w:val="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普惠金融</w:t>
      </w:r>
      <w:r>
        <w:rPr>
          <w:rFonts w:hint="default" w:ascii="Times New Roman" w:hAnsi="Times New Roman" w:cs="Times New Roman"/>
          <w:color w:val="auto"/>
          <w:szCs w:val="24"/>
          <w:highlight w:val="none"/>
          <w:lang w:val="en-US" w:eastAsia="zh-CN"/>
        </w:rPr>
        <w:t>集市</w:t>
      </w:r>
      <w:r>
        <w:rPr>
          <w:rFonts w:hint="eastAsia" w:ascii="Times New Roman" w:hAnsi="Times New Roman" w:cs="Times New Roman"/>
          <w:color w:val="auto"/>
          <w:szCs w:val="24"/>
          <w:highlight w:val="none"/>
          <w:lang w:val="en-US" w:eastAsia="zh-CN"/>
        </w:rPr>
        <w:t>需按照普惠金融口径</w:t>
      </w:r>
      <w:r>
        <w:rPr>
          <w:rFonts w:hint="default" w:ascii="Times New Roman" w:hAnsi="Times New Roman" w:cs="Times New Roman"/>
          <w:color w:val="auto"/>
          <w:szCs w:val="24"/>
          <w:highlight w:val="none"/>
          <w:lang w:val="en-US" w:eastAsia="zh-CN"/>
        </w:rPr>
        <w:t>整合全行</w:t>
      </w:r>
      <w:r>
        <w:rPr>
          <w:rFonts w:hint="eastAsia" w:ascii="Times New Roman" w:hAnsi="Times New Roman" w:cs="Times New Roman"/>
          <w:color w:val="auto"/>
          <w:szCs w:val="24"/>
          <w:highlight w:val="none"/>
          <w:lang w:val="en-US" w:eastAsia="zh-CN"/>
        </w:rPr>
        <w:t>普惠</w:t>
      </w:r>
      <w:r>
        <w:rPr>
          <w:rFonts w:hint="default" w:ascii="Times New Roman" w:hAnsi="Times New Roman" w:cs="Times New Roman"/>
          <w:color w:val="auto"/>
          <w:szCs w:val="24"/>
          <w:highlight w:val="none"/>
          <w:lang w:val="en-US" w:eastAsia="zh-CN"/>
        </w:rPr>
        <w:t>客户信息及相关业务信息，包括账户、产品持有、风险评级、资金交易等行内外数据，集中加工计算、统一管理服务，支撑</w:t>
      </w:r>
      <w:r>
        <w:rPr>
          <w:rFonts w:hint="eastAsia" w:ascii="Times New Roman" w:hAnsi="Times New Roman" w:cs="Times New Roman"/>
          <w:color w:val="auto"/>
          <w:szCs w:val="24"/>
          <w:highlight w:val="none"/>
          <w:lang w:val="en-US" w:eastAsia="zh-CN"/>
        </w:rPr>
        <w:t>普惠业务营销、</w:t>
      </w:r>
      <w:r>
        <w:rPr>
          <w:rFonts w:hint="default" w:ascii="Times New Roman" w:hAnsi="Times New Roman" w:cs="Times New Roman"/>
          <w:color w:val="auto"/>
          <w:szCs w:val="24"/>
          <w:highlight w:val="none"/>
          <w:lang w:val="en-US" w:eastAsia="zh-CN"/>
        </w:rPr>
        <w:t>风</w:t>
      </w:r>
      <w:r>
        <w:rPr>
          <w:rFonts w:hint="eastAsia" w:ascii="Times New Roman" w:hAnsi="Times New Roman" w:cs="Times New Roman"/>
          <w:color w:val="auto"/>
          <w:szCs w:val="24"/>
          <w:highlight w:val="none"/>
          <w:lang w:val="en-US" w:eastAsia="zh-CN"/>
        </w:rPr>
        <w:t>控</w:t>
      </w:r>
      <w:r>
        <w:rPr>
          <w:rFonts w:hint="default" w:ascii="Times New Roman" w:hAnsi="Times New Roman" w:cs="Times New Roman"/>
          <w:color w:val="auto"/>
          <w:szCs w:val="24"/>
          <w:highlight w:val="none"/>
          <w:lang w:val="en-US" w:eastAsia="zh-CN"/>
        </w:rPr>
        <w:t>变量加工等应用，为</w:t>
      </w:r>
      <w:r>
        <w:rPr>
          <w:rFonts w:hint="eastAsia" w:ascii="Times New Roman" w:hAnsi="Times New Roman" w:cs="Times New Roman"/>
          <w:color w:val="auto"/>
          <w:szCs w:val="24"/>
          <w:highlight w:val="none"/>
          <w:lang w:val="en-US" w:eastAsia="zh-CN"/>
        </w:rPr>
        <w:t>其</w:t>
      </w:r>
      <w:r>
        <w:rPr>
          <w:rFonts w:hint="default" w:ascii="Times New Roman" w:hAnsi="Times New Roman" w:cs="Times New Roman"/>
          <w:color w:val="auto"/>
          <w:szCs w:val="24"/>
          <w:highlight w:val="none"/>
          <w:lang w:val="en-US" w:eastAsia="zh-CN"/>
        </w:rPr>
        <w:t>提供基础数据和指标数据的支持。</w:t>
      </w:r>
    </w:p>
    <w:p w14:paraId="683BB43F">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2）绿色金融集市</w:t>
      </w:r>
    </w:p>
    <w:p w14:paraId="14940C10">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绿色金融集市需按照绿色金融口径整合相关业务信息，包括绿色金融客户信息、绿色贷款信息等，统计加工绿色金融相关数据，为绿色金融管理系统提供基础数据支持。</w:t>
      </w:r>
    </w:p>
    <w:p w14:paraId="34D45BCB">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3）财务管理集市</w:t>
      </w:r>
    </w:p>
    <w:p w14:paraId="2B90B4A2">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财务管理集市需汇总包括交易、账户、客户、机构、产品、渠道、科目等多层级多维度的财务数据及指标，为财务条线日常决策分析、经营分析等诸多日常分析应用需求提供统一的数据出口。</w:t>
      </w:r>
    </w:p>
    <w:p w14:paraId="3E0372CB">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4）国际结算集市</w:t>
      </w:r>
    </w:p>
    <w:p w14:paraId="712B7B40">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国际结算集市需对现有加工的国际结算的数据进行归纳整合，形成统一、规范的数据集市，为国际结算系统提供加工数据支持。</w:t>
      </w:r>
    </w:p>
    <w:p w14:paraId="649D3B28">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5）稽核审计集市</w:t>
      </w:r>
    </w:p>
    <w:p w14:paraId="7A224005">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稽核审计集市需按照集市统一规范进行管理，将核心系统、信贷系统、金融产品销售平台、项目管理平台、运维管理平台、科技风险监测系统等各系统的数据按需加载到对应数据库中，为稽核审计系统提供数据支持。</w:t>
      </w:r>
    </w:p>
    <w:p w14:paraId="495C8868">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6）监管集市</w:t>
      </w:r>
    </w:p>
    <w:p w14:paraId="48D3E61C">
      <w:pPr>
        <w:keepNext w:val="0"/>
        <w:keepLines w:val="0"/>
        <w:widowControl/>
        <w:numPr>
          <w:ilvl w:val="0"/>
          <w:numId w:val="0"/>
        </w:numPr>
        <w:suppressLineNumbers w:val="0"/>
        <w:ind w:left="0" w:leftChars="0" w:firstLine="480" w:firstLineChars="200"/>
        <w:jc w:val="left"/>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监管集市需按照集市统一规范进行管理，将核心系统、信贷系统、金融产品销售平台等各业务系统的数据和通用数据模型如存款、贷款等主题模型，按需加载到对应数据库中，为监管报送提供数据支持。</w:t>
      </w:r>
    </w:p>
    <w:p w14:paraId="5EA52B35">
      <w:pPr>
        <w:keepNext w:val="0"/>
        <w:keepLines w:val="0"/>
        <w:widowControl/>
        <w:numPr>
          <w:ilvl w:val="0"/>
          <w:numId w:val="0"/>
        </w:numPr>
        <w:suppressLineNumbers w:val="0"/>
        <w:ind w:firstLine="482" w:firstLineChars="200"/>
        <w:jc w:val="left"/>
        <w:rPr>
          <w:rFonts w:hint="default"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（6）下游供数相关集市</w:t>
      </w:r>
    </w:p>
    <w:p w14:paraId="76E14045">
      <w:pPr>
        <w:keepNext w:val="0"/>
        <w:keepLines w:val="0"/>
        <w:widowControl/>
        <w:numPr>
          <w:ilvl w:val="0"/>
          <w:numId w:val="0"/>
        </w:numPr>
        <w:suppressLineNumbers w:val="0"/>
        <w:ind w:left="0" w:leftChars="0" w:firstLine="480" w:firstLineChars="200"/>
        <w:jc w:val="left"/>
        <w:rPr>
          <w:rFonts w:hint="default" w:ascii="Times New Roman" w:hAnsi="Times New Roman" w:cs="Times New Roman"/>
          <w:color w:val="auto"/>
          <w:szCs w:val="24"/>
          <w:highlight w:val="none"/>
          <w:lang w:val="en-US" w:eastAsia="zh-CN"/>
        </w:rPr>
      </w:pPr>
      <w:r>
        <w:rPr>
          <w:rFonts w:hint="eastAsia" w:ascii="Times New Roman" w:hAnsi="Times New Roman" w:cs="Times New Roman"/>
          <w:b w:val="0"/>
          <w:bCs w:val="0"/>
          <w:color w:val="auto"/>
          <w:szCs w:val="24"/>
          <w:highlight w:val="none"/>
          <w:lang w:val="en-US" w:eastAsia="zh-CN"/>
        </w:rPr>
        <w:t>下游供数</w:t>
      </w:r>
      <w:r>
        <w:rPr>
          <w:rFonts w:hint="eastAsia" w:ascii="Times New Roman" w:hAnsi="Times New Roman" w:cs="Times New Roman"/>
          <w:color w:val="auto"/>
          <w:szCs w:val="24"/>
          <w:highlight w:val="none"/>
          <w:lang w:val="en-US" w:eastAsia="zh-CN"/>
        </w:rPr>
        <w:t>相关集市的建设数量与内容需根据所有下游系统供数的情况进行梳理并进行归类提炼，最终形成供数相关集市，确保下游供数由供数相关集市进行统一处理和加工，保证各下游系统供数的统一性、标准性和完整性。</w:t>
      </w:r>
    </w:p>
    <w:p w14:paraId="3E426D7E">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数据服务</w:t>
      </w:r>
      <w:r>
        <w:rPr>
          <w:rFonts w:hint="eastAsia" w:ascii="Times New Roman" w:hAnsi="Times New Roman" w:cs="Times New Roman"/>
          <w:b/>
          <w:bCs w:val="0"/>
          <w:color w:val="auto"/>
          <w:highlight w:val="none"/>
          <w:lang w:val="en-US" w:eastAsia="zh-CN"/>
        </w:rPr>
        <w:t>版块</w:t>
      </w:r>
      <w:r>
        <w:rPr>
          <w:rFonts w:hint="default" w:ascii="Times New Roman" w:hAnsi="Times New Roman" w:cs="Times New Roman"/>
          <w:b/>
          <w:bCs w:val="0"/>
          <w:color w:val="auto"/>
          <w:highlight w:val="none"/>
          <w:lang w:val="en-US" w:eastAsia="zh-CN"/>
        </w:rPr>
        <w:t>建设</w:t>
      </w:r>
    </w:p>
    <w:p w14:paraId="6E94D4C3">
      <w:pPr>
        <w:ind w:left="0" w:firstLine="480" w:firstLineChars="200"/>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参选人需为比选人建设全行</w:t>
      </w:r>
      <w:r>
        <w:rPr>
          <w:rFonts w:hint="default" w:ascii="Times New Roman" w:hAnsi="Times New Roman" w:cs="Times New Roman"/>
          <w:color w:val="auto"/>
          <w:szCs w:val="24"/>
          <w:highlight w:val="none"/>
        </w:rPr>
        <w:t>统一的数据服务</w:t>
      </w:r>
      <w:r>
        <w:rPr>
          <w:rFonts w:hint="eastAsia" w:ascii="Times New Roman" w:hAnsi="Times New Roman" w:cs="Times New Roman"/>
          <w:color w:val="auto"/>
          <w:szCs w:val="24"/>
          <w:highlight w:val="none"/>
          <w:lang w:val="en-US" w:eastAsia="zh-CN"/>
        </w:rPr>
        <w:t>版块</w:t>
      </w:r>
      <w:r>
        <w:rPr>
          <w:rFonts w:hint="default" w:ascii="Times New Roman" w:hAnsi="Times New Roman" w:cs="Times New Roman"/>
          <w:color w:val="auto"/>
          <w:szCs w:val="24"/>
          <w:highlight w:val="none"/>
        </w:rPr>
        <w:t>，补全数据应用最后一公里，确保数据在业务层的全域流通，</w:t>
      </w:r>
      <w:r>
        <w:rPr>
          <w:rFonts w:hint="eastAsia" w:ascii="Times New Roman" w:hAnsi="Times New Roman" w:cs="Times New Roman"/>
          <w:color w:val="auto"/>
          <w:szCs w:val="24"/>
          <w:highlight w:val="none"/>
          <w:lang w:val="en-US" w:eastAsia="zh-CN"/>
        </w:rPr>
        <w:t>减少</w:t>
      </w:r>
      <w:r>
        <w:rPr>
          <w:rFonts w:hint="default" w:ascii="Times New Roman" w:hAnsi="Times New Roman" w:cs="Times New Roman"/>
          <w:color w:val="auto"/>
          <w:szCs w:val="24"/>
          <w:highlight w:val="none"/>
        </w:rPr>
        <w:t>数据接口重复建设，保障</w:t>
      </w:r>
      <w:r>
        <w:rPr>
          <w:rFonts w:hint="eastAsia" w:ascii="Times New Roman" w:hAnsi="Times New Roman" w:cs="Times New Roman"/>
          <w:color w:val="auto"/>
          <w:szCs w:val="24"/>
          <w:highlight w:val="none"/>
          <w:lang w:val="en-US" w:eastAsia="zh-CN"/>
        </w:rPr>
        <w:t>业务侧</w:t>
      </w:r>
      <w:r>
        <w:rPr>
          <w:rFonts w:hint="default" w:ascii="Times New Roman" w:hAnsi="Times New Roman" w:cs="Times New Roman"/>
          <w:color w:val="auto"/>
          <w:szCs w:val="24"/>
          <w:highlight w:val="none"/>
        </w:rPr>
        <w:t>数据获取的及时</w:t>
      </w:r>
      <w:r>
        <w:rPr>
          <w:rFonts w:hint="eastAsia" w:ascii="Times New Roman" w:hAnsi="Times New Roman" w:cs="Times New Roman"/>
          <w:color w:val="auto"/>
          <w:szCs w:val="24"/>
          <w:highlight w:val="none"/>
          <w:lang w:val="en-US" w:eastAsia="zh-CN"/>
        </w:rPr>
        <w:t>性</w:t>
      </w:r>
      <w:r>
        <w:rPr>
          <w:rFonts w:hint="default" w:ascii="Times New Roman" w:hAnsi="Times New Roman" w:cs="Times New Roman"/>
          <w:color w:val="auto"/>
          <w:szCs w:val="24"/>
          <w:highlight w:val="none"/>
        </w:rPr>
        <w:t>和稳定高效</w:t>
      </w:r>
      <w:r>
        <w:rPr>
          <w:rFonts w:hint="default"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版块</w:t>
      </w:r>
      <w:r>
        <w:rPr>
          <w:rFonts w:hint="default" w:ascii="Times New Roman" w:hAnsi="Times New Roman" w:cs="Times New Roman"/>
          <w:color w:val="auto"/>
          <w:szCs w:val="24"/>
          <w:highlight w:val="none"/>
        </w:rPr>
        <w:t>通过对</w:t>
      </w:r>
      <w:r>
        <w:rPr>
          <w:rFonts w:hint="default" w:ascii="Times New Roman" w:hAnsi="Times New Roman" w:cs="Times New Roman"/>
          <w:color w:val="auto"/>
          <w:szCs w:val="24"/>
          <w:highlight w:val="none"/>
          <w:lang w:val="en-US" w:eastAsia="zh-CN"/>
        </w:rPr>
        <w:t>包括但不限于</w:t>
      </w:r>
      <w:r>
        <w:rPr>
          <w:rFonts w:hint="default" w:ascii="Times New Roman" w:hAnsi="Times New Roman" w:cs="Times New Roman"/>
          <w:color w:val="auto"/>
          <w:szCs w:val="24"/>
          <w:highlight w:val="none"/>
        </w:rPr>
        <w:t>基础数据、标签画像、指标数据、模型和算法等</w:t>
      </w:r>
      <w:r>
        <w:rPr>
          <w:rFonts w:hint="default" w:ascii="Times New Roman" w:hAnsi="Times New Roman" w:cs="Times New Roman"/>
          <w:color w:val="auto"/>
          <w:szCs w:val="24"/>
          <w:highlight w:val="none"/>
          <w:lang w:val="en-US" w:eastAsia="zh-CN"/>
        </w:rPr>
        <w:t>进行</w:t>
      </w:r>
      <w:r>
        <w:rPr>
          <w:rFonts w:hint="default" w:ascii="Times New Roman" w:hAnsi="Times New Roman" w:cs="Times New Roman"/>
          <w:color w:val="auto"/>
          <w:szCs w:val="24"/>
          <w:highlight w:val="none"/>
        </w:rPr>
        <w:t>封装，实现批量</w:t>
      </w:r>
      <w:r>
        <w:rPr>
          <w:rFonts w:hint="default" w:ascii="Times New Roman" w:hAnsi="Times New Roman" w:cs="Times New Roman"/>
          <w:color w:val="auto"/>
          <w:szCs w:val="24"/>
          <w:highlight w:val="none"/>
          <w:lang w:val="en-US" w:eastAsia="zh-CN"/>
        </w:rPr>
        <w:t>文件</w:t>
      </w:r>
      <w:r>
        <w:rPr>
          <w:rFonts w:hint="default" w:ascii="Times New Roman" w:hAnsi="Times New Roman" w:cs="Times New Roman"/>
          <w:color w:val="auto"/>
          <w:szCs w:val="24"/>
          <w:highlight w:val="none"/>
        </w:rPr>
        <w:t>及</w:t>
      </w:r>
      <w:r>
        <w:rPr>
          <w:rFonts w:hint="default" w:ascii="Times New Roman" w:hAnsi="Times New Roman" w:cs="Times New Roman"/>
          <w:color w:val="auto"/>
          <w:szCs w:val="24"/>
          <w:highlight w:val="none"/>
          <w:lang w:val="en-US" w:eastAsia="zh-CN"/>
        </w:rPr>
        <w:t>API</w:t>
      </w:r>
      <w:r>
        <w:rPr>
          <w:rFonts w:hint="default" w:ascii="Times New Roman" w:hAnsi="Times New Roman" w:cs="Times New Roman"/>
          <w:color w:val="auto"/>
          <w:szCs w:val="24"/>
          <w:highlight w:val="none"/>
        </w:rPr>
        <w:t>接口发布</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供其他系统进行查询、订阅</w:t>
      </w:r>
      <w:r>
        <w:rPr>
          <w:rFonts w:hint="eastAsia" w:ascii="Times New Roman" w:hAnsi="Times New Roman" w:cs="Times New Roman"/>
          <w:color w:val="auto"/>
          <w:szCs w:val="24"/>
          <w:highlight w:val="none"/>
          <w:lang w:val="en-US" w:eastAsia="zh-CN"/>
        </w:rPr>
        <w:t>和</w:t>
      </w:r>
      <w:r>
        <w:rPr>
          <w:rFonts w:hint="default" w:ascii="Times New Roman" w:hAnsi="Times New Roman" w:cs="Times New Roman"/>
          <w:color w:val="auto"/>
          <w:szCs w:val="24"/>
          <w:highlight w:val="none"/>
        </w:rPr>
        <w:t>取数等。</w:t>
      </w:r>
      <w:r>
        <w:rPr>
          <w:rFonts w:hint="default" w:ascii="Times New Roman" w:hAnsi="Times New Roman" w:cs="Times New Roman"/>
          <w:color w:val="auto"/>
          <w:szCs w:val="24"/>
          <w:highlight w:val="none"/>
          <w:lang w:val="en-US" w:eastAsia="zh-CN"/>
        </w:rPr>
        <w:t>数据服务建设应满足</w:t>
      </w:r>
      <w:r>
        <w:rPr>
          <w:rFonts w:hint="eastAsia" w:ascii="Times New Roman" w:hAnsi="Times New Roman" w:cs="Times New Roman"/>
          <w:color w:val="auto"/>
          <w:szCs w:val="24"/>
          <w:highlight w:val="none"/>
          <w:lang w:val="en-US" w:eastAsia="zh-CN"/>
        </w:rPr>
        <w:t>的要求</w:t>
      </w:r>
      <w:r>
        <w:rPr>
          <w:rFonts w:hint="default" w:ascii="Times New Roman" w:hAnsi="Times New Roman" w:cs="Times New Roman"/>
          <w:color w:val="auto"/>
          <w:szCs w:val="24"/>
          <w:highlight w:val="none"/>
          <w:lang w:val="en-US" w:eastAsia="zh-CN"/>
        </w:rPr>
        <w:t>包括但不限于：</w:t>
      </w:r>
    </w:p>
    <w:p w14:paraId="2D51F698">
      <w:pPr>
        <w:numPr>
          <w:ilvl w:val="0"/>
          <w:numId w:val="0"/>
        </w:numPr>
        <w:ind w:left="0" w:leftChars="0" w:firstLine="480" w:firstLineChars="200"/>
        <w:rPr>
          <w:rFonts w:hint="default" w:ascii="Times New Roman" w:hAnsi="Times New Roman" w:cs="Times New Roman"/>
          <w:color w:val="auto"/>
          <w:highlight w:val="none"/>
        </w:rPr>
      </w:pP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1</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数据服务</w:t>
      </w:r>
      <w:r>
        <w:rPr>
          <w:rFonts w:hint="eastAsia" w:ascii="Times New Roman" w:hAnsi="Times New Roman" w:cs="Times New Roman"/>
          <w:color w:val="auto"/>
          <w:szCs w:val="24"/>
          <w:highlight w:val="none"/>
          <w:lang w:val="en-US" w:eastAsia="zh-CN"/>
        </w:rPr>
        <w:t>版块</w:t>
      </w:r>
      <w:r>
        <w:rPr>
          <w:rFonts w:hint="default" w:ascii="Times New Roman" w:hAnsi="Times New Roman" w:cs="Times New Roman"/>
          <w:color w:val="auto"/>
          <w:szCs w:val="24"/>
          <w:highlight w:val="none"/>
        </w:rPr>
        <w:t>作为全行数据集成服务的</w:t>
      </w:r>
      <w:r>
        <w:rPr>
          <w:rFonts w:hint="eastAsia" w:ascii="Times New Roman" w:hAnsi="Times New Roman" w:cs="Times New Roman"/>
          <w:color w:val="auto"/>
          <w:szCs w:val="24"/>
          <w:highlight w:val="none"/>
          <w:lang w:val="en-US" w:eastAsia="zh-CN"/>
        </w:rPr>
        <w:t>出口</w:t>
      </w:r>
      <w:r>
        <w:rPr>
          <w:rFonts w:hint="default" w:ascii="Times New Roman" w:hAnsi="Times New Roman" w:cs="Times New Roman"/>
          <w:color w:val="auto"/>
          <w:szCs w:val="24"/>
          <w:highlight w:val="none"/>
        </w:rPr>
        <w:t>，应采用开放</w:t>
      </w:r>
      <w:r>
        <w:rPr>
          <w:rFonts w:hint="eastAsia" w:ascii="Times New Roman" w:hAnsi="Times New Roman" w:cs="Times New Roman"/>
          <w:color w:val="auto"/>
          <w:szCs w:val="24"/>
          <w:highlight w:val="none"/>
          <w:lang w:val="en-US" w:eastAsia="zh-CN"/>
        </w:rPr>
        <w:t>灵活</w:t>
      </w:r>
      <w:r>
        <w:rPr>
          <w:rFonts w:hint="default" w:ascii="Times New Roman" w:hAnsi="Times New Roman" w:cs="Times New Roman"/>
          <w:color w:val="auto"/>
          <w:szCs w:val="24"/>
          <w:highlight w:val="none"/>
        </w:rPr>
        <w:t>的方式实现数据的发布、共享、交互等服务</w:t>
      </w:r>
      <w:r>
        <w:rPr>
          <w:rFonts w:hint="default" w:ascii="Times New Roman" w:hAnsi="Times New Roman" w:cs="Times New Roman"/>
          <w:color w:val="auto"/>
          <w:szCs w:val="24"/>
          <w:highlight w:val="none"/>
          <w:lang w:eastAsia="zh-CN"/>
        </w:rPr>
        <w:t>；</w:t>
      </w:r>
    </w:p>
    <w:p w14:paraId="787576CE">
      <w:pPr>
        <w:numPr>
          <w:ilvl w:val="0"/>
          <w:numId w:val="0"/>
        </w:numPr>
        <w:ind w:left="0" w:leftChars="0" w:firstLine="480" w:firstLineChars="200"/>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（2）参选人需对数据中台与上层应用系统的接口进行集成设计，并完成联调测试工作；</w:t>
      </w:r>
    </w:p>
    <w:p w14:paraId="147838C9">
      <w:pPr>
        <w:numPr>
          <w:ilvl w:val="0"/>
          <w:numId w:val="0"/>
        </w:numPr>
        <w:ind w:left="0" w:leftChars="0" w:firstLine="480" w:firstLineChars="200"/>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数据服务应具备实用性，</w:t>
      </w:r>
      <w:r>
        <w:rPr>
          <w:rFonts w:hint="eastAsia" w:ascii="Times New Roman" w:hAnsi="Times New Roman" w:cs="Times New Roman"/>
          <w:color w:val="auto"/>
          <w:highlight w:val="none"/>
          <w:lang w:val="en-US" w:eastAsia="zh-CN"/>
        </w:rPr>
        <w:t>且具备良好的</w:t>
      </w:r>
      <w:r>
        <w:rPr>
          <w:rFonts w:hint="default" w:ascii="Times New Roman" w:hAnsi="Times New Roman" w:cs="Times New Roman"/>
          <w:color w:val="auto"/>
          <w:highlight w:val="none"/>
          <w:lang w:val="en-US" w:eastAsia="zh-CN"/>
        </w:rPr>
        <w:t>易读性、易用性、稳定性和可扩展性，并提供规范和易理解的数据服务文档。</w:t>
      </w:r>
    </w:p>
    <w:p w14:paraId="6ECD7AAF">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实时数仓</w:t>
      </w:r>
      <w:r>
        <w:rPr>
          <w:rFonts w:hint="eastAsia" w:ascii="Times New Roman" w:hAnsi="Times New Roman" w:cs="Times New Roman"/>
          <w:b/>
          <w:bCs w:val="0"/>
          <w:color w:val="auto"/>
          <w:highlight w:val="none"/>
          <w:lang w:val="en-US" w:eastAsia="zh-CN"/>
        </w:rPr>
        <w:t>版块</w:t>
      </w:r>
      <w:r>
        <w:rPr>
          <w:rFonts w:hint="default" w:ascii="Times New Roman" w:hAnsi="Times New Roman" w:cs="Times New Roman"/>
          <w:b/>
          <w:bCs w:val="0"/>
          <w:color w:val="auto"/>
          <w:highlight w:val="none"/>
          <w:lang w:val="en-US" w:eastAsia="zh-CN"/>
        </w:rPr>
        <w:t>建设</w:t>
      </w:r>
    </w:p>
    <w:p w14:paraId="27D37187">
      <w:pPr>
        <w:rPr>
          <w:rFonts w:hint="default" w:eastAsia="宋体"/>
          <w:color w:val="auto"/>
          <w:highlight w:val="none"/>
          <w:lang w:val="en-US" w:eastAsia="zh-CN"/>
        </w:rPr>
      </w:pPr>
      <w:r>
        <w:rPr>
          <w:rFonts w:hint="eastAsia"/>
          <w:color w:val="auto"/>
          <w:highlight w:val="none"/>
          <w:lang w:val="en-US" w:eastAsia="zh-CN"/>
        </w:rPr>
        <w:t>为提高业务决策效率，满足客户营销、风险管控等场景的实时数据需求，更好地支持业务创新，参选人需完成实时数仓的建设，具体建设要求包括但不限于：</w:t>
      </w:r>
    </w:p>
    <w:p w14:paraId="78053DE6">
      <w:p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1）参选人需</w:t>
      </w:r>
      <w:r>
        <w:rPr>
          <w:rFonts w:hint="default" w:ascii="Times New Roman" w:hAnsi="Times New Roman" w:cs="Times New Roman"/>
          <w:color w:val="auto"/>
          <w:szCs w:val="24"/>
          <w:highlight w:val="none"/>
          <w:shd w:val="clear" w:color="auto" w:fill="FFFFFF"/>
          <w:lang w:val="en-US" w:eastAsia="zh-CN"/>
        </w:rPr>
        <w:t>在湖仓一体的架构基础上构建批流融合的实时数据处理服务，形成实时数仓、批流融合的能力；</w:t>
      </w:r>
    </w:p>
    <w:p w14:paraId="2BAC1433">
      <w:p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w:t>
      </w:r>
      <w:r>
        <w:rPr>
          <w:rFonts w:hint="default" w:ascii="Times New Roman" w:hAnsi="Times New Roman" w:cs="Times New Roman"/>
          <w:color w:val="auto"/>
          <w:szCs w:val="24"/>
          <w:highlight w:val="none"/>
          <w:shd w:val="clear" w:color="auto" w:fill="FFFFFF"/>
          <w:lang w:val="en-US" w:eastAsia="zh-CN"/>
        </w:rPr>
        <w:t>2）参选人按照比选人要求，</w:t>
      </w:r>
      <w:r>
        <w:rPr>
          <w:rFonts w:hint="eastAsia" w:ascii="Times New Roman" w:hAnsi="Times New Roman" w:cs="Times New Roman"/>
          <w:color w:val="auto"/>
          <w:szCs w:val="24"/>
          <w:highlight w:val="none"/>
          <w:shd w:val="clear" w:color="auto" w:fill="FFFFFF"/>
          <w:lang w:val="en-US" w:eastAsia="zh-CN"/>
        </w:rPr>
        <w:t>新增</w:t>
      </w:r>
      <w:r>
        <w:rPr>
          <w:rFonts w:hint="default" w:ascii="Times New Roman" w:hAnsi="Times New Roman" w:cs="Times New Roman"/>
          <w:color w:val="auto"/>
          <w:szCs w:val="24"/>
          <w:highlight w:val="none"/>
          <w:shd w:val="clear" w:color="auto" w:fill="FFFFFF"/>
          <w:lang w:val="en-US" w:eastAsia="zh-CN"/>
        </w:rPr>
        <w:t>落地不少于</w:t>
      </w:r>
      <w:r>
        <w:rPr>
          <w:rFonts w:hint="eastAsia" w:ascii="Times New Roman" w:hAnsi="Times New Roman" w:cs="Times New Roman"/>
          <w:color w:val="auto"/>
          <w:szCs w:val="24"/>
          <w:highlight w:val="none"/>
          <w:shd w:val="clear" w:color="auto" w:fill="FFFFFF"/>
          <w:lang w:val="en-US" w:eastAsia="zh-CN"/>
        </w:rPr>
        <w:t>10</w:t>
      </w:r>
      <w:r>
        <w:rPr>
          <w:rFonts w:hint="default" w:ascii="Times New Roman" w:hAnsi="Times New Roman" w:cs="Times New Roman"/>
          <w:color w:val="auto"/>
          <w:szCs w:val="24"/>
          <w:highlight w:val="none"/>
          <w:shd w:val="clear" w:color="auto" w:fill="FFFFFF"/>
          <w:lang w:val="en-US" w:eastAsia="zh-CN"/>
        </w:rPr>
        <w:t>个实时业务应用场景，</w:t>
      </w:r>
      <w:r>
        <w:rPr>
          <w:rFonts w:hint="eastAsia" w:ascii="Times New Roman" w:hAnsi="Times New Roman" w:cs="Times New Roman"/>
          <w:color w:val="auto"/>
          <w:szCs w:val="24"/>
          <w:highlight w:val="none"/>
          <w:shd w:val="clear" w:color="auto" w:fill="FFFFFF"/>
          <w:lang w:val="en-US" w:eastAsia="zh-CN"/>
        </w:rPr>
        <w:t>包括但不限于大额动账实时提醒、手机银行理财深度浏览实时提醒、手机银行客户历史余额实时查询等，</w:t>
      </w:r>
      <w:r>
        <w:rPr>
          <w:rFonts w:hint="default" w:ascii="Times New Roman" w:hAnsi="Times New Roman" w:cs="Times New Roman"/>
          <w:color w:val="auto"/>
          <w:szCs w:val="24"/>
          <w:highlight w:val="none"/>
          <w:shd w:val="clear" w:color="auto" w:fill="FFFFFF"/>
          <w:lang w:val="en-US" w:eastAsia="zh-CN"/>
        </w:rPr>
        <w:t>具体场景以比选人实际要求为准</w:t>
      </w:r>
      <w:r>
        <w:rPr>
          <w:rFonts w:hint="eastAsia" w:ascii="Times New Roman" w:hAnsi="Times New Roman" w:cs="Times New Roman"/>
          <w:color w:val="auto"/>
          <w:szCs w:val="24"/>
          <w:highlight w:val="none"/>
          <w:shd w:val="clear" w:color="auto" w:fill="FFFFFF"/>
          <w:lang w:val="en-US" w:eastAsia="zh-CN"/>
        </w:rPr>
        <w:t>。实施内容包括但不限于</w:t>
      </w:r>
      <w:r>
        <w:rPr>
          <w:rFonts w:ascii="Times New Roman" w:hAnsi="Times New Roman" w:cs="Times New Roman"/>
          <w:color w:val="auto"/>
          <w:highlight w:val="none"/>
          <w:lang w:val="zh-CN"/>
        </w:rPr>
        <w:t>实时</w:t>
      </w:r>
      <w:r>
        <w:rPr>
          <w:rFonts w:hint="eastAsia" w:ascii="Times New Roman" w:hAnsi="Times New Roman" w:cs="Times New Roman"/>
          <w:color w:val="auto"/>
          <w:highlight w:val="none"/>
          <w:lang w:val="en-US" w:eastAsia="zh-CN"/>
        </w:rPr>
        <w:t>数据</w:t>
      </w:r>
      <w:r>
        <w:rPr>
          <w:rFonts w:ascii="Times New Roman" w:hAnsi="Times New Roman" w:cs="Times New Roman"/>
          <w:color w:val="auto"/>
          <w:highlight w:val="none"/>
          <w:lang w:val="zh-CN"/>
        </w:rPr>
        <w:t>接入</w:t>
      </w:r>
      <w:r>
        <w:rPr>
          <w:rFonts w:hint="eastAsia" w:ascii="Times New Roman" w:hAnsi="Times New Roman" w:cs="Times New Roman"/>
          <w:color w:val="auto"/>
          <w:highlight w:val="none"/>
          <w:lang w:val="zh-CN"/>
        </w:rPr>
        <w:t>、</w:t>
      </w:r>
      <w:r>
        <w:rPr>
          <w:rFonts w:ascii="Times New Roman" w:hAnsi="Times New Roman" w:cs="Times New Roman"/>
          <w:color w:val="auto"/>
          <w:highlight w:val="none"/>
          <w:lang w:val="zh-CN"/>
        </w:rPr>
        <w:t>实时指标</w:t>
      </w:r>
      <w:r>
        <w:rPr>
          <w:rFonts w:hint="eastAsia" w:ascii="Times New Roman" w:hAnsi="Times New Roman" w:cs="Times New Roman"/>
          <w:color w:val="auto"/>
          <w:highlight w:val="none"/>
          <w:lang w:val="en-US" w:eastAsia="zh-CN"/>
        </w:rPr>
        <w:t>标签</w:t>
      </w:r>
      <w:r>
        <w:rPr>
          <w:rFonts w:ascii="Times New Roman" w:hAnsi="Times New Roman" w:cs="Times New Roman"/>
          <w:color w:val="auto"/>
          <w:highlight w:val="none"/>
          <w:lang w:val="zh-CN"/>
        </w:rPr>
        <w:t>开发</w:t>
      </w: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实时数据服务开发等</w:t>
      </w:r>
      <w:r>
        <w:rPr>
          <w:rFonts w:hint="default" w:ascii="Times New Roman" w:hAnsi="Times New Roman" w:cs="Times New Roman"/>
          <w:color w:val="auto"/>
          <w:szCs w:val="24"/>
          <w:highlight w:val="none"/>
          <w:shd w:val="clear" w:color="auto" w:fill="FFFFFF"/>
          <w:lang w:val="en-US" w:eastAsia="zh-CN"/>
        </w:rPr>
        <w:t>。</w:t>
      </w:r>
    </w:p>
    <w:p w14:paraId="5E2EF51C">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数据迁移</w:t>
      </w:r>
      <w:r>
        <w:rPr>
          <w:rFonts w:hint="eastAsia" w:ascii="Times New Roman" w:hAnsi="Times New Roman" w:cs="Times New Roman"/>
          <w:b/>
          <w:bCs w:val="0"/>
          <w:color w:val="auto"/>
          <w:highlight w:val="none"/>
          <w:lang w:val="en-US" w:eastAsia="zh-CN"/>
        </w:rPr>
        <w:t>整合</w:t>
      </w:r>
    </w:p>
    <w:p w14:paraId="202A5DCA">
      <w:pPr>
        <w:keepNext w:val="0"/>
        <w:keepLines w:val="0"/>
        <w:widowControl/>
        <w:suppressLineNumbers w:val="0"/>
        <w:jc w:val="left"/>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参选人需根据数据仓库和大数据平台的现状调研结果，按照数据中台</w:t>
      </w:r>
      <w:r>
        <w:rPr>
          <w:rFonts w:hint="eastAsia" w:ascii="Times New Roman" w:hAnsi="Times New Roman" w:cs="Times New Roman"/>
          <w:color w:val="auto"/>
          <w:szCs w:val="24"/>
          <w:highlight w:val="none"/>
          <w:lang w:val="en-US" w:eastAsia="zh-CN"/>
        </w:rPr>
        <w:t>实施和迁移方案进行数据</w:t>
      </w:r>
      <w:r>
        <w:rPr>
          <w:rFonts w:hint="default" w:ascii="Times New Roman" w:hAnsi="Times New Roman" w:cs="Times New Roman"/>
          <w:color w:val="auto"/>
          <w:szCs w:val="24"/>
          <w:highlight w:val="none"/>
          <w:lang w:val="en-US" w:eastAsia="zh-CN"/>
        </w:rPr>
        <w:t>迁移整合，</w:t>
      </w:r>
      <w:r>
        <w:rPr>
          <w:rFonts w:hint="default" w:ascii="Times New Roman" w:hAnsi="Times New Roman" w:cs="Times New Roman"/>
          <w:color w:val="auto"/>
          <w:szCs w:val="24"/>
          <w:highlight w:val="none"/>
        </w:rPr>
        <w:t>保障</w:t>
      </w:r>
      <w:r>
        <w:rPr>
          <w:rFonts w:hint="default" w:ascii="Times New Roman" w:hAnsi="Times New Roman" w:cs="Times New Roman"/>
          <w:color w:val="auto"/>
          <w:szCs w:val="24"/>
          <w:highlight w:val="none"/>
          <w:lang w:val="zh-CN"/>
        </w:rPr>
        <w:t>数据的完整性、准确性、一致性和安全性</w:t>
      </w:r>
      <w:r>
        <w:rPr>
          <w:rFonts w:hint="default" w:ascii="Times New Roman" w:hAnsi="Times New Roman" w:cs="Times New Roman"/>
          <w:color w:val="auto"/>
          <w:szCs w:val="24"/>
          <w:highlight w:val="none"/>
          <w:lang w:val="en-US" w:eastAsia="zh-CN"/>
        </w:rPr>
        <w:t>。</w:t>
      </w:r>
      <w:r>
        <w:rPr>
          <w:rFonts w:hint="default" w:ascii="Times New Roman" w:hAnsi="Times New Roman" w:cs="Times New Roman"/>
          <w:color w:val="auto"/>
          <w:szCs w:val="24"/>
          <w:highlight w:val="none"/>
          <w:lang w:val="zh-CN"/>
        </w:rPr>
        <w:t>在数据迁移</w:t>
      </w:r>
      <w:r>
        <w:rPr>
          <w:rFonts w:hint="default" w:ascii="Times New Roman" w:hAnsi="Times New Roman" w:cs="Times New Roman"/>
          <w:color w:val="auto"/>
          <w:szCs w:val="24"/>
          <w:highlight w:val="none"/>
        </w:rPr>
        <w:t>时</w:t>
      </w:r>
      <w:r>
        <w:rPr>
          <w:rFonts w:hint="default" w:ascii="Times New Roman" w:hAnsi="Times New Roman" w:cs="Times New Roman"/>
          <w:color w:val="auto"/>
          <w:szCs w:val="24"/>
          <w:highlight w:val="none"/>
          <w:lang w:val="zh-CN"/>
        </w:rPr>
        <w:t>，需</w:t>
      </w:r>
      <w:r>
        <w:rPr>
          <w:rFonts w:hint="default" w:ascii="Times New Roman" w:hAnsi="Times New Roman" w:cs="Times New Roman"/>
          <w:color w:val="auto"/>
          <w:szCs w:val="24"/>
          <w:highlight w:val="none"/>
          <w:lang w:val="en-US" w:eastAsia="zh-CN"/>
        </w:rPr>
        <w:t>结合新一代数据中台的架构</w:t>
      </w:r>
      <w:r>
        <w:rPr>
          <w:rFonts w:hint="eastAsia" w:ascii="Times New Roman" w:hAnsi="Times New Roman" w:cs="Times New Roman"/>
          <w:color w:val="auto"/>
          <w:szCs w:val="24"/>
          <w:highlight w:val="none"/>
          <w:lang w:val="en-US" w:eastAsia="zh-CN"/>
        </w:rPr>
        <w:t>设计</w:t>
      </w:r>
      <w:r>
        <w:rPr>
          <w:rFonts w:hint="default" w:ascii="Times New Roman" w:hAnsi="Times New Roman" w:cs="Times New Roman"/>
          <w:color w:val="auto"/>
          <w:szCs w:val="24"/>
          <w:highlight w:val="none"/>
          <w:lang w:val="zh-CN"/>
        </w:rPr>
        <w:t>进行</w:t>
      </w:r>
      <w:r>
        <w:rPr>
          <w:rFonts w:hint="default" w:ascii="Times New Roman" w:hAnsi="Times New Roman" w:cs="Times New Roman"/>
          <w:color w:val="auto"/>
          <w:szCs w:val="24"/>
          <w:highlight w:val="none"/>
          <w:lang w:val="en-US" w:eastAsia="zh-CN"/>
        </w:rPr>
        <w:t>相应的</w:t>
      </w:r>
      <w:r>
        <w:rPr>
          <w:rFonts w:hint="default" w:ascii="Times New Roman" w:hAnsi="Times New Roman" w:cs="Times New Roman"/>
          <w:color w:val="auto"/>
          <w:szCs w:val="24"/>
          <w:highlight w:val="none"/>
          <w:lang w:val="zh-CN"/>
        </w:rPr>
        <w:t>数据整合</w:t>
      </w:r>
      <w:r>
        <w:rPr>
          <w:rFonts w:hint="eastAsia" w:ascii="Times New Roman" w:hAnsi="Times New Roman" w:cs="Times New Roman"/>
          <w:color w:val="auto"/>
          <w:szCs w:val="24"/>
          <w:highlight w:val="none"/>
          <w:lang w:val="en-US" w:eastAsia="zh-CN"/>
        </w:rPr>
        <w:t>和转换</w:t>
      </w:r>
      <w:r>
        <w:rPr>
          <w:rFonts w:hint="default" w:ascii="Times New Roman" w:hAnsi="Times New Roman" w:cs="Times New Roman"/>
          <w:color w:val="auto"/>
          <w:szCs w:val="24"/>
          <w:highlight w:val="none"/>
          <w:lang w:val="zh-CN"/>
        </w:rPr>
        <w:t>工作，</w:t>
      </w:r>
      <w:r>
        <w:rPr>
          <w:rFonts w:hint="eastAsia" w:ascii="Times New Roman" w:hAnsi="Times New Roman" w:cs="Times New Roman"/>
          <w:color w:val="auto"/>
          <w:szCs w:val="24"/>
          <w:highlight w:val="none"/>
          <w:lang w:val="en-US" w:eastAsia="zh-CN"/>
        </w:rPr>
        <w:t>如</w:t>
      </w:r>
      <w:r>
        <w:rPr>
          <w:rFonts w:hint="default" w:ascii="Times New Roman" w:hAnsi="Times New Roman" w:cs="Times New Roman"/>
          <w:color w:val="auto"/>
          <w:szCs w:val="24"/>
          <w:highlight w:val="none"/>
          <w:lang w:val="zh-CN"/>
        </w:rPr>
        <w:t>数据清洗、数据转换、数据合并</w:t>
      </w:r>
      <w:r>
        <w:rPr>
          <w:rFonts w:hint="eastAsia" w:ascii="Times New Roman" w:hAnsi="Times New Roman" w:cs="Times New Roman"/>
          <w:color w:val="auto"/>
          <w:szCs w:val="24"/>
          <w:highlight w:val="none"/>
          <w:lang w:val="en-US" w:eastAsia="zh-CN"/>
        </w:rPr>
        <w:t>等</w:t>
      </w:r>
      <w:r>
        <w:rPr>
          <w:rFonts w:hint="default" w:ascii="Times New Roman" w:hAnsi="Times New Roman" w:cs="Times New Roman"/>
          <w:color w:val="auto"/>
          <w:szCs w:val="24"/>
          <w:highlight w:val="none"/>
          <w:lang w:val="zh-CN"/>
        </w:rPr>
        <w:t>。</w:t>
      </w:r>
      <w:r>
        <w:rPr>
          <w:rFonts w:hint="eastAsia" w:ascii="Times New Roman" w:hAnsi="Times New Roman" w:cs="Times New Roman"/>
          <w:color w:val="auto"/>
          <w:szCs w:val="24"/>
          <w:highlight w:val="none"/>
          <w:lang w:val="en-US" w:eastAsia="zh-CN"/>
        </w:rPr>
        <w:t>具体迁移内容</w:t>
      </w:r>
      <w:r>
        <w:rPr>
          <w:rFonts w:hint="default" w:ascii="Times New Roman" w:hAnsi="Times New Roman" w:cs="Times New Roman"/>
          <w:color w:val="auto"/>
          <w:szCs w:val="24"/>
          <w:highlight w:val="none"/>
          <w:lang w:val="en-US" w:eastAsia="zh-CN"/>
        </w:rPr>
        <w:t>包括但不限于：</w:t>
      </w:r>
    </w:p>
    <w:p w14:paraId="729F5408">
      <w:pPr>
        <w:numPr>
          <w:ilvl w:val="0"/>
          <w:numId w:val="0"/>
        </w:numPr>
        <w:ind w:left="0" w:leftChars="0"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4"/>
          <w:highlight w:val="none"/>
          <w:shd w:val="clear" w:color="auto" w:fill="FFFFFF"/>
          <w:lang w:val="en-US" w:eastAsia="zh-CN"/>
        </w:rPr>
        <w:t>（1）</w:t>
      </w:r>
      <w:r>
        <w:rPr>
          <w:rFonts w:hint="default" w:ascii="Times New Roman" w:hAnsi="Times New Roman" w:cs="Times New Roman"/>
          <w:color w:val="auto"/>
          <w:szCs w:val="24"/>
          <w:highlight w:val="none"/>
          <w:shd w:val="clear" w:color="auto" w:fill="FFFFFF"/>
          <w:lang w:val="en-US" w:eastAsia="zh-CN"/>
        </w:rPr>
        <w:t>现有大数据平台、数据仓库中历史数据迁移整合，包括但不限于业务系统数据、外部数据、行为设备数据</w:t>
      </w:r>
      <w:r>
        <w:rPr>
          <w:rFonts w:hint="eastAsia" w:ascii="Times New Roman" w:hAnsi="Times New Roman" w:cs="Times New Roman"/>
          <w:color w:val="auto"/>
          <w:szCs w:val="24"/>
          <w:highlight w:val="none"/>
          <w:shd w:val="clear" w:color="auto" w:fill="FFFFFF"/>
          <w:lang w:val="en-US" w:eastAsia="zh-CN"/>
        </w:rPr>
        <w:t>、应用集市数据</w:t>
      </w:r>
      <w:r>
        <w:rPr>
          <w:rFonts w:hint="default" w:ascii="Times New Roman" w:hAnsi="Times New Roman" w:cs="Times New Roman"/>
          <w:color w:val="auto"/>
          <w:szCs w:val="24"/>
          <w:highlight w:val="none"/>
          <w:shd w:val="clear" w:color="auto" w:fill="FFFFFF"/>
          <w:lang w:val="en-US" w:eastAsia="zh-CN"/>
        </w:rPr>
        <w:t>等；</w:t>
      </w:r>
    </w:p>
    <w:p w14:paraId="04E7B24C">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（2）</w:t>
      </w:r>
      <w:r>
        <w:rPr>
          <w:rFonts w:hint="default" w:ascii="Times New Roman" w:hAnsi="Times New Roman" w:cs="Times New Roman"/>
          <w:color w:val="auto"/>
          <w:szCs w:val="24"/>
          <w:highlight w:val="none"/>
          <w:shd w:val="clear" w:color="auto" w:fill="FFFFFF"/>
          <w:lang w:val="en-US" w:eastAsia="zh-CN"/>
        </w:rPr>
        <w:t>现有业务报表迁移</w:t>
      </w:r>
      <w:r>
        <w:rPr>
          <w:rFonts w:hint="eastAsia" w:ascii="Times New Roman" w:hAnsi="Times New Roman" w:cs="Times New Roman"/>
          <w:color w:val="auto"/>
          <w:szCs w:val="24"/>
          <w:highlight w:val="none"/>
          <w:shd w:val="clear" w:color="auto" w:fill="FFFFFF"/>
          <w:lang w:val="en-US" w:eastAsia="zh-CN"/>
        </w:rPr>
        <w:t>重构</w:t>
      </w:r>
      <w:r>
        <w:rPr>
          <w:rFonts w:hint="default" w:ascii="Times New Roman" w:hAnsi="Times New Roman" w:cs="Times New Roman"/>
          <w:color w:val="auto"/>
          <w:szCs w:val="24"/>
          <w:highlight w:val="none"/>
          <w:shd w:val="clear" w:color="auto" w:fill="FFFFFF"/>
          <w:lang w:val="en-US" w:eastAsia="zh-CN"/>
        </w:rPr>
        <w:t>，参选人除需对报表数据进行整合迁移外，还需使用新报表工具设计报表的外观和格式，包括选择合适的图表、颜色、字体等，确定报表的布局和交互方式，满足电脑端、移动端报表数据快速查询需求</w:t>
      </w:r>
      <w:r>
        <w:rPr>
          <w:rFonts w:hint="eastAsia" w:ascii="Times New Roman" w:hAnsi="Times New Roman" w:cs="Times New Roman"/>
          <w:color w:val="auto"/>
          <w:szCs w:val="24"/>
          <w:highlight w:val="none"/>
          <w:shd w:val="clear" w:color="auto" w:fill="FFFFFF"/>
          <w:lang w:val="en-US" w:eastAsia="zh-CN"/>
        </w:rPr>
        <w:t>。本项目落地的报表数量不得少于450张（其中实时报表不得少于10张），包括但不限于存量迁移重构的报表和实施过程中新增需求产生的报表；</w:t>
      </w:r>
    </w:p>
    <w:p w14:paraId="20A3D142">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（3）</w:t>
      </w:r>
      <w:r>
        <w:rPr>
          <w:rFonts w:hint="default" w:ascii="Times New Roman" w:hAnsi="Times New Roman" w:cs="Times New Roman"/>
          <w:color w:val="auto"/>
          <w:szCs w:val="24"/>
          <w:highlight w:val="none"/>
          <w:shd w:val="clear" w:color="auto" w:fill="FFFFFF"/>
          <w:lang w:val="en-US" w:eastAsia="zh-CN"/>
        </w:rPr>
        <w:t>大数据平台的实时计算任务迁移</w:t>
      </w:r>
      <w:r>
        <w:rPr>
          <w:rFonts w:hint="eastAsia" w:ascii="Times New Roman" w:hAnsi="Times New Roman" w:cs="Times New Roman"/>
          <w:color w:val="auto"/>
          <w:szCs w:val="24"/>
          <w:highlight w:val="none"/>
          <w:shd w:val="clear" w:color="auto" w:fill="FFFFFF"/>
          <w:lang w:val="en-US" w:eastAsia="zh-CN"/>
        </w:rPr>
        <w:t>重构；</w:t>
      </w:r>
    </w:p>
    <w:p w14:paraId="09AEB4B3">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（4）</w:t>
      </w:r>
      <w:r>
        <w:rPr>
          <w:rFonts w:hint="default" w:ascii="Times New Roman" w:hAnsi="Times New Roman" w:cs="Times New Roman"/>
          <w:color w:val="auto"/>
          <w:szCs w:val="24"/>
          <w:highlight w:val="none"/>
          <w:shd w:val="clear" w:color="auto" w:fill="FFFFFF"/>
          <w:lang w:val="en-US" w:eastAsia="zh-CN"/>
        </w:rPr>
        <w:t>现有数据平台的数据服务迁移</w:t>
      </w:r>
      <w:r>
        <w:rPr>
          <w:rFonts w:hint="eastAsia" w:ascii="Times New Roman" w:hAnsi="Times New Roman" w:cs="Times New Roman"/>
          <w:color w:val="auto"/>
          <w:szCs w:val="24"/>
          <w:highlight w:val="none"/>
          <w:shd w:val="clear" w:color="auto" w:fill="FFFFFF"/>
          <w:lang w:val="en-US" w:eastAsia="zh-CN"/>
        </w:rPr>
        <w:t>重构</w:t>
      </w:r>
      <w:r>
        <w:rPr>
          <w:rFonts w:hint="default" w:ascii="Times New Roman" w:hAnsi="Times New Roman" w:cs="Times New Roman"/>
          <w:color w:val="auto"/>
          <w:szCs w:val="24"/>
          <w:highlight w:val="none"/>
          <w:shd w:val="clear" w:color="auto" w:fill="FFFFFF"/>
          <w:lang w:val="en-US" w:eastAsia="zh-CN"/>
        </w:rPr>
        <w:t>，包括</w:t>
      </w:r>
      <w:r>
        <w:rPr>
          <w:rFonts w:hint="eastAsia" w:ascii="Times New Roman" w:hAnsi="Times New Roman" w:cs="Times New Roman"/>
          <w:color w:val="auto"/>
          <w:szCs w:val="24"/>
          <w:highlight w:val="none"/>
          <w:shd w:val="clear" w:color="auto" w:fill="FFFFFF"/>
          <w:lang w:val="en-US" w:eastAsia="zh-CN"/>
        </w:rPr>
        <w:t>给近40个下游系统提供的</w:t>
      </w:r>
      <w:r>
        <w:rPr>
          <w:rFonts w:hint="default" w:ascii="Times New Roman" w:hAnsi="Times New Roman" w:cs="Times New Roman"/>
          <w:color w:val="auto"/>
          <w:szCs w:val="24"/>
          <w:highlight w:val="none"/>
          <w:shd w:val="clear" w:color="auto" w:fill="FFFFFF"/>
          <w:lang w:val="en-US" w:eastAsia="zh-CN"/>
        </w:rPr>
        <w:t>数据文件和API接口</w:t>
      </w:r>
      <w:r>
        <w:rPr>
          <w:rFonts w:hint="eastAsia" w:ascii="Times New Roman" w:hAnsi="Times New Roman" w:cs="Times New Roman"/>
          <w:color w:val="auto"/>
          <w:szCs w:val="24"/>
          <w:highlight w:val="none"/>
          <w:shd w:val="clear" w:color="auto" w:fill="FFFFFF"/>
          <w:lang w:val="en-US" w:eastAsia="zh-CN"/>
        </w:rPr>
        <w:t>等服务，并完成与各下游系统的对接和联调</w:t>
      </w:r>
      <w:r>
        <w:rPr>
          <w:rFonts w:hint="default" w:ascii="Times New Roman" w:hAnsi="Times New Roman" w:cs="Times New Roman"/>
          <w:color w:val="auto"/>
          <w:szCs w:val="24"/>
          <w:highlight w:val="none"/>
          <w:shd w:val="clear" w:color="auto" w:fill="FFFFFF"/>
          <w:lang w:val="en-US" w:eastAsia="zh-CN"/>
        </w:rPr>
        <w:t>。</w:t>
      </w:r>
    </w:p>
    <w:p w14:paraId="53964B29">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数据实验区建设</w:t>
      </w:r>
    </w:p>
    <w:p w14:paraId="411B4C5F">
      <w:p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default" w:ascii="Times New Roman" w:hAnsi="Times New Roman" w:cs="Times New Roman"/>
          <w:color w:val="auto"/>
          <w:szCs w:val="24"/>
          <w:highlight w:val="none"/>
          <w:shd w:val="clear" w:color="auto" w:fill="FFFFFF"/>
          <w:lang w:val="en-US" w:eastAsia="zh-CN"/>
        </w:rPr>
        <w:t>参选人需为比选人搭建</w:t>
      </w:r>
      <w:r>
        <w:rPr>
          <w:rFonts w:hint="eastAsia" w:ascii="Times New Roman" w:hAnsi="Times New Roman" w:cs="Times New Roman"/>
          <w:color w:val="auto"/>
          <w:szCs w:val="24"/>
          <w:highlight w:val="none"/>
          <w:shd w:val="clear" w:color="auto" w:fill="FFFFFF"/>
          <w:lang w:val="en-US" w:eastAsia="zh-CN"/>
        </w:rPr>
        <w:t>两</w:t>
      </w:r>
      <w:r>
        <w:rPr>
          <w:rFonts w:hint="default" w:ascii="Times New Roman" w:hAnsi="Times New Roman" w:cs="Times New Roman"/>
          <w:color w:val="auto"/>
          <w:szCs w:val="24"/>
          <w:highlight w:val="none"/>
          <w:shd w:val="clear" w:color="auto" w:fill="FFFFFF"/>
          <w:lang w:val="en-US" w:eastAsia="zh-CN"/>
        </w:rPr>
        <w:t>套数据实验区</w:t>
      </w:r>
      <w:r>
        <w:rPr>
          <w:rFonts w:hint="eastAsia" w:ascii="Times New Roman" w:hAnsi="Times New Roman" w:cs="Times New Roman"/>
          <w:color w:val="auto"/>
          <w:szCs w:val="24"/>
          <w:highlight w:val="none"/>
          <w:shd w:val="clear" w:color="auto" w:fill="FFFFFF"/>
          <w:lang w:val="en-US" w:eastAsia="zh-CN"/>
        </w:rPr>
        <w:t>，</w:t>
      </w:r>
      <w:r>
        <w:rPr>
          <w:rFonts w:hint="default" w:ascii="Times New Roman" w:hAnsi="Times New Roman" w:cs="Times New Roman"/>
          <w:color w:val="auto"/>
          <w:szCs w:val="24"/>
          <w:highlight w:val="none"/>
          <w:shd w:val="clear" w:color="auto" w:fill="FFFFFF"/>
          <w:lang w:val="en-US" w:eastAsia="zh-CN"/>
        </w:rPr>
        <w:t>其主要作用是提供一个安全的数据实验环境，供业务、技术人员进行数据探索和分析使用，使用的数据是经过审批并进行数据安全处理的，且不会对生产数据库产生影响。</w:t>
      </w:r>
    </w:p>
    <w:p w14:paraId="3B046DFD">
      <w:p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两套实验区分别是探索区和验证区</w:t>
      </w:r>
      <w:r>
        <w:rPr>
          <w:rFonts w:hint="default" w:ascii="Times New Roman" w:hAnsi="Times New Roman" w:cs="Times New Roman"/>
          <w:color w:val="auto"/>
          <w:szCs w:val="24"/>
          <w:highlight w:val="none"/>
          <w:shd w:val="clear" w:color="auto" w:fill="FFFFFF"/>
          <w:lang w:val="en-US" w:eastAsia="zh-CN"/>
        </w:rPr>
        <w:t>，</w:t>
      </w:r>
      <w:r>
        <w:rPr>
          <w:rFonts w:hint="eastAsia" w:ascii="Times New Roman" w:hAnsi="Times New Roman" w:cs="Times New Roman"/>
          <w:color w:val="auto"/>
          <w:szCs w:val="24"/>
          <w:highlight w:val="none"/>
          <w:shd w:val="clear" w:color="auto" w:fill="FFFFFF"/>
          <w:lang w:val="en-US" w:eastAsia="zh-CN"/>
        </w:rPr>
        <w:t>其中探索区主要用作风控人员、数据人员等技术人员进行数据分析探索、变量试算和机器学习算法训练等；验证区主要用作业务人员进行报表数据验证、实时数据验证等。</w:t>
      </w:r>
      <w:r>
        <w:rPr>
          <w:rFonts w:hint="default" w:ascii="Times New Roman" w:hAnsi="Times New Roman" w:cs="Times New Roman"/>
          <w:color w:val="auto"/>
          <w:szCs w:val="24"/>
          <w:highlight w:val="none"/>
          <w:shd w:val="clear" w:color="auto" w:fill="FFFFFF"/>
          <w:lang w:val="en-US" w:eastAsia="zh-CN"/>
        </w:rPr>
        <w:t>数据实验区具体要求应包</w:t>
      </w:r>
      <w:r>
        <w:rPr>
          <w:rFonts w:hint="eastAsia" w:ascii="Times New Roman" w:hAnsi="Times New Roman" w:cs="Times New Roman"/>
          <w:color w:val="auto"/>
          <w:szCs w:val="24"/>
          <w:highlight w:val="none"/>
          <w:shd w:val="clear" w:color="auto" w:fill="FFFFFF"/>
          <w:lang w:val="en-US" w:eastAsia="zh-CN"/>
        </w:rPr>
        <w:t>括</w:t>
      </w:r>
      <w:r>
        <w:rPr>
          <w:rFonts w:hint="default" w:ascii="Times New Roman" w:hAnsi="Times New Roman" w:cs="Times New Roman"/>
          <w:color w:val="auto"/>
          <w:szCs w:val="24"/>
          <w:highlight w:val="none"/>
          <w:shd w:val="clear" w:color="auto" w:fill="FFFFFF"/>
          <w:lang w:val="en-US" w:eastAsia="zh-CN"/>
        </w:rPr>
        <w:t>但不限于：</w:t>
      </w:r>
    </w:p>
    <w:p w14:paraId="0943F4A2">
      <w:p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（1）</w:t>
      </w:r>
      <w:r>
        <w:rPr>
          <w:rFonts w:hint="default" w:ascii="Times New Roman" w:hAnsi="Times New Roman" w:cs="Times New Roman"/>
          <w:color w:val="auto"/>
          <w:szCs w:val="24"/>
          <w:highlight w:val="none"/>
          <w:shd w:val="clear" w:color="auto" w:fill="FFFFFF"/>
          <w:lang w:val="en-US" w:eastAsia="zh-CN"/>
        </w:rPr>
        <w:t>安全保障：数据实验室提供的数据均需要进行事前审批，且需要进行</w:t>
      </w:r>
      <w:r>
        <w:rPr>
          <w:rFonts w:hint="eastAsia" w:ascii="Times New Roman" w:hAnsi="Times New Roman" w:cs="Times New Roman"/>
          <w:color w:val="auto"/>
          <w:szCs w:val="24"/>
          <w:highlight w:val="none"/>
          <w:shd w:val="clear" w:color="auto" w:fill="FFFFFF"/>
          <w:lang w:val="en-US" w:eastAsia="zh-CN"/>
        </w:rPr>
        <w:t>脱敏</w:t>
      </w:r>
      <w:r>
        <w:rPr>
          <w:rFonts w:hint="default" w:ascii="Times New Roman" w:hAnsi="Times New Roman" w:cs="Times New Roman"/>
          <w:color w:val="auto"/>
          <w:szCs w:val="24"/>
          <w:highlight w:val="none"/>
          <w:shd w:val="clear" w:color="auto" w:fill="FFFFFF"/>
          <w:lang w:val="en-US" w:eastAsia="zh-CN"/>
        </w:rPr>
        <w:t>处理；</w:t>
      </w:r>
    </w:p>
    <w:p w14:paraId="2F380AE1">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（2）</w:t>
      </w:r>
      <w:r>
        <w:rPr>
          <w:rFonts w:hint="default" w:ascii="Times New Roman" w:hAnsi="Times New Roman" w:cs="Times New Roman"/>
          <w:color w:val="auto"/>
          <w:szCs w:val="24"/>
          <w:highlight w:val="none"/>
          <w:shd w:val="clear" w:color="auto" w:fill="FFFFFF"/>
          <w:lang w:val="en-US" w:eastAsia="zh-CN"/>
        </w:rPr>
        <w:t>规范要求：制定数据实验区数据申请、使用规范，提供数据的生命周期、数据范围等；</w:t>
      </w:r>
    </w:p>
    <w:p w14:paraId="51B33D95">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（3）</w:t>
      </w:r>
      <w:r>
        <w:rPr>
          <w:rFonts w:hint="default" w:ascii="Times New Roman" w:hAnsi="Times New Roman" w:cs="Times New Roman"/>
          <w:color w:val="auto"/>
          <w:szCs w:val="24"/>
          <w:highlight w:val="none"/>
          <w:shd w:val="clear" w:color="auto" w:fill="FFFFFF"/>
          <w:lang w:val="en-US" w:eastAsia="zh-CN"/>
        </w:rPr>
        <w:t>资源隔离：</w:t>
      </w:r>
      <w:r>
        <w:rPr>
          <w:rFonts w:hint="eastAsia" w:ascii="Times New Roman" w:hAnsi="Times New Roman" w:cs="Times New Roman"/>
          <w:color w:val="auto"/>
          <w:szCs w:val="24"/>
          <w:highlight w:val="none"/>
          <w:shd w:val="clear" w:color="auto" w:fill="FFFFFF"/>
          <w:lang w:val="en-US" w:eastAsia="zh-CN"/>
        </w:rPr>
        <w:t>实验区使用租户进行资源隔离。</w:t>
      </w:r>
      <w:r>
        <w:rPr>
          <w:rFonts w:hint="default" w:ascii="Times New Roman" w:hAnsi="Times New Roman" w:cs="Times New Roman"/>
          <w:color w:val="auto"/>
          <w:szCs w:val="24"/>
          <w:highlight w:val="none"/>
          <w:shd w:val="clear" w:color="auto" w:fill="FFFFFF"/>
          <w:lang w:val="en-US" w:eastAsia="zh-CN"/>
        </w:rPr>
        <w:t>业务、技术人员在独立的数据实验区环境中进行数据探索</w:t>
      </w:r>
      <w:r>
        <w:rPr>
          <w:rFonts w:hint="eastAsia" w:ascii="Times New Roman" w:hAnsi="Times New Roman" w:cs="Times New Roman"/>
          <w:color w:val="auto"/>
          <w:szCs w:val="24"/>
          <w:highlight w:val="none"/>
          <w:shd w:val="clear" w:color="auto" w:fill="FFFFFF"/>
          <w:lang w:val="en-US" w:eastAsia="zh-CN"/>
        </w:rPr>
        <w:t>、</w:t>
      </w:r>
      <w:r>
        <w:rPr>
          <w:rFonts w:hint="default" w:ascii="Times New Roman" w:hAnsi="Times New Roman" w:cs="Times New Roman"/>
          <w:color w:val="auto"/>
          <w:szCs w:val="24"/>
          <w:highlight w:val="none"/>
          <w:shd w:val="clear" w:color="auto" w:fill="FFFFFF"/>
          <w:lang w:val="en-US" w:eastAsia="zh-CN"/>
        </w:rPr>
        <w:t>分析</w:t>
      </w:r>
      <w:r>
        <w:rPr>
          <w:rFonts w:hint="eastAsia" w:ascii="Times New Roman" w:hAnsi="Times New Roman" w:cs="Times New Roman"/>
          <w:color w:val="auto"/>
          <w:szCs w:val="24"/>
          <w:highlight w:val="none"/>
          <w:shd w:val="clear" w:color="auto" w:fill="FFFFFF"/>
          <w:lang w:val="en-US" w:eastAsia="zh-CN"/>
        </w:rPr>
        <w:t>和验证</w:t>
      </w:r>
      <w:r>
        <w:rPr>
          <w:rFonts w:hint="default" w:ascii="Times New Roman" w:hAnsi="Times New Roman" w:cs="Times New Roman"/>
          <w:color w:val="auto"/>
          <w:szCs w:val="24"/>
          <w:highlight w:val="none"/>
          <w:shd w:val="clear" w:color="auto" w:fill="FFFFFF"/>
          <w:lang w:val="en-US" w:eastAsia="zh-CN"/>
        </w:rPr>
        <w:t>，不会影响生产数据库中的日常批量和实时业务；</w:t>
      </w:r>
    </w:p>
    <w:p w14:paraId="0BD05B8C">
      <w:pPr>
        <w:numPr>
          <w:ilvl w:val="0"/>
          <w:numId w:val="0"/>
        </w:numPr>
        <w:ind w:left="0" w:leftChars="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（4）</w:t>
      </w:r>
      <w:r>
        <w:rPr>
          <w:rFonts w:hint="default" w:ascii="Times New Roman" w:hAnsi="Times New Roman" w:cs="Times New Roman"/>
          <w:color w:val="auto"/>
          <w:szCs w:val="24"/>
          <w:highlight w:val="none"/>
          <w:shd w:val="clear" w:color="auto" w:fill="FFFFFF"/>
          <w:lang w:val="en-US" w:eastAsia="zh-CN"/>
        </w:rPr>
        <w:t>数据隔离：业务、技术人员可以在其中进行各种数据操作，包括插入、修改和删除数据，而不会对生产数据产生任何影响。</w:t>
      </w:r>
    </w:p>
    <w:p w14:paraId="604AFF92">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 xml:space="preserve"> </w:t>
      </w:r>
      <w:r>
        <w:rPr>
          <w:rFonts w:hint="eastAsia" w:ascii="Times New Roman" w:hAnsi="Times New Roman" w:cs="Times New Roman"/>
          <w:b/>
          <w:bCs w:val="0"/>
          <w:color w:val="auto"/>
          <w:highlight w:val="none"/>
          <w:lang w:val="en-US" w:eastAsia="zh-CN"/>
        </w:rPr>
        <w:t>灾备</w:t>
      </w:r>
      <w:r>
        <w:rPr>
          <w:rFonts w:hint="default" w:ascii="Times New Roman" w:hAnsi="Times New Roman" w:cs="Times New Roman"/>
          <w:b/>
          <w:bCs w:val="0"/>
          <w:color w:val="auto"/>
          <w:highlight w:val="none"/>
          <w:lang w:val="en-US" w:eastAsia="zh-CN"/>
        </w:rPr>
        <w:t>建设</w:t>
      </w:r>
    </w:p>
    <w:p w14:paraId="319584C5">
      <w:pPr>
        <w:ind w:left="0" w:firstLine="480" w:firstLineChars="200"/>
        <w:rPr>
          <w:rFonts w:hint="eastAsia"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参选人需根据灾备方案完成新一代数据中台的数据服务版块和实时数仓版块的灾备建设（同城双活），保障对应版块的数据安全和业务连续性。灾备建设的具体要求包括但不限于：</w:t>
      </w:r>
    </w:p>
    <w:p w14:paraId="219898FA">
      <w:pPr>
        <w:numPr>
          <w:ilvl w:val="0"/>
          <w:numId w:val="14"/>
        </w:numPr>
        <w:ind w:left="0" w:firstLine="480" w:firstLineChars="200"/>
        <w:rPr>
          <w:rFonts w:hint="eastAsia"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参选人需提供灾备环境搭建所需的各类软件工具产品；</w:t>
      </w:r>
    </w:p>
    <w:p w14:paraId="0BD8A447">
      <w:pPr>
        <w:numPr>
          <w:ilvl w:val="0"/>
          <w:numId w:val="14"/>
        </w:numPr>
        <w:ind w:left="0" w:firstLine="480" w:firstLineChars="200"/>
        <w:rPr>
          <w:rFonts w:hint="eastAsia"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参选人需完成灾备环境的搭建，包括但不限于应用服务搭建、数据同步、监控预警策略配置、故障转移机制设置等；</w:t>
      </w:r>
    </w:p>
    <w:p w14:paraId="2C683F8E">
      <w:pPr>
        <w:numPr>
          <w:ilvl w:val="0"/>
          <w:numId w:val="14"/>
        </w:numPr>
        <w:ind w:left="0" w:firstLine="480" w:firstLineChars="200"/>
        <w:rPr>
          <w:rFonts w:hint="eastAsia"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灾备建设需在整体业务连续性基础上，满足业务恢复时间目标不超过2分钟以及数据恢复点目标不超过2分钟的要求；</w:t>
      </w:r>
    </w:p>
    <w:p w14:paraId="4AB16E06">
      <w:pPr>
        <w:numPr>
          <w:ilvl w:val="0"/>
          <w:numId w:val="14"/>
        </w:numPr>
        <w:ind w:left="0"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参选人在建设完成后需进行灾备演练，确保灾备服务的可用性和稳定性。</w:t>
      </w:r>
    </w:p>
    <w:bookmarkEnd w:id="51"/>
    <w:p w14:paraId="42896124">
      <w:pPr>
        <w:pStyle w:val="4"/>
        <w:keepNext w:val="0"/>
        <w:keepLines w:val="0"/>
        <w:pageBreakBefore w:val="0"/>
        <w:widowControl w:val="0"/>
        <w:numPr>
          <w:ilvl w:val="1"/>
          <w:numId w:val="2"/>
        </w:numPr>
        <w:kinsoku/>
        <w:wordWrap/>
        <w:overflowPunct/>
        <w:topLinePunct w:val="0"/>
        <w:autoSpaceDE w:val="0"/>
        <w:autoSpaceDN w:val="0"/>
        <w:bidi w:val="0"/>
        <w:adjustRightInd/>
        <w:snapToGrid/>
        <w:ind w:left="0" w:leftChars="0" w:firstLine="482" w:firstLineChars="200"/>
        <w:textAlignment w:val="auto"/>
        <w:outlineLvl w:val="2"/>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数据管理与运营体系规划</w:t>
      </w:r>
    </w:p>
    <w:p w14:paraId="2433D907">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应根据比选人的组织架构、业务情况以及内外部监管要求等，借鉴业内先进的实践经验和成果，结合本项目的实际建设情况，为比选人规划一套完善的数据管理与运营体系，为项目实施和比选人后续规范化管理、运营提供依据和保障。</w:t>
      </w:r>
    </w:p>
    <w:p w14:paraId="137D3026">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开发</w:t>
      </w:r>
      <w:r>
        <w:rPr>
          <w:rFonts w:hint="default" w:ascii="Times New Roman" w:hAnsi="Times New Roman" w:cs="Times New Roman"/>
          <w:b/>
          <w:bCs w:val="0"/>
          <w:color w:val="auto"/>
          <w:highlight w:val="none"/>
          <w:lang w:val="en-US" w:eastAsia="zh-CN"/>
        </w:rPr>
        <w:t>规范</w:t>
      </w:r>
    </w:p>
    <w:p w14:paraId="50726D63">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参选人需为比选人</w:t>
      </w:r>
      <w:r>
        <w:rPr>
          <w:rFonts w:hint="default" w:ascii="Times New Roman" w:hAnsi="Times New Roman" w:cs="Times New Roman"/>
          <w:color w:val="auto"/>
          <w:highlight w:val="none"/>
          <w:lang w:val="zh-CN"/>
        </w:rPr>
        <w:t>制定一套完整、统一的规范</w:t>
      </w:r>
      <w:r>
        <w:rPr>
          <w:rFonts w:hint="default" w:ascii="Times New Roman" w:hAnsi="Times New Roman" w:cs="Times New Roman"/>
          <w:color w:val="auto"/>
          <w:highlight w:val="none"/>
          <w:lang w:val="en-US" w:eastAsia="zh-CN"/>
        </w:rPr>
        <w:t>并</w:t>
      </w:r>
      <w:r>
        <w:rPr>
          <w:rFonts w:hint="eastAsia" w:ascii="Times New Roman" w:hAnsi="Times New Roman" w:cs="Times New Roman"/>
          <w:color w:val="auto"/>
          <w:highlight w:val="none"/>
          <w:lang w:val="en-US" w:eastAsia="zh-CN"/>
        </w:rPr>
        <w:t>形成</w:t>
      </w:r>
      <w:r>
        <w:rPr>
          <w:rFonts w:hint="default" w:ascii="Times New Roman" w:hAnsi="Times New Roman" w:cs="Times New Roman"/>
          <w:color w:val="auto"/>
          <w:highlight w:val="none"/>
          <w:lang w:val="en-US" w:eastAsia="zh-CN"/>
        </w:rPr>
        <w:t>文档，为比选人后续数据开发、运营、管理</w:t>
      </w:r>
      <w:r>
        <w:rPr>
          <w:rFonts w:hint="eastAsia" w:ascii="Times New Roman" w:hAnsi="Times New Roman" w:cs="Times New Roman"/>
          <w:color w:val="auto"/>
          <w:highlight w:val="none"/>
          <w:lang w:val="en-US" w:eastAsia="zh-CN"/>
        </w:rPr>
        <w:t>和</w:t>
      </w:r>
      <w:r>
        <w:rPr>
          <w:rFonts w:hint="default" w:ascii="Times New Roman" w:hAnsi="Times New Roman" w:cs="Times New Roman"/>
          <w:color w:val="auto"/>
          <w:highlight w:val="none"/>
          <w:lang w:val="en-US" w:eastAsia="zh-CN"/>
        </w:rPr>
        <w:t>运维</w:t>
      </w:r>
      <w:r>
        <w:rPr>
          <w:rFonts w:hint="eastAsia" w:ascii="Times New Roman" w:hAnsi="Times New Roman" w:cs="Times New Roman"/>
          <w:color w:val="auto"/>
          <w:highlight w:val="none"/>
          <w:lang w:val="en-US" w:eastAsia="zh-CN"/>
        </w:rPr>
        <w:t>全流程</w:t>
      </w:r>
      <w:r>
        <w:rPr>
          <w:rFonts w:hint="default" w:ascii="Times New Roman" w:hAnsi="Times New Roman" w:cs="Times New Roman"/>
          <w:color w:val="auto"/>
          <w:highlight w:val="none"/>
          <w:lang w:val="zh-CN"/>
        </w:rPr>
        <w:t>提供明确的</w:t>
      </w:r>
      <w:r>
        <w:rPr>
          <w:rFonts w:hint="default" w:ascii="Times New Roman" w:hAnsi="Times New Roman" w:cs="Times New Roman"/>
          <w:color w:val="auto"/>
          <w:highlight w:val="none"/>
          <w:lang w:val="en-US" w:eastAsia="zh-CN"/>
        </w:rPr>
        <w:t>操作要求</w:t>
      </w:r>
      <w:r>
        <w:rPr>
          <w:rFonts w:hint="default" w:ascii="Times New Roman" w:hAnsi="Times New Roman" w:cs="Times New Roman"/>
          <w:color w:val="auto"/>
          <w:highlight w:val="none"/>
          <w:lang w:val="zh-CN"/>
        </w:rPr>
        <w:t>和标准。</w:t>
      </w:r>
      <w:r>
        <w:rPr>
          <w:rFonts w:hint="default" w:ascii="Times New Roman" w:hAnsi="Times New Roman" w:cs="Times New Roman"/>
          <w:color w:val="auto"/>
          <w:highlight w:val="none"/>
          <w:lang w:val="en-US" w:eastAsia="zh-CN"/>
        </w:rPr>
        <w:t>在制定规范时，参选人应充分参考业内先进经验，</w:t>
      </w:r>
      <w:r>
        <w:rPr>
          <w:rFonts w:hint="eastAsia" w:ascii="Times New Roman" w:hAnsi="Times New Roman" w:cs="Times New Roman"/>
          <w:color w:val="auto"/>
          <w:highlight w:val="none"/>
          <w:lang w:val="en-US" w:eastAsia="zh-CN"/>
        </w:rPr>
        <w:t>基于“DataOps”数据敏捷研发体系，将数据治理深入融合到数据开发全流程规范中。同时，开发规范需根据</w:t>
      </w:r>
      <w:r>
        <w:rPr>
          <w:rFonts w:hint="default" w:ascii="Times New Roman" w:hAnsi="Times New Roman" w:cs="Times New Roman"/>
          <w:color w:val="auto"/>
          <w:highlight w:val="none"/>
          <w:lang w:val="en-US" w:eastAsia="zh-CN"/>
        </w:rPr>
        <w:t>比选人实际情况</w:t>
      </w:r>
      <w:r>
        <w:rPr>
          <w:rFonts w:hint="eastAsia" w:ascii="Times New Roman" w:hAnsi="Times New Roman" w:cs="Times New Roman"/>
          <w:color w:val="auto"/>
          <w:highlight w:val="none"/>
          <w:lang w:val="en-US" w:eastAsia="zh-CN"/>
        </w:rPr>
        <w:t>进行规划设计</w:t>
      </w:r>
      <w:r>
        <w:rPr>
          <w:rFonts w:hint="default" w:ascii="Times New Roman" w:hAnsi="Times New Roman" w:cs="Times New Roman"/>
          <w:color w:val="auto"/>
          <w:highlight w:val="none"/>
          <w:lang w:val="en-US" w:eastAsia="zh-CN"/>
        </w:rPr>
        <w:t>，确保规范切实可行。参选人提供的</w:t>
      </w:r>
      <w:r>
        <w:rPr>
          <w:rFonts w:hint="eastAsia" w:ascii="Times New Roman" w:hAnsi="Times New Roman" w:cs="Times New Roman"/>
          <w:color w:val="auto"/>
          <w:highlight w:val="none"/>
          <w:lang w:val="en-US" w:eastAsia="zh-CN"/>
        </w:rPr>
        <w:t>开发</w:t>
      </w:r>
      <w:r>
        <w:rPr>
          <w:rFonts w:hint="default" w:ascii="Times New Roman" w:hAnsi="Times New Roman" w:cs="Times New Roman"/>
          <w:color w:val="auto"/>
          <w:highlight w:val="none"/>
          <w:lang w:val="en-US" w:eastAsia="zh-CN"/>
        </w:rPr>
        <w:t>规范应包括但不限于：数据采集规范、数据存储规范、数据建模规范、数据开发规范、数据服务规范</w:t>
      </w:r>
      <w:r>
        <w:rPr>
          <w:rFonts w:hint="eastAsia" w:ascii="Times New Roman" w:hAnsi="Times New Roman" w:cs="Times New Roman"/>
          <w:color w:val="auto"/>
          <w:highlight w:val="none"/>
          <w:lang w:val="en-US" w:eastAsia="zh-CN"/>
        </w:rPr>
        <w:t>等</w:t>
      </w:r>
      <w:r>
        <w:rPr>
          <w:rFonts w:hint="default" w:ascii="Times New Roman" w:hAnsi="Times New Roman" w:cs="Times New Roman"/>
          <w:color w:val="auto"/>
          <w:highlight w:val="none"/>
          <w:lang w:val="en-US" w:eastAsia="zh-CN"/>
        </w:rPr>
        <w:t>。</w:t>
      </w:r>
    </w:p>
    <w:p w14:paraId="7DBA14AE">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管理制度</w:t>
      </w:r>
    </w:p>
    <w:p w14:paraId="08A74109">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为确保</w:t>
      </w:r>
      <w:r>
        <w:rPr>
          <w:rFonts w:hint="eastAsia" w:ascii="Times New Roman" w:hAnsi="Times New Roman" w:cs="Times New Roman"/>
          <w:color w:val="auto"/>
          <w:highlight w:val="none"/>
          <w:lang w:val="en-US" w:eastAsia="zh-CN"/>
        </w:rPr>
        <w:t>本</w:t>
      </w:r>
      <w:r>
        <w:rPr>
          <w:rFonts w:hint="default" w:ascii="Times New Roman" w:hAnsi="Times New Roman" w:cs="Times New Roman"/>
          <w:color w:val="auto"/>
          <w:highlight w:val="none"/>
          <w:lang w:val="en-US" w:eastAsia="zh-CN"/>
        </w:rPr>
        <w:t>项目建成后数据中台的日常</w:t>
      </w:r>
      <w:r>
        <w:rPr>
          <w:rFonts w:hint="eastAsia" w:ascii="Times New Roman" w:hAnsi="Times New Roman" w:cs="Times New Roman"/>
          <w:color w:val="auto"/>
          <w:highlight w:val="none"/>
          <w:lang w:val="en-US" w:eastAsia="zh-CN"/>
        </w:rPr>
        <w:t>数据开发和管理</w:t>
      </w:r>
      <w:r>
        <w:rPr>
          <w:rFonts w:hint="default" w:ascii="Times New Roman" w:hAnsi="Times New Roman" w:cs="Times New Roman"/>
          <w:color w:val="auto"/>
          <w:highlight w:val="none"/>
          <w:lang w:val="en-US" w:eastAsia="zh-CN"/>
        </w:rPr>
        <w:t>有</w:t>
      </w:r>
      <w:r>
        <w:rPr>
          <w:rFonts w:hint="eastAsia" w:ascii="Times New Roman" w:hAnsi="Times New Roman" w:cs="Times New Roman"/>
          <w:color w:val="auto"/>
          <w:highlight w:val="none"/>
          <w:lang w:val="en-US" w:eastAsia="zh-CN"/>
        </w:rPr>
        <w:t>制度</w:t>
      </w:r>
      <w:r>
        <w:rPr>
          <w:rFonts w:hint="default" w:ascii="Times New Roman" w:hAnsi="Times New Roman" w:cs="Times New Roman"/>
          <w:color w:val="auto"/>
          <w:highlight w:val="none"/>
          <w:lang w:val="en-US" w:eastAsia="zh-CN"/>
        </w:rPr>
        <w:t>和</w:t>
      </w:r>
      <w:r>
        <w:rPr>
          <w:rFonts w:hint="eastAsia" w:ascii="Times New Roman" w:hAnsi="Times New Roman" w:cs="Times New Roman"/>
          <w:color w:val="auto"/>
          <w:highlight w:val="none"/>
          <w:lang w:val="en-US" w:eastAsia="zh-CN"/>
        </w:rPr>
        <w:t>流程</w:t>
      </w:r>
      <w:r>
        <w:rPr>
          <w:rFonts w:hint="default" w:ascii="Times New Roman" w:hAnsi="Times New Roman" w:cs="Times New Roman"/>
          <w:color w:val="auto"/>
          <w:highlight w:val="none"/>
          <w:lang w:val="en-US" w:eastAsia="zh-CN"/>
        </w:rPr>
        <w:t>依据，参选人需根据监管要求及行内规章</w:t>
      </w:r>
      <w:r>
        <w:rPr>
          <w:rFonts w:hint="eastAsia" w:ascii="Times New Roman" w:hAnsi="Times New Roman" w:cs="Times New Roman"/>
          <w:color w:val="auto"/>
          <w:highlight w:val="none"/>
          <w:lang w:val="en-US" w:eastAsia="zh-CN"/>
        </w:rPr>
        <w:t>制度</w:t>
      </w:r>
      <w:r>
        <w:rPr>
          <w:rFonts w:hint="default" w:ascii="Times New Roman" w:hAnsi="Times New Roman" w:cs="Times New Roman"/>
          <w:color w:val="auto"/>
          <w:highlight w:val="none"/>
          <w:lang w:val="en-US" w:eastAsia="zh-CN"/>
        </w:rPr>
        <w:t>要求等，按照行内规章制度编写规范，撰写全新的相关配套的规章制度以及优化修改现有制度内容以适应新数据中台的架构设计</w:t>
      </w:r>
      <w:r>
        <w:rPr>
          <w:rFonts w:hint="eastAsia" w:ascii="Times New Roman" w:hAnsi="Times New Roman" w:cs="Times New Roman"/>
          <w:color w:val="auto"/>
          <w:highlight w:val="none"/>
          <w:lang w:val="en-US" w:eastAsia="zh-CN"/>
        </w:rPr>
        <w:t>，同时设计</w:t>
      </w:r>
      <w:r>
        <w:rPr>
          <w:rFonts w:hint="default" w:ascii="Times New Roman" w:hAnsi="Times New Roman" w:cs="Times New Roman"/>
          <w:color w:val="auto"/>
          <w:highlight w:val="none"/>
          <w:lang w:val="en-US" w:eastAsia="zh-CN"/>
        </w:rPr>
        <w:t>一整套完善的数据开发、维护、服务流程以确保数据开发活动的高效、规范和可控。参选人提供的管理</w:t>
      </w:r>
      <w:r>
        <w:rPr>
          <w:rFonts w:hint="eastAsia" w:ascii="Times New Roman" w:hAnsi="Times New Roman" w:cs="Times New Roman"/>
          <w:color w:val="auto"/>
          <w:highlight w:val="none"/>
          <w:lang w:val="en-US" w:eastAsia="zh-CN"/>
        </w:rPr>
        <w:t>制度</w:t>
      </w:r>
      <w:r>
        <w:rPr>
          <w:rFonts w:hint="default" w:ascii="Times New Roman" w:hAnsi="Times New Roman" w:cs="Times New Roman"/>
          <w:color w:val="auto"/>
          <w:highlight w:val="none"/>
          <w:lang w:val="en-US" w:eastAsia="zh-CN"/>
        </w:rPr>
        <w:t>应包括但不限于：数据</w:t>
      </w:r>
      <w:r>
        <w:rPr>
          <w:rFonts w:hint="eastAsia" w:ascii="Times New Roman" w:hAnsi="Times New Roman" w:cs="Times New Roman"/>
          <w:color w:val="auto"/>
          <w:highlight w:val="none"/>
          <w:lang w:val="en-US" w:eastAsia="zh-CN"/>
        </w:rPr>
        <w:t>管理相关制度及流程</w:t>
      </w:r>
      <w:r>
        <w:rPr>
          <w:rFonts w:hint="default" w:ascii="Times New Roman" w:hAnsi="Times New Roman" w:cs="Times New Roman"/>
          <w:color w:val="auto"/>
          <w:highlight w:val="none"/>
          <w:lang w:val="en-US" w:eastAsia="zh-CN"/>
        </w:rPr>
        <w:t>、数据开发</w:t>
      </w:r>
      <w:r>
        <w:rPr>
          <w:rFonts w:hint="eastAsia" w:ascii="Times New Roman" w:hAnsi="Times New Roman" w:cs="Times New Roman"/>
          <w:color w:val="auto"/>
          <w:highlight w:val="none"/>
          <w:lang w:val="en-US" w:eastAsia="zh-CN"/>
        </w:rPr>
        <w:t>相关</w:t>
      </w:r>
      <w:r>
        <w:rPr>
          <w:rFonts w:hint="default" w:ascii="Times New Roman" w:hAnsi="Times New Roman" w:cs="Times New Roman"/>
          <w:color w:val="auto"/>
          <w:highlight w:val="none"/>
          <w:lang w:val="en-US" w:eastAsia="zh-CN"/>
        </w:rPr>
        <w:t>制度</w:t>
      </w:r>
      <w:r>
        <w:rPr>
          <w:rFonts w:hint="eastAsia" w:ascii="Times New Roman" w:hAnsi="Times New Roman" w:cs="Times New Roman"/>
          <w:color w:val="auto"/>
          <w:highlight w:val="none"/>
          <w:lang w:val="en-US" w:eastAsia="zh-CN"/>
        </w:rPr>
        <w:t>及流程</w:t>
      </w:r>
      <w:r>
        <w:rPr>
          <w:rFonts w:hint="default" w:ascii="Times New Roman" w:hAnsi="Times New Roman" w:cs="Times New Roman"/>
          <w:color w:val="auto"/>
          <w:highlight w:val="none"/>
          <w:lang w:val="en-US" w:eastAsia="zh-CN"/>
        </w:rPr>
        <w:t>、数据运维</w:t>
      </w:r>
      <w:r>
        <w:rPr>
          <w:rFonts w:hint="eastAsia" w:ascii="Times New Roman" w:hAnsi="Times New Roman" w:cs="Times New Roman"/>
          <w:color w:val="auto"/>
          <w:highlight w:val="none"/>
          <w:lang w:val="en-US" w:eastAsia="zh-CN"/>
        </w:rPr>
        <w:t>相关</w:t>
      </w:r>
      <w:r>
        <w:rPr>
          <w:rFonts w:hint="default" w:ascii="Times New Roman" w:hAnsi="Times New Roman" w:cs="Times New Roman"/>
          <w:color w:val="auto"/>
          <w:highlight w:val="none"/>
          <w:lang w:val="en-US" w:eastAsia="zh-CN"/>
        </w:rPr>
        <w:t>制度</w:t>
      </w:r>
      <w:r>
        <w:rPr>
          <w:rFonts w:hint="eastAsia" w:ascii="Times New Roman" w:hAnsi="Times New Roman" w:cs="Times New Roman"/>
          <w:color w:val="auto"/>
          <w:highlight w:val="none"/>
          <w:lang w:val="en-US" w:eastAsia="zh-CN"/>
        </w:rPr>
        <w:t>及流程</w:t>
      </w:r>
      <w:r>
        <w:rPr>
          <w:rFonts w:hint="default" w:ascii="Times New Roman" w:hAnsi="Times New Roman" w:cs="Times New Roman"/>
          <w:color w:val="auto"/>
          <w:highlight w:val="none"/>
          <w:lang w:val="en-US" w:eastAsia="zh-CN"/>
        </w:rPr>
        <w:t>、数据治理</w:t>
      </w:r>
      <w:r>
        <w:rPr>
          <w:rFonts w:hint="eastAsia" w:ascii="Times New Roman" w:hAnsi="Times New Roman" w:cs="Times New Roman"/>
          <w:color w:val="auto"/>
          <w:highlight w:val="none"/>
          <w:lang w:val="en-US" w:eastAsia="zh-CN"/>
        </w:rPr>
        <w:t>相关</w:t>
      </w:r>
      <w:r>
        <w:rPr>
          <w:rFonts w:hint="default" w:ascii="Times New Roman" w:hAnsi="Times New Roman" w:cs="Times New Roman"/>
          <w:color w:val="auto"/>
          <w:highlight w:val="none"/>
          <w:lang w:val="en-US" w:eastAsia="zh-CN"/>
        </w:rPr>
        <w:t>制度</w:t>
      </w:r>
      <w:r>
        <w:rPr>
          <w:rFonts w:hint="eastAsia" w:ascii="Times New Roman" w:hAnsi="Times New Roman" w:cs="Times New Roman"/>
          <w:color w:val="auto"/>
          <w:highlight w:val="none"/>
          <w:lang w:val="en-US" w:eastAsia="zh-CN"/>
        </w:rPr>
        <w:t>及流程等</w:t>
      </w:r>
      <w:r>
        <w:rPr>
          <w:rFonts w:hint="default" w:ascii="Times New Roman" w:hAnsi="Times New Roman" w:cs="Times New Roman"/>
          <w:color w:val="auto"/>
          <w:highlight w:val="none"/>
          <w:lang w:val="en-US" w:eastAsia="zh-CN"/>
        </w:rPr>
        <w:t>。</w:t>
      </w:r>
    </w:p>
    <w:p w14:paraId="34E23606">
      <w:pPr>
        <w:pStyle w:val="5"/>
        <w:keepNext w:val="0"/>
        <w:keepLines w:val="0"/>
        <w:pageBreakBefore w:val="0"/>
        <w:widowControl w:val="0"/>
        <w:numPr>
          <w:ilvl w:val="2"/>
          <w:numId w:val="2"/>
        </w:numPr>
        <w:kinsoku/>
        <w:wordWrap/>
        <w:overflowPunct/>
        <w:topLinePunct w:val="0"/>
        <w:autoSpaceDE w:val="0"/>
        <w:autoSpaceDN w:val="0"/>
        <w:bidi w:val="0"/>
        <w:adjustRightInd/>
        <w:snapToGrid/>
        <w:ind w:left="0" w:leftChars="0"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 </w:t>
      </w:r>
      <w:r>
        <w:rPr>
          <w:rFonts w:hint="default" w:ascii="Times New Roman" w:hAnsi="Times New Roman" w:cs="Times New Roman"/>
          <w:b/>
          <w:bCs w:val="0"/>
          <w:color w:val="auto"/>
          <w:highlight w:val="none"/>
          <w:lang w:val="en-US" w:eastAsia="zh-CN"/>
        </w:rPr>
        <w:t>组织保障</w:t>
      </w:r>
    </w:p>
    <w:p w14:paraId="598B4DDB">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新一代数据中台建设完成后，将强化其</w:t>
      </w:r>
      <w:r>
        <w:rPr>
          <w:rFonts w:hint="eastAsia" w:ascii="Times New Roman" w:hAnsi="Times New Roman" w:cs="Times New Roman"/>
          <w:color w:val="auto"/>
          <w:highlight w:val="none"/>
          <w:lang w:val="en-US" w:eastAsia="zh-CN"/>
        </w:rPr>
        <w:t>“数融一体</w:t>
      </w:r>
      <w:r>
        <w:rPr>
          <w:rFonts w:hint="default" w:ascii="Times New Roman" w:hAnsi="Times New Roman" w:cs="Times New Roman"/>
          <w:color w:val="auto"/>
          <w:highlight w:val="none"/>
          <w:lang w:val="en-US" w:eastAsia="zh-CN"/>
        </w:rPr>
        <w:t>、全面赋能</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的特点，作为全域数据的管理者、业务创新的支撑者、全面数字化的推动者，数据管理部门需要配备更先进的组织职能架构，以适应</w:t>
      </w:r>
      <w:r>
        <w:rPr>
          <w:rFonts w:hint="eastAsia" w:ascii="Times New Roman" w:hAnsi="Times New Roman" w:cs="Times New Roman"/>
          <w:color w:val="auto"/>
          <w:highlight w:val="none"/>
          <w:lang w:val="en-US" w:eastAsia="zh-CN"/>
        </w:rPr>
        <w:t>新一代</w:t>
      </w:r>
      <w:r>
        <w:rPr>
          <w:rFonts w:hint="default" w:ascii="Times New Roman" w:hAnsi="Times New Roman" w:cs="Times New Roman"/>
          <w:color w:val="auto"/>
          <w:highlight w:val="none"/>
          <w:lang w:val="en-US" w:eastAsia="zh-CN"/>
        </w:rPr>
        <w:t>数据中台的新要求。参选人需结合同业类似数据管理部门的职能架构，设计出切合比选人实际情况的数据管理组织职能架构，包括但不限于以下内容</w:t>
      </w:r>
      <w:r>
        <w:rPr>
          <w:rFonts w:hint="eastAsia" w:ascii="Times New Roman" w:hAnsi="Times New Roman" w:cs="Times New Roman"/>
          <w:color w:val="auto"/>
          <w:highlight w:val="none"/>
          <w:lang w:val="en-US" w:eastAsia="zh-CN"/>
        </w:rPr>
        <w:t>：</w:t>
      </w:r>
    </w:p>
    <w:p w14:paraId="273BCB50">
      <w:pPr>
        <w:numPr>
          <w:ilvl w:val="0"/>
          <w:numId w:val="0"/>
        </w:numPr>
        <w:ind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厘清数据管理部门与其他部门的在数据治理、数据开发等方面边界，建立有效的跨部门协作和信息共享机制</w:t>
      </w:r>
      <w:r>
        <w:rPr>
          <w:rFonts w:hint="eastAsia" w:ascii="Times New Roman" w:hAnsi="Times New Roman" w:cs="Times New Roman"/>
          <w:color w:val="auto"/>
          <w:highlight w:val="none"/>
          <w:lang w:val="en-US" w:eastAsia="zh-CN"/>
        </w:rPr>
        <w:t>；</w:t>
      </w:r>
    </w:p>
    <w:p w14:paraId="0980B4B3">
      <w:pPr>
        <w:numPr>
          <w:ilvl w:val="0"/>
          <w:numId w:val="0"/>
        </w:numPr>
        <w:ind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明确数据管理部门的岗位设置和职责划分，根据日常工作内容设置相关岗位，明确各岗位的职责边界和协作关系；</w:t>
      </w:r>
    </w:p>
    <w:p w14:paraId="40B6865E">
      <w:pPr>
        <w:numPr>
          <w:ilvl w:val="0"/>
          <w:numId w:val="0"/>
        </w:numPr>
        <w:ind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设计规划数据管理部门的人员及团队配置，明确各类数据专业人才的需求，建立跨职能的数据治理、数据开发、数据分析等团队</w:t>
      </w:r>
      <w:r>
        <w:rPr>
          <w:rFonts w:hint="eastAsia" w:ascii="Times New Roman" w:hAnsi="Times New Roman" w:cs="Times New Roman"/>
          <w:color w:val="auto"/>
          <w:highlight w:val="none"/>
          <w:lang w:val="en-US" w:eastAsia="zh-CN"/>
        </w:rPr>
        <w:t>。</w:t>
      </w:r>
    </w:p>
    <w:p w14:paraId="66C8F5BF">
      <w:pPr>
        <w:pStyle w:val="3"/>
        <w:numPr>
          <w:ilvl w:val="0"/>
          <w:numId w:val="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项目管理与实施要求</w:t>
      </w:r>
    </w:p>
    <w:p w14:paraId="3270DCBB">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项目管理要求</w:t>
      </w:r>
    </w:p>
    <w:p w14:paraId="0C12CAB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参</w:t>
      </w:r>
      <w:r>
        <w:rPr>
          <w:rFonts w:hint="default" w:ascii="Times New Roman" w:hAnsi="Times New Roman" w:cs="Times New Roman"/>
          <w:color w:val="auto"/>
          <w:highlight w:val="none"/>
        </w:rPr>
        <w:t>选人须制定符合规范的项目管理制度和工作流程，定期向比选人提供项目实施进展情况报告，通过规范化的项目管理，确保本次项目的开发改造、集成对接和实施部署工作能够按照计划高质量完成。比选人将派出相应管理人员或技术人员配合项目实施，并监督项目的质量</w:t>
      </w:r>
      <w:r>
        <w:rPr>
          <w:rFonts w:hint="default" w:ascii="Times New Roman" w:hAnsi="Times New Roman" w:cs="Times New Roman"/>
          <w:color w:val="auto"/>
          <w:highlight w:val="none"/>
          <w:lang w:eastAsia="zh-CN"/>
        </w:rPr>
        <w:t>；</w:t>
      </w:r>
    </w:p>
    <w:p w14:paraId="0A7AB0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highlight w:val="none"/>
          <w:lang w:eastAsia="zh-CN"/>
        </w:rPr>
      </w:pPr>
      <w:bookmarkStart w:id="52" w:name="_Toc440617080"/>
      <w:bookmarkStart w:id="53" w:name="_Toc440599793"/>
      <w:bookmarkStart w:id="54" w:name="_Toc440618791"/>
      <w:bookmarkStart w:id="55" w:name="_Toc440616947"/>
      <w:bookmarkStart w:id="56" w:name="_Toc440618281"/>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在本项目实施周期内，如遇到</w:t>
      </w:r>
      <w:r>
        <w:rPr>
          <w:rFonts w:hint="default" w:ascii="Times New Roman" w:hAnsi="Times New Roman" w:cs="Times New Roman"/>
          <w:color w:val="auto"/>
          <w:highlight w:val="none"/>
          <w:lang w:val="en-US" w:eastAsia="zh-CN"/>
        </w:rPr>
        <w:t>原实施方案</w:t>
      </w:r>
      <w:r>
        <w:rPr>
          <w:rFonts w:hint="default" w:ascii="Times New Roman" w:hAnsi="Times New Roman" w:eastAsia="宋体" w:cs="Times New Roman"/>
          <w:color w:val="auto"/>
          <w:highlight w:val="none"/>
        </w:rPr>
        <w:t>与</w:t>
      </w:r>
      <w:r>
        <w:rPr>
          <w:rFonts w:hint="default" w:ascii="Times New Roman" w:hAnsi="Times New Roman" w:cs="Times New Roman"/>
          <w:color w:val="auto"/>
          <w:highlight w:val="none"/>
          <w:lang w:val="en-US" w:eastAsia="zh-CN"/>
        </w:rPr>
        <w:t>比选人</w:t>
      </w:r>
      <w:r>
        <w:rPr>
          <w:rFonts w:hint="default" w:ascii="Times New Roman" w:hAnsi="Times New Roman" w:eastAsia="宋体" w:cs="Times New Roman"/>
          <w:color w:val="auto"/>
          <w:highlight w:val="none"/>
        </w:rPr>
        <w:t>需求不符，需要及时调整实施方案，满足比选人的要求，并征得比选人同意方可变更</w:t>
      </w:r>
      <w:bookmarkEnd w:id="52"/>
      <w:bookmarkEnd w:id="53"/>
      <w:bookmarkEnd w:id="54"/>
      <w:bookmarkEnd w:id="55"/>
      <w:bookmarkEnd w:id="56"/>
      <w:r>
        <w:rPr>
          <w:rFonts w:hint="default" w:ascii="Times New Roman" w:hAnsi="Times New Roman" w:cs="Times New Roman"/>
          <w:color w:val="auto"/>
          <w:highlight w:val="none"/>
          <w:lang w:eastAsia="zh-CN"/>
        </w:rPr>
        <w:t>；</w:t>
      </w:r>
    </w:p>
    <w:p w14:paraId="114AD45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3）</w:t>
      </w:r>
      <w:r>
        <w:rPr>
          <w:rFonts w:hint="eastAsia" w:ascii="Times New Roman" w:hAnsi="Times New Roman" w:cs="Times New Roman"/>
          <w:color w:val="auto"/>
          <w:highlight w:val="none"/>
          <w:lang w:val="en-US" w:eastAsia="zh-CN"/>
        </w:rPr>
        <w:t>参</w:t>
      </w:r>
      <w:r>
        <w:rPr>
          <w:rFonts w:hint="default" w:ascii="Times New Roman" w:hAnsi="Times New Roman" w:cs="Times New Roman"/>
          <w:color w:val="auto"/>
          <w:highlight w:val="none"/>
        </w:rPr>
        <w:t>选人</w:t>
      </w:r>
      <w:r>
        <w:rPr>
          <w:rFonts w:hint="default" w:ascii="Times New Roman" w:hAnsi="Times New Roman" w:eastAsia="宋体" w:cs="Times New Roman"/>
          <w:color w:val="auto"/>
          <w:highlight w:val="none"/>
          <w:lang w:val="en-US" w:eastAsia="zh-CN"/>
        </w:rPr>
        <w:t>项目管理人员和技术人员均应按照</w:t>
      </w:r>
      <w:r>
        <w:rPr>
          <w:rFonts w:hint="default" w:ascii="Times New Roman" w:hAnsi="Times New Roman" w:cs="Times New Roman"/>
          <w:color w:val="auto"/>
          <w:highlight w:val="none"/>
          <w:lang w:val="en-US" w:eastAsia="zh-CN"/>
        </w:rPr>
        <w:t>比选</w:t>
      </w:r>
      <w:r>
        <w:rPr>
          <w:rFonts w:hint="default" w:ascii="Times New Roman" w:hAnsi="Times New Roman" w:eastAsia="宋体" w:cs="Times New Roman"/>
          <w:color w:val="auto"/>
          <w:highlight w:val="none"/>
          <w:lang w:val="en-US" w:eastAsia="zh-CN"/>
        </w:rPr>
        <w:t>人的要求编写和审核项目过程中的</w:t>
      </w:r>
      <w:r>
        <w:rPr>
          <w:rFonts w:hint="default" w:ascii="Times New Roman" w:hAnsi="Times New Roman" w:cs="Times New Roman"/>
          <w:color w:val="auto"/>
          <w:highlight w:val="none"/>
          <w:lang w:val="en-US" w:eastAsia="zh-CN"/>
        </w:rPr>
        <w:t>所有</w:t>
      </w:r>
      <w:r>
        <w:rPr>
          <w:rFonts w:hint="default" w:ascii="Times New Roman" w:hAnsi="Times New Roman" w:eastAsia="宋体" w:cs="Times New Roman"/>
          <w:color w:val="auto"/>
          <w:highlight w:val="none"/>
          <w:lang w:val="en-US" w:eastAsia="zh-CN"/>
        </w:rPr>
        <w:t>文档，在项目的不同阶段向</w:t>
      </w:r>
      <w:r>
        <w:rPr>
          <w:rFonts w:hint="default" w:ascii="Times New Roman" w:hAnsi="Times New Roman" w:cs="Times New Roman"/>
          <w:color w:val="auto"/>
          <w:highlight w:val="none"/>
          <w:lang w:val="en-US" w:eastAsia="zh-CN"/>
        </w:rPr>
        <w:t>比选</w:t>
      </w:r>
      <w:r>
        <w:rPr>
          <w:rFonts w:hint="default" w:ascii="Times New Roman" w:hAnsi="Times New Roman" w:eastAsia="宋体" w:cs="Times New Roman"/>
          <w:color w:val="auto"/>
          <w:highlight w:val="none"/>
          <w:lang w:val="en-US" w:eastAsia="zh-CN"/>
        </w:rPr>
        <w:t>人提交相关文档，文档的编制要符合</w:t>
      </w:r>
      <w:r>
        <w:rPr>
          <w:rFonts w:hint="default" w:ascii="Times New Roman" w:hAnsi="Times New Roman" w:cs="Times New Roman"/>
          <w:color w:val="auto"/>
          <w:highlight w:val="none"/>
          <w:lang w:val="en-US" w:eastAsia="zh-CN"/>
        </w:rPr>
        <w:t>比选</w:t>
      </w:r>
      <w:r>
        <w:rPr>
          <w:rFonts w:hint="default" w:ascii="Times New Roman" w:hAnsi="Times New Roman" w:eastAsia="宋体" w:cs="Times New Roman"/>
          <w:color w:val="auto"/>
          <w:highlight w:val="none"/>
          <w:lang w:val="en-US" w:eastAsia="zh-CN"/>
        </w:rPr>
        <w:t>人的要求</w:t>
      </w:r>
      <w:r>
        <w:rPr>
          <w:rFonts w:hint="default" w:ascii="Times New Roman" w:hAnsi="Times New Roman" w:cs="Times New Roman"/>
          <w:color w:val="auto"/>
          <w:highlight w:val="none"/>
          <w:lang w:val="en-US" w:eastAsia="zh-CN"/>
        </w:rPr>
        <w:t>；</w:t>
      </w:r>
    </w:p>
    <w:p w14:paraId="4868124B">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4</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本项目为现场开发，原则上不允许远程开发模式，除非得到比选人的明确认可和授权</w:t>
      </w:r>
      <w:r>
        <w:rPr>
          <w:rFonts w:hint="eastAsia" w:ascii="Times New Roman" w:hAnsi="Times New Roman" w:cs="Times New Roman"/>
          <w:color w:val="auto"/>
          <w:highlight w:val="none"/>
          <w:lang w:eastAsia="zh-CN"/>
        </w:rPr>
        <w:t>；</w:t>
      </w:r>
    </w:p>
    <w:p w14:paraId="202283F6">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textAlignment w:val="auto"/>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eastAsia="zh-CN"/>
        </w:rPr>
        <w:t>项目实施过程中，所使用的软件、工具、文档等（包括但不限于）均不</w:t>
      </w:r>
      <w:r>
        <w:rPr>
          <w:rFonts w:hint="eastAsia" w:ascii="Times New Roman" w:hAnsi="Times New Roman" w:cs="Times New Roman"/>
          <w:color w:val="auto"/>
          <w:highlight w:val="none"/>
          <w:lang w:val="en-US" w:eastAsia="zh-CN"/>
        </w:rPr>
        <w:t>得</w:t>
      </w:r>
      <w:r>
        <w:rPr>
          <w:rFonts w:hint="default" w:ascii="Times New Roman" w:hAnsi="Times New Roman" w:eastAsia="宋体" w:cs="Times New Roman"/>
          <w:color w:val="auto"/>
          <w:highlight w:val="none"/>
          <w:lang w:eastAsia="zh-CN"/>
        </w:rPr>
        <w:t>侵犯第三方合法权益、知识产权、专利</w:t>
      </w:r>
      <w:r>
        <w:rPr>
          <w:rFonts w:hint="eastAsia" w:ascii="Times New Roman" w:hAnsi="Times New Roman" w:cs="Times New Roman"/>
          <w:color w:val="auto"/>
          <w:highlight w:val="none"/>
          <w:lang w:val="en-US" w:eastAsia="zh-CN"/>
        </w:rPr>
        <w:t>等</w:t>
      </w:r>
      <w:r>
        <w:rPr>
          <w:rFonts w:hint="eastAsia" w:ascii="Times New Roman" w:hAnsi="Times New Roman" w:cs="Times New Roman"/>
          <w:color w:val="auto"/>
          <w:highlight w:val="none"/>
          <w:lang w:eastAsia="zh-CN"/>
        </w:rPr>
        <w:t>。</w:t>
      </w:r>
    </w:p>
    <w:p w14:paraId="413F3BDF">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项目实施要求</w:t>
      </w:r>
    </w:p>
    <w:p w14:paraId="2FFC5D60">
      <w:pPr>
        <w:keepNext w:val="0"/>
        <w:keepLines w:val="0"/>
        <w:widowControl/>
        <w:suppressLineNumbers w:val="0"/>
        <w:jc w:val="left"/>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本项目作为比选人数字化转型的重要项目，也是数据体系建设的重要环节，</w:t>
      </w:r>
      <w:r>
        <w:rPr>
          <w:rFonts w:hint="eastAsia" w:ascii="Times New Roman" w:hAnsi="Times New Roman" w:cs="Times New Roman"/>
          <w:color w:val="auto"/>
          <w:highlight w:val="none"/>
          <w:lang w:val="en-US" w:eastAsia="zh-CN"/>
        </w:rPr>
        <w:t>参选人作为项目的实施方，在实施过程中应满足的要求包括但不限于：</w:t>
      </w:r>
    </w:p>
    <w:p w14:paraId="7AB7C2BF">
      <w:pPr>
        <w:keepNext w:val="0"/>
        <w:keepLines w:val="0"/>
        <w:widowControl/>
        <w:numPr>
          <w:ilvl w:val="0"/>
          <w:numId w:val="0"/>
        </w:numPr>
        <w:suppressLineNumbers w:val="0"/>
        <w:ind w:firstLine="480" w:firstLineChars="20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在项目实施和免费维保期间，需</w:t>
      </w:r>
      <w:r>
        <w:rPr>
          <w:rFonts w:hint="eastAsia" w:ascii="Times New Roman" w:hAnsi="Times New Roman" w:cs="Times New Roman"/>
          <w:color w:val="auto"/>
          <w:highlight w:val="none"/>
          <w:lang w:val="en-US" w:eastAsia="zh-CN"/>
        </w:rPr>
        <w:t>免费</w:t>
      </w:r>
      <w:r>
        <w:rPr>
          <w:rFonts w:hint="default" w:ascii="Times New Roman" w:hAnsi="Times New Roman" w:cs="Times New Roman"/>
          <w:color w:val="auto"/>
          <w:highlight w:val="none"/>
          <w:lang w:val="en-US" w:eastAsia="zh-CN"/>
        </w:rPr>
        <w:t>为比选人</w:t>
      </w:r>
      <w:r>
        <w:rPr>
          <w:rFonts w:hint="eastAsia" w:ascii="Times New Roman" w:hAnsi="Times New Roman" w:cs="Times New Roman"/>
          <w:color w:val="auto"/>
          <w:highlight w:val="none"/>
          <w:lang w:val="en-US" w:eastAsia="zh-CN"/>
        </w:rPr>
        <w:t>新一代数据中台项目后续期次的其他</w:t>
      </w:r>
      <w:r>
        <w:rPr>
          <w:rFonts w:hint="default" w:ascii="Times New Roman" w:hAnsi="Times New Roman" w:cs="Times New Roman"/>
          <w:color w:val="auto"/>
          <w:highlight w:val="none"/>
          <w:lang w:val="en-US" w:eastAsia="zh-CN"/>
        </w:rPr>
        <w:t>应用建设提供必要的技术支持</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服务适配</w:t>
      </w:r>
      <w:r>
        <w:rPr>
          <w:rFonts w:hint="eastAsia" w:ascii="Times New Roman" w:hAnsi="Times New Roman" w:cs="Times New Roman"/>
          <w:color w:val="auto"/>
          <w:highlight w:val="none"/>
          <w:lang w:val="en-US" w:eastAsia="zh-CN"/>
        </w:rPr>
        <w:t>改造、模型适配改造等，</w:t>
      </w:r>
      <w:r>
        <w:rPr>
          <w:rFonts w:hint="default" w:ascii="Times New Roman" w:hAnsi="Times New Roman" w:cs="Times New Roman"/>
          <w:color w:val="auto"/>
          <w:highlight w:val="none"/>
          <w:lang w:val="en-US" w:eastAsia="zh-CN"/>
        </w:rPr>
        <w:t>包括但不限于BI智能分析平台、指标管理平台、标签管理平台、数据资产管理平台、数据应用服务、行内其他业务或管理系统</w:t>
      </w:r>
      <w:r>
        <w:rPr>
          <w:rFonts w:hint="eastAsia" w:ascii="Times New Roman" w:hAnsi="Times New Roman" w:cs="Times New Roman"/>
          <w:color w:val="auto"/>
          <w:highlight w:val="none"/>
          <w:lang w:val="en-US" w:eastAsia="zh-CN"/>
        </w:rPr>
        <w:t>；</w:t>
      </w:r>
    </w:p>
    <w:p w14:paraId="78B1985E">
      <w:pPr>
        <w:keepNext w:val="0"/>
        <w:keepLines w:val="0"/>
        <w:widowControl/>
        <w:numPr>
          <w:ilvl w:val="0"/>
          <w:numId w:val="0"/>
        </w:numPr>
        <w:suppressLineNumbers w:val="0"/>
        <w:ind w:firstLine="480" w:firstLineChars="20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（2）在项目实施过程中，如有新增或改造的业务系统，参选人需免费进行适配并完成数据采集，且需根据比选人要求完成主题模型和应用集市的改造适配；</w:t>
      </w:r>
    </w:p>
    <w:p w14:paraId="57C204E7">
      <w:pPr>
        <w:keepNext w:val="0"/>
        <w:keepLines w:val="0"/>
        <w:widowControl/>
        <w:numPr>
          <w:ilvl w:val="0"/>
          <w:numId w:val="0"/>
        </w:numPr>
        <w:suppressLineNumbers w:val="0"/>
        <w:ind w:firstLine="480" w:firstLineChars="200"/>
        <w:jc w:val="left"/>
        <w:rPr>
          <w:rFonts w:hint="default"/>
          <w:color w:val="auto"/>
          <w:highlight w:val="none"/>
          <w:lang w:val="en-US" w:eastAsia="zh-CN"/>
        </w:rPr>
      </w:pPr>
      <w:r>
        <w:rPr>
          <w:rFonts w:hint="eastAsia" w:ascii="Times New Roman" w:hAnsi="Times New Roman" w:cs="Times New Roman"/>
          <w:color w:val="auto"/>
          <w:highlight w:val="none"/>
          <w:lang w:val="en-US" w:eastAsia="zh-CN"/>
        </w:rPr>
        <w:t>（3）针对项目建设过程中可能产生的新增需求，如报表、数据加工等，参选人应预留不少于12个人月的工作量用于对新增需求进行分析、评估、分解和落地实施，不得影响项目整体实施进度和效果。</w:t>
      </w:r>
      <w:r>
        <w:rPr>
          <w:rFonts w:hint="default" w:ascii="Times New Roman" w:hAnsi="Times New Roman" w:cs="Times New Roman"/>
          <w:color w:val="auto"/>
          <w:highlight w:val="none"/>
          <w:lang w:val="en-US" w:eastAsia="zh-CN"/>
        </w:rPr>
        <w:t xml:space="preserve"> </w:t>
      </w:r>
    </w:p>
    <w:p w14:paraId="790605CA">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测试要求</w:t>
      </w:r>
    </w:p>
    <w:p w14:paraId="56E678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为保障项目实施质量，参选人负责本项目的测试工作，具体要求包括但不限于：</w:t>
      </w:r>
    </w:p>
    <w:p w14:paraId="4760C44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1）参选人应负责</w:t>
      </w:r>
      <w:r>
        <w:rPr>
          <w:rFonts w:hint="eastAsia" w:ascii="Times New Roman" w:hAnsi="Times New Roman" w:cs="Times New Roman"/>
          <w:color w:val="auto"/>
          <w:szCs w:val="24"/>
          <w:highlight w:val="none"/>
          <w:lang w:val="en-US" w:eastAsia="zh-CN"/>
        </w:rPr>
        <w:t>产品和数据</w:t>
      </w:r>
      <w:r>
        <w:rPr>
          <w:rFonts w:hint="default" w:ascii="Times New Roman" w:hAnsi="Times New Roman" w:cs="Times New Roman"/>
          <w:color w:val="auto"/>
          <w:szCs w:val="24"/>
          <w:highlight w:val="none"/>
        </w:rPr>
        <w:t>测试</w:t>
      </w:r>
      <w:r>
        <w:rPr>
          <w:rFonts w:hint="eastAsia" w:ascii="Times New Roman" w:hAnsi="Times New Roman" w:cs="Times New Roman"/>
          <w:color w:val="auto"/>
          <w:szCs w:val="24"/>
          <w:highlight w:val="none"/>
          <w:lang w:val="en-US" w:eastAsia="zh-CN"/>
        </w:rPr>
        <w:t>并</w:t>
      </w:r>
      <w:r>
        <w:rPr>
          <w:rFonts w:hint="default" w:ascii="Times New Roman" w:hAnsi="Times New Roman" w:cs="Times New Roman"/>
          <w:color w:val="auto"/>
          <w:szCs w:val="24"/>
          <w:highlight w:val="none"/>
        </w:rPr>
        <w:t>提交完整的测试案例</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且相关软件与方案需由参选人提供，并出具对应的测试报告。测试内容包括但不限于：</w:t>
      </w:r>
    </w:p>
    <w:p w14:paraId="4896893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1）产品测试：产品的功能、性能以及压力测试，且性能和压力测试的；</w:t>
      </w:r>
    </w:p>
    <w:p w14:paraId="06B07B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2）数据测试：本项目中涉及的所有数据采集、加工及服务的数据测试工作，如模型数据测试、应用集市数据测试、报表数据测试等；</w:t>
      </w:r>
    </w:p>
    <w:p w14:paraId="1759032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szCs w:val="24"/>
          <w:highlight w:val="none"/>
        </w:rPr>
      </w:pP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2）参选人应提供专职的测试人员进行</w:t>
      </w:r>
      <w:r>
        <w:rPr>
          <w:rFonts w:hint="eastAsia" w:ascii="Times New Roman" w:hAnsi="Times New Roman" w:cs="Times New Roman"/>
          <w:color w:val="auto"/>
          <w:szCs w:val="24"/>
          <w:highlight w:val="none"/>
          <w:lang w:val="en-US" w:eastAsia="zh-CN"/>
        </w:rPr>
        <w:t>产品</w:t>
      </w:r>
      <w:r>
        <w:rPr>
          <w:rFonts w:hint="default" w:ascii="Times New Roman" w:hAnsi="Times New Roman" w:cs="Times New Roman"/>
          <w:color w:val="auto"/>
          <w:szCs w:val="24"/>
          <w:highlight w:val="none"/>
        </w:rPr>
        <w:t>的性能</w:t>
      </w:r>
      <w:r>
        <w:rPr>
          <w:rFonts w:hint="eastAsia" w:ascii="Times New Roman" w:hAnsi="Times New Roman" w:cs="Times New Roman"/>
          <w:color w:val="auto"/>
          <w:szCs w:val="24"/>
          <w:highlight w:val="none"/>
          <w:lang w:val="en-US" w:eastAsia="zh-CN"/>
        </w:rPr>
        <w:t>和功能</w:t>
      </w:r>
      <w:r>
        <w:rPr>
          <w:rFonts w:hint="default" w:ascii="Times New Roman" w:hAnsi="Times New Roman" w:cs="Times New Roman"/>
          <w:color w:val="auto"/>
          <w:szCs w:val="24"/>
          <w:highlight w:val="none"/>
        </w:rPr>
        <w:t>测试，提交满足</w:t>
      </w:r>
      <w:r>
        <w:rPr>
          <w:rFonts w:hint="eastAsia" w:ascii="Times New Roman" w:hAnsi="Times New Roman" w:cs="Times New Roman"/>
          <w:color w:val="auto"/>
          <w:szCs w:val="24"/>
          <w:highlight w:val="none"/>
          <w:lang w:val="en-US" w:eastAsia="zh-CN"/>
        </w:rPr>
        <w:t>准出条件的各类</w:t>
      </w:r>
      <w:r>
        <w:rPr>
          <w:rFonts w:hint="default" w:ascii="Times New Roman" w:hAnsi="Times New Roman" w:cs="Times New Roman"/>
          <w:color w:val="auto"/>
          <w:szCs w:val="24"/>
          <w:highlight w:val="none"/>
        </w:rPr>
        <w:t>测试报告</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详细标准</w:t>
      </w:r>
      <w:r>
        <w:rPr>
          <w:rFonts w:hint="default" w:ascii="Times New Roman" w:hAnsi="Times New Roman" w:cs="Times New Roman"/>
          <w:color w:val="auto"/>
          <w:szCs w:val="24"/>
          <w:highlight w:val="none"/>
        </w:rPr>
        <w:t>参照</w:t>
      </w:r>
      <w:r>
        <w:rPr>
          <w:rFonts w:hint="eastAsia" w:ascii="Times New Roman" w:hAnsi="Times New Roman" w:cs="Times New Roman"/>
          <w:color w:val="auto"/>
          <w:szCs w:val="24"/>
          <w:highlight w:val="none"/>
          <w:lang w:val="en-US" w:eastAsia="zh-CN"/>
        </w:rPr>
        <w:t>表3-7</w:t>
      </w:r>
      <w:r>
        <w:rPr>
          <w:rFonts w:hint="default" w:ascii="Times New Roman" w:hAnsi="Times New Roman" w:cs="Times New Roman"/>
          <w:color w:val="auto"/>
          <w:szCs w:val="24"/>
          <w:highlight w:val="none"/>
        </w:rPr>
        <w:t>。</w:t>
      </w:r>
    </w:p>
    <w:p w14:paraId="7458AF3B">
      <w:pPr>
        <w:pStyle w:val="9"/>
        <w:keepNext w:val="0"/>
        <w:keepLines w:val="0"/>
        <w:pageBreakBefore w:val="0"/>
        <w:widowControl w:val="0"/>
        <w:kinsoku/>
        <w:wordWrap/>
        <w:overflowPunct/>
        <w:topLinePunct w:val="0"/>
        <w:autoSpaceDE w:val="0"/>
        <w:autoSpaceDN w:val="0"/>
        <w:bidi w:val="0"/>
        <w:adjustRightInd/>
        <w:snapToGrid/>
        <w:spacing w:beforeLine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表</w:t>
      </w:r>
      <w:r>
        <w:rPr>
          <w:rFonts w:hint="eastAsia" w:cs="Times New Roman"/>
          <w:color w:val="auto"/>
          <w:sz w:val="21"/>
          <w:szCs w:val="21"/>
          <w:highlight w:val="none"/>
          <w:lang w:val="en-US" w:eastAsia="zh-CN"/>
        </w:rPr>
        <w:t>3-7</w:t>
      </w:r>
      <w:r>
        <w:rPr>
          <w:rFonts w:hint="default" w:ascii="Times New Roman" w:hAnsi="Times New Roman" w:cs="Times New Roman"/>
          <w:color w:val="auto"/>
          <w:sz w:val="21"/>
          <w:szCs w:val="21"/>
          <w:highlight w:val="none"/>
          <w:lang w:val="en-US" w:eastAsia="zh-CN"/>
        </w:rPr>
        <w:t xml:space="preserve"> 测试准入</w:t>
      </w:r>
      <w:r>
        <w:rPr>
          <w:rFonts w:hint="eastAsia" w:cs="Times New Roman"/>
          <w:color w:val="auto"/>
          <w:sz w:val="21"/>
          <w:szCs w:val="21"/>
          <w:highlight w:val="none"/>
          <w:lang w:val="en-US" w:eastAsia="zh-CN"/>
        </w:rPr>
        <w:t>准</w:t>
      </w:r>
      <w:r>
        <w:rPr>
          <w:rFonts w:hint="default" w:ascii="Times New Roman" w:hAnsi="Times New Roman" w:cs="Times New Roman"/>
          <w:color w:val="auto"/>
          <w:sz w:val="21"/>
          <w:szCs w:val="21"/>
          <w:highlight w:val="none"/>
          <w:lang w:val="en-US" w:eastAsia="zh-CN"/>
        </w:rPr>
        <w:t>出标准</w:t>
      </w:r>
    </w:p>
    <w:tbl>
      <w:tblPr>
        <w:tblStyle w:val="22"/>
        <w:tblW w:w="4950" w:type="pc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02"/>
        <w:gridCol w:w="6435"/>
      </w:tblGrid>
      <w:tr w14:paraId="629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437" w:type="dxa"/>
            <w:gridSpan w:val="2"/>
            <w:shd w:val="clear" w:color="auto" w:fill="BEBEBE" w:themeFill="background1" w:themeFillShade="BF"/>
            <w:vAlign w:val="center"/>
          </w:tcPr>
          <w:p w14:paraId="758AE0E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shd w:val="clear"/>
              </w:rPr>
              <w:t>测试准入准出标准</w:t>
            </w:r>
          </w:p>
        </w:tc>
      </w:tr>
      <w:tr w14:paraId="1914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437" w:type="dxa"/>
            <w:gridSpan w:val="2"/>
            <w:shd w:val="clear" w:color="auto" w:fill="auto"/>
            <w:vAlign w:val="center"/>
          </w:tcPr>
          <w:p w14:paraId="088306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一、测试准入标准</w:t>
            </w:r>
          </w:p>
        </w:tc>
      </w:tr>
      <w:tr w14:paraId="292D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2" w:type="dxa"/>
            <w:shd w:val="clear" w:color="auto" w:fill="auto"/>
            <w:vAlign w:val="center"/>
          </w:tcPr>
          <w:p w14:paraId="5697CBF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阶段</w:t>
            </w:r>
          </w:p>
        </w:tc>
        <w:tc>
          <w:tcPr>
            <w:tcW w:w="6435" w:type="dxa"/>
            <w:shd w:val="clear" w:color="auto" w:fill="auto"/>
            <w:vAlign w:val="center"/>
          </w:tcPr>
          <w:p w14:paraId="1B499C8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准入条件</w:t>
            </w:r>
          </w:p>
        </w:tc>
      </w:tr>
      <w:tr w14:paraId="5DB0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vMerge w:val="restart"/>
            <w:shd w:val="clear" w:color="auto" w:fill="auto"/>
            <w:vAlign w:val="center"/>
          </w:tcPr>
          <w:p w14:paraId="62094A8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计划阶段</w:t>
            </w:r>
          </w:p>
        </w:tc>
        <w:tc>
          <w:tcPr>
            <w:tcW w:w="6435" w:type="dxa"/>
            <w:shd w:val="clear" w:color="auto" w:fill="auto"/>
            <w:vAlign w:val="center"/>
          </w:tcPr>
          <w:p w14:paraId="43B2BE0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项目在立项之初应提交纸质测试服务申请单给</w:t>
            </w:r>
            <w:r>
              <w:rPr>
                <w:rFonts w:hint="eastAsia" w:ascii="Times New Roman" w:hAnsi="Times New Roman" w:cs="Times New Roman"/>
                <w:color w:val="auto"/>
                <w:sz w:val="21"/>
                <w:szCs w:val="21"/>
                <w:highlight w:val="none"/>
                <w:lang w:val="en-US" w:eastAsia="zh-CN"/>
              </w:rPr>
              <w:t>项目组</w:t>
            </w:r>
          </w:p>
        </w:tc>
      </w:tr>
      <w:tr w14:paraId="7286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vMerge w:val="continue"/>
            <w:shd w:val="clear" w:color="auto" w:fill="auto"/>
            <w:vAlign w:val="center"/>
          </w:tcPr>
          <w:p w14:paraId="2974C7D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4739124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项目整体项目计划必须包含测试计划或测试计划时间</w:t>
            </w:r>
          </w:p>
        </w:tc>
      </w:tr>
      <w:tr w14:paraId="2F0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vMerge w:val="continue"/>
            <w:shd w:val="clear" w:color="auto" w:fill="auto"/>
            <w:vAlign w:val="center"/>
          </w:tcPr>
          <w:p w14:paraId="47650D3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3C9819C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测试方要求的需求说明书及相关说明书已经通过评审，并形成终稿；文档包括但不限于：业务需求、需求说明书、概要设计（可选）、用户手册（可选）</w:t>
            </w:r>
          </w:p>
        </w:tc>
      </w:tr>
      <w:tr w14:paraId="5127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vMerge w:val="restart"/>
            <w:shd w:val="clear" w:color="auto" w:fill="auto"/>
            <w:vAlign w:val="center"/>
          </w:tcPr>
          <w:p w14:paraId="6C7F58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执行阶段</w:t>
            </w:r>
          </w:p>
        </w:tc>
        <w:tc>
          <w:tcPr>
            <w:tcW w:w="6435" w:type="dxa"/>
            <w:shd w:val="clear" w:color="auto" w:fill="auto"/>
            <w:vAlign w:val="center"/>
          </w:tcPr>
          <w:p w14:paraId="05EF60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提交的产品经过了开发自测</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单元及集成测试），并提交了测试案例与测试报告，案例需求覆盖度100%，无致命及严重遗留问题</w:t>
            </w:r>
          </w:p>
        </w:tc>
      </w:tr>
      <w:tr w14:paraId="7B6C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 w:hRule="atLeast"/>
        </w:trPr>
        <w:tc>
          <w:tcPr>
            <w:tcW w:w="2002" w:type="dxa"/>
            <w:vMerge w:val="continue"/>
            <w:shd w:val="clear" w:color="auto" w:fill="auto"/>
            <w:vAlign w:val="center"/>
          </w:tcPr>
          <w:p w14:paraId="3A5CA23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387176F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测试案例准备就绪</w:t>
            </w:r>
          </w:p>
        </w:tc>
      </w:tr>
      <w:tr w14:paraId="2836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 w:hRule="atLeast"/>
        </w:trPr>
        <w:tc>
          <w:tcPr>
            <w:tcW w:w="2002" w:type="dxa"/>
            <w:vMerge w:val="continue"/>
            <w:shd w:val="clear" w:color="auto" w:fill="auto"/>
            <w:vAlign w:val="center"/>
          </w:tcPr>
          <w:p w14:paraId="2801F30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13023B4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测试环境准备就绪</w:t>
            </w:r>
          </w:p>
        </w:tc>
      </w:tr>
      <w:tr w14:paraId="64BB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vMerge w:val="continue"/>
            <w:shd w:val="clear" w:color="auto" w:fill="auto"/>
            <w:vAlign w:val="center"/>
          </w:tcPr>
          <w:p w14:paraId="4D0F86B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7019097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测试版本能够成功部署到测试环境。（如果测试和开发处于同一环境，则在测试开始前应该按照开发提交的版本重新部署）</w:t>
            </w:r>
          </w:p>
        </w:tc>
      </w:tr>
      <w:tr w14:paraId="5D2D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vMerge w:val="continue"/>
            <w:shd w:val="clear" w:color="auto" w:fill="auto"/>
            <w:vAlign w:val="center"/>
          </w:tcPr>
          <w:p w14:paraId="0077133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p>
        </w:tc>
        <w:tc>
          <w:tcPr>
            <w:tcW w:w="6435" w:type="dxa"/>
            <w:shd w:val="clear" w:color="auto" w:fill="auto"/>
            <w:vAlign w:val="center"/>
          </w:tcPr>
          <w:p w14:paraId="21A5F0F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冒烟测试达到通过标准（冒烟测试案例通过率大于90%，有效缺陷率不高于10%）</w:t>
            </w:r>
          </w:p>
        </w:tc>
      </w:tr>
      <w:tr w14:paraId="4FBB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7" w:type="dxa"/>
            <w:gridSpan w:val="2"/>
            <w:shd w:val="clear" w:color="auto" w:fill="auto"/>
            <w:vAlign w:val="center"/>
          </w:tcPr>
          <w:p w14:paraId="29A0EB5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二、暂停/继续标准：满足下列之一的条件并由项目组审核同意，测试可以暂停</w:t>
            </w:r>
          </w:p>
        </w:tc>
      </w:tr>
      <w:tr w14:paraId="0A9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1702BE0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435" w:type="dxa"/>
            <w:shd w:val="clear" w:color="auto" w:fill="auto"/>
            <w:vAlign w:val="center"/>
          </w:tcPr>
          <w:p w14:paraId="6BC63E9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暂停条件</w:t>
            </w:r>
          </w:p>
        </w:tc>
      </w:tr>
      <w:tr w14:paraId="45B6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736F50C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435" w:type="dxa"/>
            <w:shd w:val="clear" w:color="auto" w:fill="auto"/>
            <w:vAlign w:val="center"/>
          </w:tcPr>
          <w:p w14:paraId="2121399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由于程序、环境原因导致测试无法进行</w:t>
            </w:r>
          </w:p>
        </w:tc>
      </w:tr>
      <w:tr w14:paraId="6ADC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0216CB4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435" w:type="dxa"/>
            <w:shd w:val="clear" w:color="auto" w:fill="auto"/>
            <w:vAlign w:val="center"/>
          </w:tcPr>
          <w:p w14:paraId="566CF14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项目暂停，已无测试必要</w:t>
            </w:r>
          </w:p>
        </w:tc>
      </w:tr>
      <w:tr w14:paraId="4F4A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77BAE07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435" w:type="dxa"/>
            <w:shd w:val="clear" w:color="auto" w:fill="auto"/>
            <w:vAlign w:val="center"/>
          </w:tcPr>
          <w:p w14:paraId="7E30F28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测试需求稳定指数小于70%，则暂停测试执行</w:t>
            </w:r>
          </w:p>
        </w:tc>
      </w:tr>
      <w:tr w14:paraId="61B4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110211A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6435" w:type="dxa"/>
            <w:shd w:val="clear" w:color="auto" w:fill="auto"/>
            <w:vAlign w:val="center"/>
          </w:tcPr>
          <w:p w14:paraId="2A4AF98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每个里程碑节点或执行轮次案例执行通过率低于60%，则暂停测试执行</w:t>
            </w:r>
          </w:p>
        </w:tc>
      </w:tr>
      <w:tr w14:paraId="7787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7764CA4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6435" w:type="dxa"/>
            <w:shd w:val="clear" w:color="auto" w:fill="auto"/>
            <w:vAlign w:val="center"/>
          </w:tcPr>
          <w:p w14:paraId="052D87E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每个里程碑节点或执行轮次缺陷解决率低于50%，则暂停测试执行</w:t>
            </w:r>
          </w:p>
        </w:tc>
      </w:tr>
      <w:tr w14:paraId="2D0F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782B885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6435" w:type="dxa"/>
            <w:shd w:val="clear" w:color="auto" w:fill="auto"/>
            <w:vAlign w:val="center"/>
          </w:tcPr>
          <w:p w14:paraId="3673017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每个里程碑节点或执行轮次缺陷的案例命中率大于25%，则暂停测试执行</w:t>
            </w:r>
          </w:p>
        </w:tc>
      </w:tr>
      <w:tr w14:paraId="37D3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0BE5F56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6435" w:type="dxa"/>
            <w:shd w:val="clear" w:color="auto" w:fill="auto"/>
            <w:vAlign w:val="center"/>
          </w:tcPr>
          <w:p w14:paraId="22C12C2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每个里程碑节点或执行轮次严重以上缺陷占比大于35%，则暂停测试执行</w:t>
            </w:r>
          </w:p>
        </w:tc>
      </w:tr>
      <w:tr w14:paraId="00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4DA4881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6435" w:type="dxa"/>
            <w:shd w:val="clear" w:color="auto" w:fill="auto"/>
            <w:vAlign w:val="center"/>
          </w:tcPr>
          <w:p w14:paraId="38C7B06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测试环境、测试数据、测试人员等测试必备条件不再具备或发生变化导致测试不能进行，则暂停测试执行</w:t>
            </w:r>
          </w:p>
        </w:tc>
      </w:tr>
      <w:tr w14:paraId="1080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2E5B6B8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6435" w:type="dxa"/>
            <w:shd w:val="clear" w:color="auto" w:fill="auto"/>
            <w:vAlign w:val="center"/>
          </w:tcPr>
          <w:p w14:paraId="3F3360F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项目组确定的可以暂停的其他条件</w:t>
            </w:r>
          </w:p>
        </w:tc>
      </w:tr>
      <w:tr w14:paraId="5CE5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31ECC70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6435" w:type="dxa"/>
            <w:shd w:val="clear" w:color="auto" w:fill="auto"/>
            <w:vAlign w:val="center"/>
          </w:tcPr>
          <w:p w14:paraId="0C87CBB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恢复以上的条件并由项目组审核同意，测试可以继续</w:t>
            </w:r>
          </w:p>
        </w:tc>
      </w:tr>
      <w:tr w14:paraId="603F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437" w:type="dxa"/>
            <w:gridSpan w:val="2"/>
            <w:shd w:val="clear" w:color="auto" w:fill="auto"/>
            <w:vAlign w:val="center"/>
          </w:tcPr>
          <w:p w14:paraId="1C5B089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三、测试准出标准：同时满足以下条件，测试完成</w:t>
            </w:r>
          </w:p>
        </w:tc>
      </w:tr>
      <w:tr w14:paraId="181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44C878A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435" w:type="dxa"/>
            <w:shd w:val="clear" w:color="auto" w:fill="auto"/>
            <w:vAlign w:val="center"/>
          </w:tcPr>
          <w:p w14:paraId="539E71F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准出条件</w:t>
            </w:r>
          </w:p>
        </w:tc>
      </w:tr>
      <w:tr w14:paraId="4BBF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150144F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435" w:type="dxa"/>
            <w:shd w:val="clear" w:color="auto" w:fill="auto"/>
            <w:vAlign w:val="center"/>
          </w:tcPr>
          <w:p w14:paraId="43B146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测试需求覆盖率达到100%，测试案例覆盖度100%</w:t>
            </w:r>
          </w:p>
        </w:tc>
      </w:tr>
      <w:tr w14:paraId="5C47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7B7A37E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435" w:type="dxa"/>
            <w:shd w:val="clear" w:color="auto" w:fill="auto"/>
            <w:vAlign w:val="center"/>
          </w:tcPr>
          <w:p w14:paraId="228E7D5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测试案例执行率达到100%，测试通过率95%</w:t>
            </w:r>
          </w:p>
        </w:tc>
      </w:tr>
      <w:tr w14:paraId="1E1F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090F4C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435" w:type="dxa"/>
            <w:shd w:val="clear" w:color="auto" w:fill="auto"/>
            <w:vAlign w:val="center"/>
          </w:tcPr>
          <w:p w14:paraId="5AE9A5A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缺陷修复率达到95%</w:t>
            </w:r>
          </w:p>
        </w:tc>
      </w:tr>
      <w:tr w14:paraId="5680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2DE07F4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435" w:type="dxa"/>
            <w:shd w:val="clear" w:color="auto" w:fill="auto"/>
            <w:vAlign w:val="center"/>
          </w:tcPr>
          <w:p w14:paraId="309DF7C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致命缺陷、严重缺陷解决率达到100%</w:t>
            </w:r>
          </w:p>
        </w:tc>
      </w:tr>
      <w:tr w14:paraId="215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37DB1F4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6435" w:type="dxa"/>
            <w:shd w:val="clear" w:color="auto" w:fill="auto"/>
            <w:vAlign w:val="center"/>
          </w:tcPr>
          <w:p w14:paraId="20F5167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一般缺陷、微小缺陷解决率达到90%以上，建议缺陷解决率达到80%以上，且未解决缺陷得项目组认可</w:t>
            </w:r>
          </w:p>
        </w:tc>
      </w:tr>
      <w:tr w14:paraId="37BE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14ADAC6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6435" w:type="dxa"/>
            <w:shd w:val="clear" w:color="auto" w:fill="auto"/>
            <w:vAlign w:val="center"/>
          </w:tcPr>
          <w:p w14:paraId="389C26A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提交测试报告及通过评审</w:t>
            </w:r>
          </w:p>
        </w:tc>
      </w:tr>
      <w:tr w14:paraId="08FB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7" w:type="dxa"/>
            <w:gridSpan w:val="2"/>
            <w:shd w:val="clear" w:color="auto" w:fill="auto"/>
            <w:vAlign w:val="center"/>
          </w:tcPr>
          <w:p w14:paraId="19CA4E4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四、测试指标公式附录</w:t>
            </w:r>
          </w:p>
        </w:tc>
      </w:tr>
      <w:tr w14:paraId="0D29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267366D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TPI</w:t>
            </w:r>
          </w:p>
        </w:tc>
        <w:tc>
          <w:tcPr>
            <w:tcW w:w="6435" w:type="dxa"/>
            <w:shd w:val="clear" w:color="auto" w:fill="auto"/>
            <w:vAlign w:val="center"/>
          </w:tcPr>
          <w:p w14:paraId="2EAAC66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公式</w:t>
            </w:r>
          </w:p>
        </w:tc>
      </w:tr>
      <w:tr w14:paraId="31BE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3053CE8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测试需求覆盖率</w:t>
            </w:r>
          </w:p>
        </w:tc>
        <w:tc>
          <w:tcPr>
            <w:tcW w:w="6435" w:type="dxa"/>
            <w:shd w:val="clear" w:color="auto" w:fill="auto"/>
            <w:vAlign w:val="center"/>
          </w:tcPr>
          <w:p w14:paraId="05D0A6A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测试需求覆盖点/软件需求功能点</w:t>
            </w:r>
          </w:p>
        </w:tc>
      </w:tr>
      <w:tr w14:paraId="25C2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5670C6B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有效案例总数</w:t>
            </w:r>
          </w:p>
        </w:tc>
        <w:tc>
          <w:tcPr>
            <w:tcW w:w="6435" w:type="dxa"/>
            <w:shd w:val="clear" w:color="auto" w:fill="auto"/>
            <w:vAlign w:val="center"/>
          </w:tcPr>
          <w:p w14:paraId="2FAE596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案例总数-无效案例总数</w:t>
            </w:r>
          </w:p>
        </w:tc>
      </w:tr>
      <w:tr w14:paraId="7315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1DC774A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有效缺陷总数</w:t>
            </w:r>
          </w:p>
        </w:tc>
        <w:tc>
          <w:tcPr>
            <w:tcW w:w="6435" w:type="dxa"/>
            <w:shd w:val="clear" w:color="auto" w:fill="auto"/>
            <w:vAlign w:val="center"/>
          </w:tcPr>
          <w:p w14:paraId="3019CCA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缺陷总数-无效缺陷总数-伪缺陷总数</w:t>
            </w:r>
          </w:p>
        </w:tc>
      </w:tr>
      <w:tr w14:paraId="4462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4A3716B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严重以上缺陷总数</w:t>
            </w:r>
          </w:p>
        </w:tc>
        <w:tc>
          <w:tcPr>
            <w:tcW w:w="6435" w:type="dxa"/>
            <w:shd w:val="clear" w:color="auto" w:fill="auto"/>
            <w:vAlign w:val="center"/>
          </w:tcPr>
          <w:p w14:paraId="2BD7CA3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严重及致命缺陷总数-无效的严重及致命缺陷总数</w:t>
            </w:r>
          </w:p>
        </w:tc>
      </w:tr>
      <w:tr w14:paraId="0187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1BDFA81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案例执行率</w:t>
            </w:r>
          </w:p>
        </w:tc>
        <w:tc>
          <w:tcPr>
            <w:tcW w:w="6435" w:type="dxa"/>
            <w:shd w:val="clear" w:color="auto" w:fill="auto"/>
            <w:vAlign w:val="center"/>
          </w:tcPr>
          <w:p w14:paraId="6A7B739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每轮执行案例数/每轮计划执行的案例个数</w:t>
            </w:r>
          </w:p>
        </w:tc>
      </w:tr>
      <w:tr w14:paraId="323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center"/>
          </w:tcPr>
          <w:p w14:paraId="6D518E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需求稳定指数</w:t>
            </w:r>
          </w:p>
        </w:tc>
        <w:tc>
          <w:tcPr>
            <w:tcW w:w="6435" w:type="dxa"/>
            <w:shd w:val="clear" w:color="auto" w:fill="auto"/>
            <w:vAlign w:val="center"/>
          </w:tcPr>
          <w:p w14:paraId="2089AEB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（测试需求分析中规则数量-业务需求因素引起变更的测试需求规则数-开发因素引起变更的测试需求规则数）/测试需求分析中规则数量</w:t>
            </w:r>
          </w:p>
        </w:tc>
      </w:tr>
      <w:tr w14:paraId="55E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02" w:type="dxa"/>
            <w:shd w:val="clear" w:color="auto" w:fill="auto"/>
            <w:vAlign w:val="center"/>
          </w:tcPr>
          <w:p w14:paraId="1F53611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案例执行通过率</w:t>
            </w:r>
          </w:p>
        </w:tc>
        <w:tc>
          <w:tcPr>
            <w:tcW w:w="6435" w:type="dxa"/>
            <w:shd w:val="clear" w:color="auto" w:fill="auto"/>
            <w:vAlign w:val="center"/>
          </w:tcPr>
          <w:p w14:paraId="71CCBAD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每轮执行通过的案例个数/每轮执行案例数</w:t>
            </w:r>
          </w:p>
        </w:tc>
      </w:tr>
      <w:tr w14:paraId="5D24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bottom"/>
          </w:tcPr>
          <w:p w14:paraId="3EB7E5B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缺陷的案例命中率</w:t>
            </w:r>
          </w:p>
        </w:tc>
        <w:tc>
          <w:tcPr>
            <w:tcW w:w="6435" w:type="dxa"/>
            <w:shd w:val="clear" w:color="auto" w:fill="auto"/>
            <w:vAlign w:val="bottom"/>
          </w:tcPr>
          <w:p w14:paraId="0219074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有效缺陷总数/有效案例总数</w:t>
            </w:r>
          </w:p>
        </w:tc>
      </w:tr>
      <w:tr w14:paraId="79EE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bottom"/>
          </w:tcPr>
          <w:p w14:paraId="542EBF9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严重以上缺陷占比</w:t>
            </w:r>
          </w:p>
        </w:tc>
        <w:tc>
          <w:tcPr>
            <w:tcW w:w="6435" w:type="dxa"/>
            <w:shd w:val="clear" w:color="auto" w:fill="auto"/>
            <w:vAlign w:val="bottom"/>
          </w:tcPr>
          <w:p w14:paraId="11D3715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严重以上缺陷总数/有效缺陷总数</w:t>
            </w:r>
          </w:p>
        </w:tc>
      </w:tr>
      <w:tr w14:paraId="70B2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2002" w:type="dxa"/>
            <w:shd w:val="clear" w:color="auto" w:fill="auto"/>
            <w:vAlign w:val="bottom"/>
          </w:tcPr>
          <w:p w14:paraId="6D49CD5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缺陷解决率</w:t>
            </w:r>
          </w:p>
        </w:tc>
        <w:tc>
          <w:tcPr>
            <w:tcW w:w="6435" w:type="dxa"/>
            <w:shd w:val="clear" w:color="auto" w:fill="auto"/>
            <w:vAlign w:val="bottom"/>
          </w:tcPr>
          <w:p w14:paraId="2D666B4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关闭缺陷总数/有效缺陷总数</w:t>
            </w:r>
          </w:p>
        </w:tc>
      </w:tr>
    </w:tbl>
    <w:p w14:paraId="01C5C9BF">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人员要求</w:t>
      </w:r>
    </w:p>
    <w:p w14:paraId="7772A853">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cs="Times New Roman"/>
          <w:color w:val="auto"/>
          <w:highlight w:val="none"/>
        </w:rPr>
      </w:pPr>
      <w:bookmarkStart w:id="57" w:name="_Toc89675142"/>
      <w:r>
        <w:rPr>
          <w:rFonts w:hint="default" w:ascii="Times New Roman" w:hAnsi="Times New Roman" w:cs="Times New Roman"/>
          <w:color w:val="auto"/>
          <w:highlight w:val="none"/>
        </w:rPr>
        <w:t>为了确保有序、高效、顺利地进行项目实施，</w:t>
      </w:r>
      <w:r>
        <w:rPr>
          <w:rFonts w:hint="default" w:ascii="Times New Roman" w:hAnsi="Times New Roman" w:cs="Times New Roman"/>
          <w:color w:val="auto"/>
          <w:highlight w:val="none"/>
          <w:lang w:val="en-US" w:eastAsia="zh-CN"/>
        </w:rPr>
        <w:t>参选人</w:t>
      </w:r>
      <w:r>
        <w:rPr>
          <w:rFonts w:hint="default" w:ascii="Times New Roman" w:hAnsi="Times New Roman" w:cs="Times New Roman"/>
          <w:color w:val="auto"/>
          <w:highlight w:val="none"/>
        </w:rPr>
        <w:t>需提供本项目在整个项目周期的不同阶段投入的人力和资源。本项目对项目</w:t>
      </w:r>
      <w:r>
        <w:rPr>
          <w:rFonts w:hint="default" w:ascii="Times New Roman" w:hAnsi="Times New Roman" w:cs="Times New Roman"/>
          <w:color w:val="auto"/>
          <w:highlight w:val="none"/>
          <w:lang w:val="en-US" w:eastAsia="zh-CN"/>
        </w:rPr>
        <w:t>组</w:t>
      </w:r>
      <w:r>
        <w:rPr>
          <w:rFonts w:hint="default" w:ascii="Times New Roman" w:hAnsi="Times New Roman" w:cs="Times New Roman"/>
          <w:color w:val="auto"/>
          <w:highlight w:val="none"/>
        </w:rPr>
        <w:t>人员</w:t>
      </w:r>
      <w:r>
        <w:rPr>
          <w:rFonts w:hint="default" w:ascii="Times New Roman" w:hAnsi="Times New Roman" w:cs="Times New Roman"/>
          <w:color w:val="auto"/>
          <w:highlight w:val="none"/>
          <w:lang w:val="en-US" w:eastAsia="zh-CN"/>
        </w:rPr>
        <w:t>的要求包括但不限于：</w:t>
      </w:r>
    </w:p>
    <w:p w14:paraId="471D2B2D">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（1）</w:t>
      </w:r>
      <w:r>
        <w:rPr>
          <w:rFonts w:hint="default" w:ascii="Times New Roman" w:hAnsi="Times New Roman" w:cs="Times New Roman"/>
          <w:color w:val="auto"/>
          <w:szCs w:val="24"/>
          <w:highlight w:val="none"/>
          <w:shd w:val="clear" w:color="auto" w:fill="FFFFFF"/>
          <w:lang w:val="en-US" w:eastAsia="zh-CN"/>
        </w:rPr>
        <w:t>参选人项目组成员均需提供简历信息并加盖单位公章，同时，比选人将对所提供的人员进行</w:t>
      </w:r>
      <w:r>
        <w:rPr>
          <w:rFonts w:hint="eastAsia" w:ascii="Times New Roman" w:hAnsi="Times New Roman" w:cs="Times New Roman"/>
          <w:color w:val="auto"/>
          <w:szCs w:val="24"/>
          <w:highlight w:val="none"/>
          <w:shd w:val="clear" w:color="auto" w:fill="FFFFFF"/>
          <w:lang w:val="en-US" w:eastAsia="zh-CN"/>
        </w:rPr>
        <w:t>面试</w:t>
      </w:r>
      <w:r>
        <w:rPr>
          <w:rFonts w:hint="default" w:ascii="Times New Roman" w:hAnsi="Times New Roman" w:cs="Times New Roman"/>
          <w:color w:val="auto"/>
          <w:szCs w:val="24"/>
          <w:highlight w:val="none"/>
          <w:shd w:val="clear" w:color="auto" w:fill="FFFFFF"/>
          <w:lang w:val="en-US" w:eastAsia="zh-CN"/>
        </w:rPr>
        <w:t>，达不到比选人要求的将要求替换，面试</w:t>
      </w:r>
      <w:r>
        <w:rPr>
          <w:rFonts w:hint="eastAsia" w:ascii="Times New Roman" w:hAnsi="Times New Roman" w:cs="Times New Roman"/>
          <w:color w:val="auto"/>
          <w:szCs w:val="24"/>
          <w:highlight w:val="none"/>
          <w:shd w:val="clear" w:color="auto" w:fill="FFFFFF"/>
          <w:lang w:val="en-US" w:eastAsia="zh-CN"/>
        </w:rPr>
        <w:t>通过的</w:t>
      </w:r>
      <w:r>
        <w:rPr>
          <w:rFonts w:hint="default" w:ascii="Times New Roman" w:hAnsi="Times New Roman" w:cs="Times New Roman"/>
          <w:color w:val="auto"/>
          <w:szCs w:val="24"/>
          <w:highlight w:val="none"/>
          <w:shd w:val="clear" w:color="auto" w:fill="FFFFFF"/>
          <w:lang w:val="en-US" w:eastAsia="zh-CN"/>
        </w:rPr>
        <w:t>人员在合同签订时不得进行更换；</w:t>
      </w:r>
      <w:r>
        <w:rPr>
          <w:rFonts w:hint="eastAsia" w:ascii="Times New Roman" w:hAnsi="Times New Roman" w:cs="Times New Roman"/>
          <w:color w:val="auto"/>
          <w:szCs w:val="24"/>
          <w:highlight w:val="none"/>
          <w:shd w:val="clear" w:color="auto" w:fill="FFFFFF"/>
          <w:lang w:val="en-US" w:eastAsia="zh-CN"/>
        </w:rPr>
        <w:t>【提供项目组成员简历信息】</w:t>
      </w:r>
    </w:p>
    <w:p w14:paraId="3D8713ED">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（2）</w:t>
      </w:r>
      <w:r>
        <w:rPr>
          <w:rFonts w:hint="default" w:ascii="Times New Roman" w:hAnsi="Times New Roman" w:cs="Times New Roman"/>
          <w:color w:val="auto"/>
          <w:szCs w:val="24"/>
          <w:highlight w:val="none"/>
          <w:shd w:val="clear" w:color="auto" w:fill="FFFFFF"/>
          <w:lang w:val="en-US" w:eastAsia="zh-CN"/>
        </w:rPr>
        <w:t>参选人应承诺未征得我行书面同意的情况下不得更换项目成员，更换人员的级别不能低于原人员级别</w:t>
      </w:r>
      <w:bookmarkEnd w:id="57"/>
      <w:r>
        <w:rPr>
          <w:rFonts w:hint="default" w:ascii="Times New Roman" w:hAnsi="Times New Roman" w:cs="Times New Roman"/>
          <w:color w:val="auto"/>
          <w:szCs w:val="24"/>
          <w:highlight w:val="none"/>
          <w:shd w:val="clear" w:color="auto" w:fill="FFFFFF"/>
          <w:lang w:val="en-US" w:eastAsia="zh-CN"/>
        </w:rPr>
        <w:t>；</w:t>
      </w:r>
    </w:p>
    <w:p w14:paraId="46BE8E6A">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（3）</w:t>
      </w:r>
      <w:r>
        <w:rPr>
          <w:rFonts w:hint="default" w:ascii="Times New Roman" w:hAnsi="Times New Roman" w:cs="Times New Roman"/>
          <w:color w:val="auto"/>
          <w:szCs w:val="24"/>
          <w:highlight w:val="none"/>
          <w:shd w:val="clear" w:color="auto" w:fill="FFFFFF"/>
          <w:lang w:val="en-US" w:eastAsia="zh-CN"/>
        </w:rPr>
        <w:t>如参选人提供的项目组成员态度与能力不符合项目要求</w:t>
      </w:r>
      <w:r>
        <w:rPr>
          <w:rFonts w:hint="eastAsia" w:ascii="Times New Roman" w:hAnsi="Times New Roman" w:cs="Times New Roman"/>
          <w:color w:val="auto"/>
          <w:szCs w:val="24"/>
          <w:highlight w:val="none"/>
          <w:shd w:val="clear" w:color="auto" w:fill="FFFFFF"/>
          <w:lang w:val="en-US" w:eastAsia="zh-CN"/>
        </w:rPr>
        <w:t>时</w:t>
      </w:r>
      <w:r>
        <w:rPr>
          <w:rFonts w:hint="default" w:ascii="Times New Roman" w:hAnsi="Times New Roman" w:cs="Times New Roman"/>
          <w:color w:val="auto"/>
          <w:szCs w:val="24"/>
          <w:highlight w:val="none"/>
          <w:shd w:val="clear" w:color="auto" w:fill="FFFFFF"/>
          <w:lang w:val="en-US" w:eastAsia="zh-CN"/>
        </w:rPr>
        <w:t>，比选人有权提出更换，</w:t>
      </w:r>
      <w:r>
        <w:rPr>
          <w:rFonts w:hint="eastAsia" w:ascii="Times New Roman" w:hAnsi="Times New Roman" w:cs="Times New Roman"/>
          <w:color w:val="auto"/>
          <w:highlight w:val="none"/>
          <w:lang w:val="en-US" w:eastAsia="zh-CN"/>
        </w:rPr>
        <w:t>参</w:t>
      </w:r>
      <w:r>
        <w:rPr>
          <w:rFonts w:hint="default" w:ascii="Times New Roman" w:hAnsi="Times New Roman" w:cs="Times New Roman"/>
          <w:color w:val="auto"/>
          <w:highlight w:val="none"/>
        </w:rPr>
        <w:t>选人</w:t>
      </w:r>
      <w:r>
        <w:rPr>
          <w:rFonts w:hint="default" w:ascii="Times New Roman" w:hAnsi="Times New Roman" w:cs="Times New Roman"/>
          <w:color w:val="auto"/>
          <w:szCs w:val="24"/>
          <w:highlight w:val="none"/>
          <w:shd w:val="clear" w:color="auto" w:fill="FFFFFF"/>
          <w:lang w:val="en-US" w:eastAsia="zh-CN"/>
        </w:rPr>
        <w:t>必须在10个工作日内解决，并对因此而延误的项目工期负责；</w:t>
      </w:r>
    </w:p>
    <w:p w14:paraId="2B3E2D0A">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（4）</w:t>
      </w:r>
      <w:r>
        <w:rPr>
          <w:rFonts w:hint="default" w:ascii="Times New Roman" w:hAnsi="Times New Roman" w:cs="Times New Roman"/>
          <w:color w:val="auto"/>
          <w:szCs w:val="24"/>
          <w:highlight w:val="none"/>
          <w:shd w:val="clear" w:color="auto" w:fill="FFFFFF"/>
          <w:lang w:val="en-US" w:eastAsia="zh-CN"/>
        </w:rPr>
        <w:t>除产品实施的人员</w:t>
      </w:r>
      <w:r>
        <w:rPr>
          <w:rFonts w:hint="eastAsia" w:ascii="Times New Roman" w:hAnsi="Times New Roman" w:cs="Times New Roman"/>
          <w:color w:val="auto"/>
          <w:szCs w:val="24"/>
          <w:highlight w:val="none"/>
          <w:shd w:val="clear" w:color="auto" w:fill="FFFFFF"/>
          <w:lang w:val="en-US" w:eastAsia="zh-CN"/>
        </w:rPr>
        <w:t>和架构师</w:t>
      </w:r>
      <w:r>
        <w:rPr>
          <w:rFonts w:hint="default" w:ascii="Times New Roman" w:hAnsi="Times New Roman" w:cs="Times New Roman"/>
          <w:color w:val="auto"/>
          <w:szCs w:val="24"/>
          <w:highlight w:val="none"/>
          <w:shd w:val="clear" w:color="auto" w:fill="FFFFFF"/>
          <w:lang w:val="en-US" w:eastAsia="zh-CN"/>
        </w:rPr>
        <w:t>外，其余所有参与项目实施的成员必须为参选人单位员工</w:t>
      </w:r>
      <w:r>
        <w:rPr>
          <w:rFonts w:hint="eastAsia" w:ascii="Times New Roman" w:hAnsi="Times New Roman" w:cs="Times New Roman"/>
          <w:color w:val="auto"/>
          <w:szCs w:val="24"/>
          <w:highlight w:val="none"/>
          <w:shd w:val="clear" w:color="auto" w:fill="FFFFFF"/>
          <w:lang w:val="en-US" w:eastAsia="zh-CN"/>
        </w:rPr>
        <w:t>；</w:t>
      </w:r>
    </w:p>
    <w:p w14:paraId="0B851DFC">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（5）如项目关键阶段需要补充人员，</w:t>
      </w:r>
      <w:r>
        <w:rPr>
          <w:rFonts w:hint="eastAsia" w:ascii="Times New Roman" w:hAnsi="Times New Roman" w:cs="Times New Roman"/>
          <w:color w:val="auto"/>
          <w:highlight w:val="none"/>
          <w:lang w:val="en-US" w:eastAsia="zh-CN"/>
        </w:rPr>
        <w:t>参</w:t>
      </w:r>
      <w:r>
        <w:rPr>
          <w:rFonts w:hint="default" w:ascii="Times New Roman" w:hAnsi="Times New Roman" w:cs="Times New Roman"/>
          <w:color w:val="auto"/>
          <w:highlight w:val="none"/>
        </w:rPr>
        <w:t>选人</w:t>
      </w:r>
      <w:r>
        <w:rPr>
          <w:rFonts w:hint="eastAsia" w:ascii="Times New Roman" w:hAnsi="Times New Roman" w:cs="Times New Roman"/>
          <w:color w:val="auto"/>
          <w:szCs w:val="24"/>
          <w:highlight w:val="none"/>
          <w:shd w:val="clear" w:color="auto" w:fill="FFFFFF"/>
          <w:lang w:val="en-US" w:eastAsia="zh-CN"/>
        </w:rPr>
        <w:t>必须及时保障人力补充，确保项目按计划交付；</w:t>
      </w:r>
    </w:p>
    <w:p w14:paraId="12EB3C16">
      <w:pPr>
        <w:pStyle w:val="43"/>
        <w:numPr>
          <w:ilvl w:val="0"/>
          <w:numId w:val="0"/>
        </w:numPr>
        <w:tabs>
          <w:tab w:val="left" w:pos="0"/>
        </w:tabs>
        <w:spacing w:before="0" w:after="0" w:line="600" w:lineRule="exact"/>
        <w:ind w:firstLine="480" w:firstLineChars="200"/>
        <w:rPr>
          <w:rFonts w:hint="default" w:ascii="Times New Roman" w:hAnsi="Times New Roman" w:cs="Times New Roman"/>
          <w:snapToGrid w:val="0"/>
          <w:color w:val="auto"/>
          <w:kern w:val="0"/>
          <w:highlight w:val="none"/>
        </w:rPr>
      </w:pPr>
      <w:r>
        <w:rPr>
          <w:rFonts w:hint="eastAsia" w:ascii="Times New Roman" w:hAnsi="Times New Roman" w:cs="Times New Roman"/>
          <w:snapToGrid w:val="0"/>
          <w:color w:val="auto"/>
          <w:kern w:val="0"/>
          <w:highlight w:val="none"/>
          <w:lang w:val="en-US" w:eastAsia="zh-CN"/>
        </w:rPr>
        <w:t>（6）</w:t>
      </w:r>
      <w:r>
        <w:rPr>
          <w:rFonts w:hint="default" w:ascii="Times New Roman" w:hAnsi="Times New Roman" w:cs="Times New Roman"/>
          <w:snapToGrid w:val="0"/>
          <w:color w:val="auto"/>
          <w:kern w:val="0"/>
          <w:highlight w:val="none"/>
          <w:lang w:val="en-US" w:eastAsia="zh-CN"/>
        </w:rPr>
        <w:t>参选人的</w:t>
      </w:r>
      <w:r>
        <w:rPr>
          <w:rFonts w:hint="default" w:ascii="Times New Roman" w:hAnsi="Times New Roman" w:cs="Times New Roman"/>
          <w:snapToGrid w:val="0"/>
          <w:color w:val="auto"/>
          <w:kern w:val="0"/>
          <w:highlight w:val="none"/>
        </w:rPr>
        <w:t>实施团队各角色资质</w:t>
      </w:r>
      <w:r>
        <w:rPr>
          <w:rFonts w:hint="default" w:ascii="Times New Roman" w:hAnsi="Times New Roman" w:cs="Times New Roman"/>
          <w:snapToGrid w:val="0"/>
          <w:color w:val="auto"/>
          <w:kern w:val="0"/>
          <w:highlight w:val="none"/>
          <w:lang w:val="en-US" w:eastAsia="zh-CN"/>
        </w:rPr>
        <w:t>要求</w:t>
      </w:r>
      <w:r>
        <w:rPr>
          <w:rFonts w:hint="default" w:ascii="Times New Roman" w:hAnsi="Times New Roman" w:cs="Times New Roman"/>
          <w:snapToGrid w:val="0"/>
          <w:color w:val="auto"/>
          <w:kern w:val="0"/>
          <w:highlight w:val="none"/>
        </w:rPr>
        <w:t>如</w:t>
      </w:r>
      <w:r>
        <w:rPr>
          <w:rFonts w:hint="default" w:ascii="Times New Roman" w:hAnsi="Times New Roman" w:cs="Times New Roman"/>
          <w:snapToGrid w:val="0"/>
          <w:color w:val="auto"/>
          <w:kern w:val="0"/>
          <w:highlight w:val="none"/>
          <w:lang w:val="en-US" w:eastAsia="zh-CN"/>
        </w:rPr>
        <w:t>表3-</w:t>
      </w:r>
      <w:r>
        <w:rPr>
          <w:rFonts w:hint="eastAsia" w:ascii="Times New Roman" w:hAnsi="Times New Roman" w:cs="Times New Roman"/>
          <w:snapToGrid w:val="0"/>
          <w:color w:val="auto"/>
          <w:kern w:val="0"/>
          <w:highlight w:val="none"/>
          <w:lang w:val="en-US" w:eastAsia="zh-CN"/>
        </w:rPr>
        <w:t>8</w:t>
      </w:r>
      <w:r>
        <w:rPr>
          <w:rFonts w:hint="default" w:ascii="Times New Roman" w:hAnsi="Times New Roman" w:cs="Times New Roman"/>
          <w:snapToGrid w:val="0"/>
          <w:color w:val="auto"/>
          <w:kern w:val="0"/>
          <w:highlight w:val="none"/>
        </w:rPr>
        <w:t>所示：</w:t>
      </w:r>
    </w:p>
    <w:p w14:paraId="53DEC22A">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center"/>
        <w:textAlignment w:val="auto"/>
        <w:rPr>
          <w:rFonts w:hint="default"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color w:val="auto"/>
          <w:sz w:val="21"/>
          <w:szCs w:val="21"/>
          <w:highlight w:val="none"/>
        </w:rPr>
        <w:t>表3-</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新一代数据中台项目（一期）</w:t>
      </w:r>
      <w:r>
        <w:rPr>
          <w:rFonts w:hint="default" w:ascii="Times New Roman" w:hAnsi="Times New Roman" w:eastAsia="宋体" w:cs="Times New Roman"/>
          <w:color w:val="auto"/>
          <w:sz w:val="21"/>
          <w:szCs w:val="21"/>
          <w:highlight w:val="none"/>
          <w:lang w:val="en-US" w:eastAsia="zh-CN"/>
        </w:rPr>
        <w:t>项目组成员要求表</w:t>
      </w:r>
    </w:p>
    <w:tbl>
      <w:tblPr>
        <w:tblStyle w:val="22"/>
        <w:tblW w:w="9249"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106"/>
        <w:gridCol w:w="3515"/>
        <w:gridCol w:w="2083"/>
      </w:tblGrid>
      <w:tr w14:paraId="2BF6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shd w:val="clear" w:color="FFFFFF" w:fill="D8D8D8"/>
            <w:vAlign w:val="center"/>
          </w:tcPr>
          <w:p w14:paraId="6F36B96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snapToGrid w:val="0"/>
                <w:color w:val="auto"/>
                <w:kern w:val="0"/>
                <w:sz w:val="21"/>
                <w:szCs w:val="21"/>
                <w:highlight w:val="none"/>
              </w:rPr>
            </w:pPr>
            <w:r>
              <w:rPr>
                <w:rFonts w:hint="default" w:ascii="Times New Roman" w:hAnsi="Times New Roman" w:eastAsia="宋体" w:cs="Times New Roman"/>
                <w:b/>
                <w:bCs/>
                <w:snapToGrid w:val="0"/>
                <w:color w:val="auto"/>
                <w:kern w:val="0"/>
                <w:sz w:val="21"/>
                <w:szCs w:val="21"/>
                <w:highlight w:val="none"/>
              </w:rPr>
              <w:t>成员角色</w:t>
            </w:r>
          </w:p>
        </w:tc>
        <w:tc>
          <w:tcPr>
            <w:tcW w:w="2106" w:type="dxa"/>
            <w:shd w:val="clear" w:color="FFFFFF" w:fill="D8D8D8"/>
            <w:vAlign w:val="center"/>
          </w:tcPr>
          <w:p w14:paraId="703C0D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角色职责</w:t>
            </w:r>
          </w:p>
        </w:tc>
        <w:tc>
          <w:tcPr>
            <w:tcW w:w="3515" w:type="dxa"/>
            <w:shd w:val="clear" w:color="FFFFFF" w:fill="D8D8D8"/>
            <w:vAlign w:val="center"/>
          </w:tcPr>
          <w:p w14:paraId="333C19B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资质要求</w:t>
            </w:r>
          </w:p>
        </w:tc>
        <w:tc>
          <w:tcPr>
            <w:tcW w:w="2083" w:type="dxa"/>
            <w:shd w:val="clear" w:color="FFFFFF" w:fill="D8D8D8"/>
            <w:vAlign w:val="center"/>
          </w:tcPr>
          <w:p w14:paraId="6C967C9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snapToGrid w:val="0"/>
                <w:color w:val="auto"/>
                <w:kern w:val="0"/>
                <w:sz w:val="21"/>
                <w:szCs w:val="21"/>
                <w:highlight w:val="none"/>
                <w:lang w:val="en-US" w:eastAsia="zh-CN"/>
              </w:rPr>
            </w:pPr>
            <w:r>
              <w:rPr>
                <w:rFonts w:hint="eastAsia" w:ascii="Times New Roman" w:hAnsi="Times New Roman" w:eastAsia="宋体" w:cs="Times New Roman"/>
                <w:b/>
                <w:bCs/>
                <w:snapToGrid w:val="0"/>
                <w:color w:val="auto"/>
                <w:kern w:val="0"/>
                <w:sz w:val="21"/>
                <w:szCs w:val="21"/>
                <w:highlight w:val="none"/>
                <w:lang w:val="en-US" w:eastAsia="zh-CN"/>
              </w:rPr>
              <w:t>驻场要求</w:t>
            </w:r>
          </w:p>
        </w:tc>
      </w:tr>
      <w:tr w14:paraId="7919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073307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项目经理</w:t>
            </w:r>
          </w:p>
          <w:p w14:paraId="33C4E97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（至少1人）</w:t>
            </w:r>
          </w:p>
        </w:tc>
        <w:tc>
          <w:tcPr>
            <w:tcW w:w="2106" w:type="dxa"/>
            <w:tcBorders>
              <w:left w:val="single" w:color="auto" w:sz="4" w:space="0"/>
            </w:tcBorders>
            <w:vAlign w:val="center"/>
          </w:tcPr>
          <w:p w14:paraId="1D01370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sz w:val="21"/>
                <w:szCs w:val="21"/>
                <w:highlight w:val="none"/>
              </w:rPr>
              <w:t>负责本项目的计划、组织、实施、协调、人员配置并监督工作情况及进度等工作，负责各方的沟通联系，对项目领导</w:t>
            </w:r>
            <w:r>
              <w:rPr>
                <w:rFonts w:hint="default" w:ascii="Times New Roman" w:hAnsi="Times New Roman" w:eastAsia="宋体" w:cs="Times New Roman"/>
                <w:color w:val="auto"/>
                <w:sz w:val="21"/>
                <w:szCs w:val="21"/>
                <w:highlight w:val="none"/>
                <w:lang w:val="en-US" w:eastAsia="zh-CN"/>
              </w:rPr>
              <w:t>小</w:t>
            </w:r>
            <w:r>
              <w:rPr>
                <w:rFonts w:hint="default" w:ascii="Times New Roman" w:hAnsi="Times New Roman" w:eastAsia="宋体" w:cs="Times New Roman"/>
                <w:color w:val="auto"/>
                <w:sz w:val="21"/>
                <w:szCs w:val="21"/>
                <w:highlight w:val="none"/>
              </w:rPr>
              <w:t>组负责。</w:t>
            </w:r>
          </w:p>
        </w:tc>
        <w:tc>
          <w:tcPr>
            <w:tcW w:w="3515" w:type="dxa"/>
            <w:tcBorders>
              <w:left w:val="single" w:color="auto" w:sz="4" w:space="0"/>
            </w:tcBorders>
            <w:vAlign w:val="center"/>
          </w:tcPr>
          <w:p w14:paraId="69AFD6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备8</w:t>
            </w:r>
            <w:r>
              <w:rPr>
                <w:rFonts w:hint="default" w:ascii="Times New Roman" w:hAnsi="Times New Roman" w:eastAsia="宋体" w:cs="Times New Roman"/>
                <w:color w:val="auto"/>
                <w:sz w:val="21"/>
                <w:szCs w:val="21"/>
                <w:highlight w:val="none"/>
              </w:rPr>
              <w:t>年及以上同类项目管理经验，5个及以上银行业相关项目管理实施经验；具有丰富的实施项目经验和较强的沟通协调能力；具有预见和应对项目风险能力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熟悉银行业务，熟悉数据仓库、大数据平台、湖仓一体实施方法论，具备丰富的数据仓库、大数据平台、湖仓一体实施经验。</w:t>
            </w:r>
          </w:p>
        </w:tc>
        <w:tc>
          <w:tcPr>
            <w:tcW w:w="2083" w:type="dxa"/>
            <w:tcBorders>
              <w:left w:val="single" w:color="auto" w:sz="4" w:space="0"/>
            </w:tcBorders>
            <w:vAlign w:val="center"/>
          </w:tcPr>
          <w:p w14:paraId="6A66F0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需全程驻场</w:t>
            </w:r>
            <w:r>
              <w:rPr>
                <w:rFonts w:hint="eastAsia" w:ascii="Times New Roman" w:hAnsi="Times New Roman" w:cs="Times New Roman"/>
                <w:color w:val="auto"/>
                <w:sz w:val="21"/>
                <w:szCs w:val="21"/>
                <w:highlight w:val="none"/>
                <w:lang w:val="en-US" w:eastAsia="zh-CN"/>
              </w:rPr>
              <w:t>，且非比选人要求中途不得随意更换。</w:t>
            </w:r>
          </w:p>
        </w:tc>
      </w:tr>
      <w:tr w14:paraId="5933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63E7FF3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PMO</w:t>
            </w:r>
          </w:p>
          <w:p w14:paraId="3F82DC1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rPr>
              <w:t>（至少</w:t>
            </w:r>
            <w:r>
              <w:rPr>
                <w:rFonts w:hint="eastAsia" w:ascii="Times New Roman" w:hAnsi="Times New Roman" w:eastAsia="宋体" w:cs="Times New Roman"/>
                <w:snapToGrid w:val="0"/>
                <w:color w:val="auto"/>
                <w:kern w:val="0"/>
                <w:sz w:val="21"/>
                <w:szCs w:val="21"/>
                <w:highlight w:val="none"/>
                <w:lang w:val="en-US" w:eastAsia="zh-CN"/>
              </w:rPr>
              <w:t>2</w:t>
            </w:r>
            <w:r>
              <w:rPr>
                <w:rFonts w:hint="default" w:ascii="Times New Roman" w:hAnsi="Times New Roman" w:eastAsia="宋体" w:cs="Times New Roman"/>
                <w:snapToGrid w:val="0"/>
                <w:color w:val="auto"/>
                <w:kern w:val="0"/>
                <w:sz w:val="21"/>
                <w:szCs w:val="21"/>
                <w:highlight w:val="none"/>
                <w:lang w:val="en-US" w:eastAsia="zh-CN"/>
              </w:rPr>
              <w:t>人）</w:t>
            </w:r>
          </w:p>
        </w:tc>
        <w:tc>
          <w:tcPr>
            <w:tcW w:w="2106" w:type="dxa"/>
            <w:tcBorders>
              <w:left w:val="single" w:color="auto" w:sz="4" w:space="0"/>
            </w:tcBorders>
            <w:vAlign w:val="center"/>
          </w:tcPr>
          <w:p w14:paraId="174D8E3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负责整体项目</w:t>
            </w:r>
            <w:r>
              <w:rPr>
                <w:rFonts w:hint="eastAsia" w:ascii="Times New Roman" w:hAnsi="Times New Roman" w:cs="Times New Roman"/>
                <w:color w:val="auto"/>
                <w:sz w:val="21"/>
                <w:szCs w:val="21"/>
                <w:highlight w:val="none"/>
                <w:lang w:val="en-US" w:eastAsia="zh-CN"/>
              </w:rPr>
              <w:t>的建设进度和质量把控，定期向</w:t>
            </w:r>
            <w:r>
              <w:rPr>
                <w:rFonts w:hint="default" w:ascii="Times New Roman" w:hAnsi="Times New Roman" w:eastAsia="宋体" w:cs="Times New Roman"/>
                <w:color w:val="auto"/>
                <w:sz w:val="21"/>
                <w:szCs w:val="21"/>
                <w:highlight w:val="none"/>
              </w:rPr>
              <w:t>项目领导</w:t>
            </w:r>
            <w:r>
              <w:rPr>
                <w:rFonts w:hint="default" w:ascii="Times New Roman" w:hAnsi="Times New Roman" w:eastAsia="宋体" w:cs="Times New Roman"/>
                <w:color w:val="auto"/>
                <w:sz w:val="21"/>
                <w:szCs w:val="21"/>
                <w:highlight w:val="none"/>
                <w:lang w:val="en-US" w:eastAsia="zh-CN"/>
              </w:rPr>
              <w:t>小</w:t>
            </w:r>
            <w:r>
              <w:rPr>
                <w:rFonts w:hint="default" w:ascii="Times New Roman" w:hAnsi="Times New Roman" w:eastAsia="宋体" w:cs="Times New Roman"/>
                <w:color w:val="auto"/>
                <w:sz w:val="21"/>
                <w:szCs w:val="21"/>
                <w:highlight w:val="none"/>
              </w:rPr>
              <w:t>组</w:t>
            </w:r>
            <w:r>
              <w:rPr>
                <w:rFonts w:hint="eastAsia" w:ascii="Times New Roman" w:hAnsi="Times New Roman" w:cs="Times New Roman"/>
                <w:color w:val="auto"/>
                <w:sz w:val="21"/>
                <w:szCs w:val="21"/>
                <w:highlight w:val="none"/>
                <w:lang w:val="en-US" w:eastAsia="zh-CN"/>
              </w:rPr>
              <w:t>汇报进度、问题等。</w:t>
            </w:r>
          </w:p>
        </w:tc>
        <w:tc>
          <w:tcPr>
            <w:tcW w:w="3515" w:type="dxa"/>
            <w:tcBorders>
              <w:left w:val="single" w:color="auto" w:sz="4" w:space="0"/>
            </w:tcBorders>
            <w:vAlign w:val="center"/>
          </w:tcPr>
          <w:p w14:paraId="241CB3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w:t>
            </w:r>
            <w:r>
              <w:rPr>
                <w:rFonts w:hint="default" w:ascii="Times New Roman" w:hAnsi="Times New Roman" w:eastAsia="宋体" w:cs="Times New Roman"/>
                <w:color w:val="auto"/>
                <w:sz w:val="21"/>
                <w:szCs w:val="21"/>
                <w:highlight w:val="none"/>
                <w:lang w:val="en-US" w:eastAsia="zh-CN"/>
              </w:rPr>
              <w:t>5年以上的项目管理经验</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熟悉项目管理方法论和工具</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具有</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个及以上银行业相关项目管理实施经验</w:t>
            </w:r>
            <w:r>
              <w:rPr>
                <w:rFonts w:hint="eastAsia" w:ascii="Times New Roman" w:hAnsi="Times New Roman" w:cs="Times New Roman"/>
                <w:color w:val="auto"/>
                <w:sz w:val="21"/>
                <w:szCs w:val="21"/>
                <w:highlight w:val="none"/>
                <w:lang w:eastAsia="zh-CN"/>
              </w:rPr>
              <w:t>；具有良好的沟通和协调能力，能有效协调跨部门、跨团队的资源；有较强的文档撰写和汇报技能。</w:t>
            </w:r>
          </w:p>
        </w:tc>
        <w:tc>
          <w:tcPr>
            <w:tcW w:w="2083" w:type="dxa"/>
            <w:tcBorders>
              <w:left w:val="single" w:color="auto" w:sz="4" w:space="0"/>
            </w:tcBorders>
            <w:vAlign w:val="center"/>
          </w:tcPr>
          <w:p w14:paraId="7B57A79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其中1人</w:t>
            </w:r>
            <w:r>
              <w:rPr>
                <w:rFonts w:hint="eastAsia" w:ascii="Times New Roman" w:hAnsi="Times New Roman" w:eastAsia="宋体" w:cs="Times New Roman"/>
                <w:color w:val="auto"/>
                <w:sz w:val="21"/>
                <w:szCs w:val="21"/>
                <w:highlight w:val="none"/>
                <w:lang w:val="en-US" w:eastAsia="zh-CN"/>
              </w:rPr>
              <w:t>需全程驻场</w:t>
            </w:r>
            <w:r>
              <w:rPr>
                <w:rFonts w:hint="eastAsia" w:ascii="Times New Roman" w:hAnsi="Times New Roman" w:cs="Times New Roman"/>
                <w:color w:val="auto"/>
                <w:sz w:val="21"/>
                <w:szCs w:val="21"/>
                <w:highlight w:val="none"/>
                <w:lang w:val="en-US" w:eastAsia="zh-CN"/>
              </w:rPr>
              <w:t>，另1人可根据项目进度按比选人要求阶段性提供现场支持，且非比选人要求中途不得随意更换。</w:t>
            </w:r>
          </w:p>
        </w:tc>
      </w:tr>
      <w:tr w14:paraId="0E10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5E01851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架构师</w:t>
            </w:r>
          </w:p>
          <w:p w14:paraId="58DBAD5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至少</w:t>
            </w:r>
            <w:r>
              <w:rPr>
                <w:rFonts w:hint="eastAsia" w:ascii="Times New Roman" w:hAnsi="Times New Roman"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lang w:val="en-US" w:eastAsia="zh-CN"/>
              </w:rPr>
              <w:t>人）</w:t>
            </w:r>
          </w:p>
        </w:tc>
        <w:tc>
          <w:tcPr>
            <w:tcW w:w="2106" w:type="dxa"/>
            <w:tcBorders>
              <w:left w:val="single" w:color="auto" w:sz="4" w:space="0"/>
            </w:tcBorders>
            <w:vAlign w:val="center"/>
          </w:tcPr>
          <w:p w14:paraId="4345D4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负责本项目架构调研、规划和设计，并指导现场人员实施落地。</w:t>
            </w:r>
          </w:p>
        </w:tc>
        <w:tc>
          <w:tcPr>
            <w:tcW w:w="3515" w:type="dxa"/>
            <w:tcBorders>
              <w:left w:val="single" w:color="auto" w:sz="4" w:space="0"/>
            </w:tcBorders>
            <w:vAlign w:val="center"/>
          </w:tcPr>
          <w:p w14:paraId="2244644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lang w:val="en-US" w:eastAsia="zh-CN"/>
              </w:rPr>
              <w:t>以上银行业大数据平台、数据中台、数据仓库、湖仓一体、数据集成等架构经验和实施经验</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具有5个及以上银行大数据平台、数据中台、数据仓库、湖仓一体、数据集成等项目架构设计经验。</w:t>
            </w:r>
          </w:p>
        </w:tc>
        <w:tc>
          <w:tcPr>
            <w:tcW w:w="2083" w:type="dxa"/>
            <w:tcBorders>
              <w:left w:val="single" w:color="auto" w:sz="4" w:space="0"/>
            </w:tcBorders>
            <w:vAlign w:val="center"/>
          </w:tcPr>
          <w:p w14:paraId="26099B3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现状调研、架构和方案设计阶段需全程驻场，其余阶段按比选人要求需阶段性进行现场支持</w:t>
            </w:r>
            <w:r>
              <w:rPr>
                <w:rFonts w:hint="eastAsia" w:ascii="Times New Roman" w:hAnsi="Times New Roman" w:cs="Times New Roman"/>
                <w:color w:val="auto"/>
                <w:sz w:val="21"/>
                <w:szCs w:val="21"/>
                <w:highlight w:val="none"/>
                <w:lang w:val="en-US" w:eastAsia="zh-CN"/>
              </w:rPr>
              <w:t>，其中至少1人需为湖仓一体底座产品供应商原厂人员。</w:t>
            </w:r>
          </w:p>
        </w:tc>
      </w:tr>
      <w:tr w14:paraId="364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6ACFCA1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咨询专家</w:t>
            </w:r>
          </w:p>
          <w:p w14:paraId="53A272A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rPr>
              <w:t>（至少1人）</w:t>
            </w:r>
          </w:p>
        </w:tc>
        <w:tc>
          <w:tcPr>
            <w:tcW w:w="2106" w:type="dxa"/>
            <w:tcBorders>
              <w:left w:val="single" w:color="auto" w:sz="4" w:space="0"/>
            </w:tcBorders>
            <w:vAlign w:val="center"/>
          </w:tcPr>
          <w:p w14:paraId="090D15D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负责整个项目的实施方案设计。</w:t>
            </w:r>
          </w:p>
        </w:tc>
        <w:tc>
          <w:tcPr>
            <w:tcW w:w="3515" w:type="dxa"/>
            <w:tcBorders>
              <w:left w:val="single" w:color="auto" w:sz="4" w:space="0"/>
            </w:tcBorders>
            <w:vAlign w:val="center"/>
          </w:tcPr>
          <w:p w14:paraId="03291C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年以上银行业大数据平台、数据中台、数据仓库、湖仓一体、数据集成等实施经验</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具有5个及以上银行大数据平台、数据中台、数据仓库、湖仓一体、数据集成等项目</w:t>
            </w:r>
            <w:r>
              <w:rPr>
                <w:rFonts w:hint="eastAsia" w:ascii="Times New Roman" w:hAnsi="Times New Roman" w:cs="Times New Roman"/>
                <w:color w:val="auto"/>
                <w:sz w:val="21"/>
                <w:szCs w:val="21"/>
                <w:highlight w:val="none"/>
                <w:lang w:val="en-US" w:eastAsia="zh-CN"/>
              </w:rPr>
              <w:t>方案设计</w:t>
            </w:r>
            <w:r>
              <w:rPr>
                <w:rFonts w:hint="default" w:ascii="Times New Roman" w:hAnsi="Times New Roman" w:eastAsia="宋体" w:cs="Times New Roman"/>
                <w:color w:val="auto"/>
                <w:sz w:val="21"/>
                <w:szCs w:val="21"/>
                <w:highlight w:val="none"/>
                <w:lang w:val="en-US" w:eastAsia="zh-CN"/>
              </w:rPr>
              <w:t>经验。</w:t>
            </w:r>
          </w:p>
        </w:tc>
        <w:tc>
          <w:tcPr>
            <w:tcW w:w="2083" w:type="dxa"/>
            <w:tcBorders>
              <w:left w:val="single" w:color="auto" w:sz="4" w:space="0"/>
            </w:tcBorders>
            <w:vAlign w:val="center"/>
          </w:tcPr>
          <w:p w14:paraId="213E210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现状调研、架构和方案设计阶段需全程驻场</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其余阶段按比选人要求需阶段性进行现场支持。</w:t>
            </w:r>
          </w:p>
        </w:tc>
      </w:tr>
      <w:tr w14:paraId="16C3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D156A9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需求分析师</w:t>
            </w:r>
          </w:p>
          <w:p w14:paraId="7C32F60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（至少3人）</w:t>
            </w:r>
          </w:p>
        </w:tc>
        <w:tc>
          <w:tcPr>
            <w:tcW w:w="2106" w:type="dxa"/>
            <w:tcBorders>
              <w:left w:val="single" w:color="auto" w:sz="4" w:space="0"/>
            </w:tcBorders>
            <w:vAlign w:val="center"/>
          </w:tcPr>
          <w:p w14:paraId="15084CD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lang w:val="en-US" w:eastAsia="zh-CN"/>
              </w:rPr>
              <w:t>分析需求的合理性、可行性和优先级</w:t>
            </w:r>
            <w:r>
              <w:rPr>
                <w:rFonts w:hint="eastAsia" w:ascii="Times New Roman" w:hAnsi="Times New Roman" w:cs="Times New Roman"/>
                <w:color w:val="auto"/>
                <w:sz w:val="21"/>
                <w:szCs w:val="21"/>
                <w:highlight w:val="none"/>
                <w:lang w:val="en-US" w:eastAsia="zh-CN"/>
              </w:rPr>
              <w:t>，跟踪需求变更并及时评估影响。</w:t>
            </w:r>
          </w:p>
        </w:tc>
        <w:tc>
          <w:tcPr>
            <w:tcW w:w="3515" w:type="dxa"/>
            <w:tcBorders>
              <w:left w:val="single" w:color="auto" w:sz="4" w:space="0"/>
            </w:tcBorders>
            <w:vAlign w:val="center"/>
          </w:tcPr>
          <w:p w14:paraId="691F368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年以上银行业大数据平台、数据中台、数据仓库、湖仓一体、数据集成等实施经验</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具有</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个及以上银行大数据平台、数据中台、数据仓库、湖仓一体、数据集成等</w:t>
            </w:r>
            <w:r>
              <w:rPr>
                <w:rFonts w:hint="eastAsia" w:ascii="Times New Roman" w:hAnsi="Times New Roman" w:cs="Times New Roman"/>
                <w:color w:val="auto"/>
                <w:sz w:val="21"/>
                <w:szCs w:val="21"/>
                <w:highlight w:val="none"/>
                <w:lang w:val="en-US" w:eastAsia="zh-CN"/>
              </w:rPr>
              <w:t>需求分析</w:t>
            </w:r>
            <w:r>
              <w:rPr>
                <w:rFonts w:hint="default" w:ascii="Times New Roman" w:hAnsi="Times New Roman" w:eastAsia="宋体" w:cs="Times New Roman"/>
                <w:color w:val="auto"/>
                <w:sz w:val="21"/>
                <w:szCs w:val="21"/>
                <w:highlight w:val="none"/>
                <w:lang w:val="en-US" w:eastAsia="zh-CN"/>
              </w:rPr>
              <w:t>经验。</w:t>
            </w:r>
          </w:p>
        </w:tc>
        <w:tc>
          <w:tcPr>
            <w:tcW w:w="2083" w:type="dxa"/>
            <w:tcBorders>
              <w:left w:val="single" w:color="auto" w:sz="4" w:space="0"/>
            </w:tcBorders>
            <w:vAlign w:val="center"/>
          </w:tcPr>
          <w:p w14:paraId="1E516A5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其中2人</w:t>
            </w:r>
            <w:r>
              <w:rPr>
                <w:rFonts w:hint="eastAsia" w:ascii="Times New Roman" w:hAnsi="Times New Roman" w:eastAsia="宋体" w:cs="Times New Roman"/>
                <w:color w:val="auto"/>
                <w:sz w:val="21"/>
                <w:szCs w:val="21"/>
                <w:highlight w:val="none"/>
                <w:lang w:val="en-US" w:eastAsia="zh-CN"/>
              </w:rPr>
              <w:t>需全程驻场</w:t>
            </w:r>
            <w:r>
              <w:rPr>
                <w:rFonts w:hint="eastAsia" w:ascii="Times New Roman" w:hAnsi="Times New Roman" w:cs="Times New Roman"/>
                <w:color w:val="auto"/>
                <w:sz w:val="21"/>
                <w:szCs w:val="21"/>
                <w:highlight w:val="none"/>
                <w:lang w:val="en-US" w:eastAsia="zh-CN"/>
              </w:rPr>
              <w:t>，另1人可根据项目进度按比选人要求阶段性提供现场支持，且非比选人要求中途不得随意更换。</w:t>
            </w:r>
          </w:p>
        </w:tc>
      </w:tr>
      <w:tr w14:paraId="489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5B036D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模型设计师（至少2人）</w:t>
            </w:r>
          </w:p>
          <w:p w14:paraId="70877A9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rPr>
            </w:pPr>
          </w:p>
        </w:tc>
        <w:tc>
          <w:tcPr>
            <w:tcW w:w="2106" w:type="dxa"/>
            <w:tcBorders>
              <w:left w:val="single" w:color="auto" w:sz="4" w:space="0"/>
            </w:tcBorders>
            <w:vAlign w:val="center"/>
          </w:tcPr>
          <w:p w14:paraId="7C72EC6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sz w:val="21"/>
                <w:szCs w:val="21"/>
                <w:highlight w:val="none"/>
              </w:rPr>
              <w:t>负责本项目数据模型设计，包括数据湖、数据仓库、数据集市的概念模型、逻辑模型、物理模型设计。</w:t>
            </w:r>
          </w:p>
        </w:tc>
        <w:tc>
          <w:tcPr>
            <w:tcW w:w="3515" w:type="dxa"/>
            <w:tcBorders>
              <w:left w:val="single" w:color="auto" w:sz="4" w:space="0"/>
            </w:tcBorders>
            <w:vAlign w:val="center"/>
          </w:tcPr>
          <w:p w14:paraId="3F063B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必须熟悉银行业务，熟悉银行各条线业务数据，精通维度模型的设计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备5</w:t>
            </w:r>
            <w:r>
              <w:rPr>
                <w:rFonts w:hint="default" w:ascii="Times New Roman" w:hAnsi="Times New Roman" w:eastAsia="宋体"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以上相关模型设计经验</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具备3个及以上数据</w:t>
            </w:r>
            <w:r>
              <w:rPr>
                <w:rFonts w:hint="default" w:ascii="Times New Roman" w:hAnsi="Times New Roman" w:eastAsia="宋体" w:cs="Times New Roman"/>
                <w:color w:val="auto"/>
                <w:sz w:val="21"/>
                <w:szCs w:val="21"/>
                <w:highlight w:val="none"/>
                <w:lang w:val="en-US" w:eastAsia="zh-CN"/>
              </w:rPr>
              <w:t>大数据平台、数据中台、数据仓库、湖仓一体、数据集成等项目</w:t>
            </w:r>
            <w:r>
              <w:rPr>
                <w:rFonts w:hint="eastAsia" w:ascii="Times New Roman" w:hAnsi="Times New Roman" w:cs="Times New Roman"/>
                <w:color w:val="auto"/>
                <w:sz w:val="21"/>
                <w:szCs w:val="21"/>
                <w:highlight w:val="none"/>
                <w:lang w:val="en-US" w:eastAsia="zh-CN"/>
              </w:rPr>
              <w:t>模型设计经验。</w:t>
            </w:r>
          </w:p>
        </w:tc>
        <w:tc>
          <w:tcPr>
            <w:tcW w:w="2083" w:type="dxa"/>
            <w:tcBorders>
              <w:left w:val="single" w:color="auto" w:sz="4" w:space="0"/>
            </w:tcBorders>
            <w:vAlign w:val="center"/>
          </w:tcPr>
          <w:p w14:paraId="3A1391A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需全程驻场</w:t>
            </w:r>
            <w:r>
              <w:rPr>
                <w:rFonts w:hint="eastAsia" w:ascii="Times New Roman" w:hAnsi="Times New Roman" w:cs="Times New Roman"/>
                <w:color w:val="auto"/>
                <w:sz w:val="21"/>
                <w:szCs w:val="21"/>
                <w:highlight w:val="none"/>
                <w:lang w:val="en-US" w:eastAsia="zh-CN"/>
              </w:rPr>
              <w:t>，且非比选人要求中途不得随意更换。</w:t>
            </w:r>
          </w:p>
        </w:tc>
      </w:tr>
      <w:tr w14:paraId="624C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46DD84D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b w:val="0"/>
                <w:bCs w:val="0"/>
                <w:snapToGrid/>
                <w:color w:val="auto"/>
                <w:kern w:val="2"/>
                <w:sz w:val="21"/>
                <w:szCs w:val="21"/>
                <w:highlight w:val="none"/>
                <w:lang w:val="en-US" w:eastAsia="zh-CN" w:bidi="ar-SA"/>
              </w:rPr>
            </w:pPr>
            <w:r>
              <w:rPr>
                <w:rFonts w:hint="eastAsia" w:ascii="Times New Roman" w:hAnsi="Times New Roman" w:eastAsia="宋体" w:cs="Times New Roman"/>
                <w:b w:val="0"/>
                <w:bCs w:val="0"/>
                <w:snapToGrid/>
                <w:color w:val="auto"/>
                <w:kern w:val="2"/>
                <w:sz w:val="21"/>
                <w:szCs w:val="21"/>
                <w:highlight w:val="none"/>
                <w:lang w:val="en-US" w:eastAsia="zh-CN" w:bidi="ar-SA"/>
              </w:rPr>
              <w:t>数据治理人员</w:t>
            </w:r>
          </w:p>
          <w:p w14:paraId="6EFE7B9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color w:val="auto"/>
                <w:highlight w:val="none"/>
                <w:lang w:val="en-US" w:eastAsia="zh-CN"/>
              </w:rPr>
            </w:pPr>
            <w:r>
              <w:rPr>
                <w:rFonts w:hint="eastAsia" w:ascii="Times New Roman" w:hAnsi="Times New Roman" w:eastAsia="宋体" w:cs="Times New Roman"/>
                <w:b w:val="0"/>
                <w:bCs w:val="0"/>
                <w:snapToGrid/>
                <w:color w:val="auto"/>
                <w:kern w:val="2"/>
                <w:sz w:val="21"/>
                <w:szCs w:val="21"/>
                <w:highlight w:val="none"/>
                <w:lang w:val="en-US" w:eastAsia="zh-CN" w:bidi="ar-SA"/>
              </w:rPr>
              <w:t>（至少2人）</w:t>
            </w:r>
          </w:p>
        </w:tc>
        <w:tc>
          <w:tcPr>
            <w:tcW w:w="2106" w:type="dxa"/>
            <w:tcBorders>
              <w:left w:val="single" w:color="auto" w:sz="4" w:space="0"/>
            </w:tcBorders>
            <w:vAlign w:val="center"/>
          </w:tcPr>
          <w:p w14:paraId="5AA4E94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负责数据治理方案和标准的制定和落地检查等数据治理相关工作。</w:t>
            </w:r>
          </w:p>
        </w:tc>
        <w:tc>
          <w:tcPr>
            <w:tcW w:w="3515" w:type="dxa"/>
            <w:tcBorders>
              <w:left w:val="single" w:color="auto" w:sz="4" w:space="0"/>
            </w:tcBorders>
            <w:vAlign w:val="center"/>
          </w:tcPr>
          <w:p w14:paraId="59B982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必须熟悉银行业务，熟悉银行各条线业务数据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备5年以上数据治理工作经验；</w:t>
            </w:r>
            <w:r>
              <w:rPr>
                <w:rFonts w:hint="default"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备3</w:t>
            </w:r>
            <w:r>
              <w:rPr>
                <w:rFonts w:hint="default" w:ascii="Times New Roman" w:hAnsi="Times New Roman" w:eastAsia="宋体" w:cs="Times New Roman"/>
                <w:color w:val="auto"/>
                <w:sz w:val="21"/>
                <w:szCs w:val="21"/>
                <w:highlight w:val="none"/>
                <w:lang w:val="en-US" w:eastAsia="zh-CN"/>
              </w:rPr>
              <w:t>个</w:t>
            </w:r>
            <w:r>
              <w:rPr>
                <w:rFonts w:hint="eastAsia" w:ascii="Times New Roman" w:hAnsi="Times New Roman" w:cs="Times New Roman"/>
                <w:color w:val="auto"/>
                <w:sz w:val="21"/>
                <w:szCs w:val="21"/>
                <w:highlight w:val="none"/>
                <w:lang w:val="en-US" w:eastAsia="zh-CN"/>
              </w:rPr>
              <w:t>及以上数据</w:t>
            </w:r>
            <w:r>
              <w:rPr>
                <w:rFonts w:hint="default" w:ascii="Times New Roman" w:hAnsi="Times New Roman" w:eastAsia="宋体" w:cs="Times New Roman"/>
                <w:color w:val="auto"/>
                <w:sz w:val="21"/>
                <w:szCs w:val="21"/>
                <w:highlight w:val="none"/>
                <w:lang w:val="en-US" w:eastAsia="zh-CN"/>
              </w:rPr>
              <w:t>大数据平台、数据中台、数据仓库、湖仓一体、数据集成等项目</w:t>
            </w:r>
            <w:r>
              <w:rPr>
                <w:rFonts w:hint="eastAsia" w:ascii="Times New Roman" w:hAnsi="Times New Roman" w:cs="Times New Roman"/>
                <w:color w:val="auto"/>
                <w:sz w:val="21"/>
                <w:szCs w:val="21"/>
                <w:highlight w:val="none"/>
                <w:lang w:val="en-US" w:eastAsia="zh-CN"/>
              </w:rPr>
              <w:t>数据治理经验；至少1人具备CDGP或CDMP证书。</w:t>
            </w:r>
          </w:p>
        </w:tc>
        <w:tc>
          <w:tcPr>
            <w:tcW w:w="2083" w:type="dxa"/>
            <w:tcBorders>
              <w:left w:val="single" w:color="auto" w:sz="4" w:space="0"/>
            </w:tcBorders>
            <w:vAlign w:val="center"/>
          </w:tcPr>
          <w:p w14:paraId="157EE2E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数据建模工作完成之前需全程驻场，</w:t>
            </w:r>
            <w:r>
              <w:rPr>
                <w:rFonts w:hint="eastAsia" w:ascii="Times New Roman" w:hAnsi="Times New Roman" w:eastAsia="宋体" w:cs="Times New Roman"/>
                <w:color w:val="auto"/>
                <w:sz w:val="21"/>
                <w:szCs w:val="21"/>
                <w:highlight w:val="none"/>
                <w:lang w:val="en-US" w:eastAsia="zh-CN"/>
              </w:rPr>
              <w:t>其余阶段按比选人要求需阶段性进行现场支持</w:t>
            </w:r>
            <w:r>
              <w:rPr>
                <w:rFonts w:hint="eastAsia" w:ascii="Times New Roman" w:hAnsi="Times New Roman" w:cs="Times New Roman"/>
                <w:color w:val="auto"/>
                <w:sz w:val="21"/>
                <w:szCs w:val="21"/>
                <w:highlight w:val="none"/>
                <w:lang w:val="en-US" w:eastAsia="zh-CN"/>
              </w:rPr>
              <w:t>。</w:t>
            </w:r>
          </w:p>
        </w:tc>
      </w:tr>
      <w:tr w14:paraId="303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4EBD049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产品开发</w:t>
            </w:r>
          </w:p>
          <w:p w14:paraId="666CA23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color w:val="auto"/>
                <w:highlight w:val="none"/>
                <w:lang w:val="en-US" w:eastAsia="zh-CN"/>
              </w:rPr>
            </w:pPr>
            <w:r>
              <w:rPr>
                <w:rFonts w:hint="eastAsia" w:ascii="Times New Roman" w:hAnsi="Times New Roman" w:eastAsia="宋体" w:cs="Times New Roman"/>
                <w:b w:val="0"/>
                <w:bCs w:val="0"/>
                <w:snapToGrid/>
                <w:color w:val="auto"/>
                <w:kern w:val="2"/>
                <w:sz w:val="21"/>
                <w:szCs w:val="21"/>
                <w:highlight w:val="none"/>
                <w:lang w:val="en-US" w:eastAsia="zh-CN" w:bidi="ar-SA"/>
              </w:rPr>
              <w:t>（至少</w:t>
            </w:r>
            <w:r>
              <w:rPr>
                <w:rFonts w:hint="eastAsia" w:ascii="Times New Roman" w:hAnsi="Times New Roman" w:cs="Times New Roman"/>
                <w:b w:val="0"/>
                <w:bCs w:val="0"/>
                <w:snapToGrid/>
                <w:color w:val="auto"/>
                <w:kern w:val="2"/>
                <w:sz w:val="21"/>
                <w:szCs w:val="21"/>
                <w:highlight w:val="none"/>
                <w:lang w:val="en-US" w:eastAsia="zh-CN" w:bidi="ar-SA"/>
              </w:rPr>
              <w:t>4人</w:t>
            </w:r>
            <w:r>
              <w:rPr>
                <w:rFonts w:hint="eastAsia" w:ascii="Times New Roman" w:hAnsi="Times New Roman" w:eastAsia="宋体" w:cs="Times New Roman"/>
                <w:b w:val="0"/>
                <w:bCs w:val="0"/>
                <w:snapToGrid/>
                <w:color w:val="auto"/>
                <w:kern w:val="2"/>
                <w:sz w:val="21"/>
                <w:szCs w:val="21"/>
                <w:highlight w:val="none"/>
                <w:lang w:val="en-US" w:eastAsia="zh-CN" w:bidi="ar-SA"/>
              </w:rPr>
              <w:t>）</w:t>
            </w:r>
          </w:p>
        </w:tc>
        <w:tc>
          <w:tcPr>
            <w:tcW w:w="2106" w:type="dxa"/>
            <w:tcBorders>
              <w:left w:val="single" w:color="auto" w:sz="4" w:space="0"/>
            </w:tcBorders>
            <w:vAlign w:val="center"/>
          </w:tcPr>
          <w:p w14:paraId="2D0B194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负责湖仓一体底座和数据作业平台的部署、集成、调试、定制化开发及上线工作。</w:t>
            </w:r>
          </w:p>
        </w:tc>
        <w:tc>
          <w:tcPr>
            <w:tcW w:w="3515" w:type="dxa"/>
            <w:tcBorders>
              <w:left w:val="single" w:color="auto" w:sz="4" w:space="0"/>
            </w:tcBorders>
            <w:vAlign w:val="center"/>
          </w:tcPr>
          <w:p w14:paraId="6FFECC3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至少主导过3次</w:t>
            </w:r>
            <w:r>
              <w:rPr>
                <w:rFonts w:hint="eastAsia" w:ascii="Times New Roman" w:hAnsi="Times New Roman" w:cs="Times New Roman"/>
                <w:color w:val="auto"/>
                <w:sz w:val="21"/>
                <w:szCs w:val="21"/>
                <w:highlight w:val="none"/>
                <w:lang w:val="en-US" w:eastAsia="zh-CN"/>
              </w:rPr>
              <w:t>对应</w:t>
            </w:r>
            <w:r>
              <w:rPr>
                <w:rFonts w:hint="default" w:ascii="Times New Roman" w:hAnsi="Times New Roman" w:eastAsia="宋体" w:cs="Times New Roman"/>
                <w:color w:val="auto"/>
                <w:sz w:val="21"/>
                <w:szCs w:val="21"/>
                <w:highlight w:val="none"/>
              </w:rPr>
              <w:t>产品的部署</w:t>
            </w:r>
            <w:r>
              <w:rPr>
                <w:rFonts w:hint="eastAsia" w:ascii="Times New Roman" w:hAnsi="Times New Roman" w:cs="Times New Roman"/>
                <w:color w:val="auto"/>
                <w:sz w:val="21"/>
                <w:szCs w:val="21"/>
                <w:highlight w:val="none"/>
                <w:lang w:val="en-US" w:eastAsia="zh-CN"/>
              </w:rPr>
              <w:t>集成</w:t>
            </w:r>
            <w:r>
              <w:rPr>
                <w:rFonts w:hint="default" w:ascii="Times New Roman" w:hAnsi="Times New Roman" w:eastAsia="宋体" w:cs="Times New Roman"/>
                <w:color w:val="auto"/>
                <w:sz w:val="21"/>
                <w:szCs w:val="21"/>
                <w:highlight w:val="none"/>
              </w:rPr>
              <w:t>工作，能独立解决部署过程中的相关问题</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能熟练完成对应产品的集成、调优和定制化开发工作。</w:t>
            </w:r>
          </w:p>
        </w:tc>
        <w:tc>
          <w:tcPr>
            <w:tcW w:w="2083" w:type="dxa"/>
            <w:tcBorders>
              <w:left w:val="single" w:color="auto" w:sz="4" w:space="0"/>
            </w:tcBorders>
            <w:vAlign w:val="center"/>
          </w:tcPr>
          <w:p w14:paraId="377951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需为产品提供商的原厂人员</w:t>
            </w:r>
            <w:r>
              <w:rPr>
                <w:rFonts w:hint="default" w:ascii="Times New Roman" w:hAnsi="Times New Roman" w:cs="Times New Roman"/>
                <w:color w:val="auto"/>
                <w:sz w:val="21"/>
                <w:szCs w:val="21"/>
                <w:highlight w:val="none"/>
                <w:lang w:val="en-US" w:eastAsia="zh-CN"/>
              </w:rPr>
              <w:t>（需提供相关证明）</w:t>
            </w:r>
            <w:r>
              <w:rPr>
                <w:rFonts w:hint="eastAsia" w:ascii="Times New Roman" w:hAnsi="Times New Roman" w:cs="Times New Roman"/>
                <w:color w:val="auto"/>
                <w:sz w:val="21"/>
                <w:szCs w:val="21"/>
                <w:highlight w:val="none"/>
                <w:lang w:val="en-US" w:eastAsia="zh-CN"/>
              </w:rPr>
              <w:t>，在产品成功上线试运行前需全程驻场，</w:t>
            </w:r>
            <w:r>
              <w:rPr>
                <w:rFonts w:hint="eastAsia" w:ascii="Times New Roman" w:hAnsi="Times New Roman" w:eastAsia="宋体" w:cs="Times New Roman"/>
                <w:color w:val="auto"/>
                <w:sz w:val="21"/>
                <w:szCs w:val="21"/>
                <w:highlight w:val="none"/>
                <w:lang w:val="en-US" w:eastAsia="zh-CN"/>
              </w:rPr>
              <w:t>其余阶段按比选人要求需阶段性进行现场支持。</w:t>
            </w:r>
          </w:p>
        </w:tc>
      </w:tr>
      <w:tr w14:paraId="3905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D06B21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数据</w:t>
            </w:r>
            <w:r>
              <w:rPr>
                <w:rFonts w:hint="eastAsia" w:ascii="Times New Roman" w:hAnsi="Times New Roman" w:eastAsia="宋体" w:cs="Times New Roman"/>
                <w:snapToGrid w:val="0"/>
                <w:color w:val="auto"/>
                <w:kern w:val="0"/>
                <w:sz w:val="21"/>
                <w:szCs w:val="21"/>
                <w:highlight w:val="none"/>
                <w:lang w:val="en-US" w:eastAsia="zh-CN"/>
              </w:rPr>
              <w:t>开发</w:t>
            </w:r>
          </w:p>
          <w:p w14:paraId="4F669B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（至少1</w:t>
            </w:r>
            <w:r>
              <w:rPr>
                <w:rFonts w:hint="eastAsia" w:ascii="Times New Roman" w:hAnsi="Times New Roman" w:cs="Times New Roman"/>
                <w:snapToGrid w:val="0"/>
                <w:color w:val="auto"/>
                <w:kern w:val="0"/>
                <w:sz w:val="21"/>
                <w:szCs w:val="21"/>
                <w:highlight w:val="none"/>
                <w:lang w:val="en-US" w:eastAsia="zh-CN"/>
              </w:rPr>
              <w:t>2</w:t>
            </w:r>
            <w:r>
              <w:rPr>
                <w:rFonts w:hint="default" w:ascii="Times New Roman" w:hAnsi="Times New Roman" w:eastAsia="宋体" w:cs="Times New Roman"/>
                <w:snapToGrid w:val="0"/>
                <w:color w:val="auto"/>
                <w:kern w:val="0"/>
                <w:sz w:val="21"/>
                <w:szCs w:val="21"/>
                <w:highlight w:val="none"/>
                <w:lang w:val="en-US" w:eastAsia="zh-CN"/>
              </w:rPr>
              <w:t>人）</w:t>
            </w:r>
          </w:p>
        </w:tc>
        <w:tc>
          <w:tcPr>
            <w:tcW w:w="2106" w:type="dxa"/>
            <w:tcBorders>
              <w:left w:val="single" w:color="auto" w:sz="4" w:space="0"/>
            </w:tcBorders>
            <w:vAlign w:val="center"/>
          </w:tcPr>
          <w:p w14:paraId="2505B04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负责数据中台项目的具体</w:t>
            </w:r>
            <w:r>
              <w:rPr>
                <w:rFonts w:hint="eastAsia" w:ascii="Times New Roman" w:hAnsi="Times New Roman" w:cs="Times New Roman"/>
                <w:color w:val="auto"/>
                <w:sz w:val="21"/>
                <w:szCs w:val="21"/>
                <w:highlight w:val="none"/>
                <w:lang w:val="en-US" w:eastAsia="zh-CN"/>
              </w:rPr>
              <w:t>实施</w:t>
            </w:r>
            <w:r>
              <w:rPr>
                <w:rFonts w:hint="default" w:ascii="Times New Roman" w:hAnsi="Times New Roman" w:eastAsia="宋体" w:cs="Times New Roman"/>
                <w:color w:val="auto"/>
                <w:sz w:val="21"/>
                <w:szCs w:val="21"/>
                <w:highlight w:val="none"/>
                <w:lang w:val="en-US" w:eastAsia="zh-CN"/>
              </w:rPr>
              <w:t>工作。</w:t>
            </w:r>
          </w:p>
        </w:tc>
        <w:tc>
          <w:tcPr>
            <w:tcW w:w="3515" w:type="dxa"/>
            <w:tcBorders>
              <w:left w:val="single" w:color="auto" w:sz="4" w:space="0"/>
            </w:tcBorders>
            <w:vAlign w:val="center"/>
          </w:tcPr>
          <w:p w14:paraId="1B820D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以上银行业数据仓库、大数据平台、湖仓一体等基础数据类项目实施经验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系统研发、实施、上线等方面具备丰富经验；熟悉银行业务，熟悉基础数据平台类项目相关概念和建设过程，能够对应用架构、技术架构、数据架构以及相关系统集成等提出专业化建议，具有较强的性能分析、调优、异常排查能力；具有较好的沟通能力</w:t>
            </w:r>
            <w:r>
              <w:rPr>
                <w:rFonts w:hint="eastAsia" w:ascii="Times New Roman" w:hAnsi="Times New Roman" w:cs="Times New Roman"/>
                <w:color w:val="auto"/>
                <w:sz w:val="21"/>
                <w:szCs w:val="21"/>
                <w:highlight w:val="none"/>
                <w:lang w:eastAsia="zh-CN"/>
              </w:rPr>
              <w:t>。</w:t>
            </w:r>
          </w:p>
        </w:tc>
        <w:tc>
          <w:tcPr>
            <w:tcW w:w="2083" w:type="dxa"/>
            <w:tcBorders>
              <w:left w:val="single" w:color="auto" w:sz="4" w:space="0"/>
            </w:tcBorders>
            <w:vAlign w:val="center"/>
          </w:tcPr>
          <w:p w14:paraId="226213E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开发人员应尽量保持稳定，</w:t>
            </w:r>
            <w:r>
              <w:rPr>
                <w:rFonts w:hint="eastAsia" w:ascii="Times New Roman" w:hAnsi="Times New Roman" w:cs="Times New Roman"/>
                <w:color w:val="auto"/>
                <w:sz w:val="21"/>
                <w:szCs w:val="21"/>
                <w:highlight w:val="none"/>
                <w:lang w:val="en-US" w:eastAsia="zh-CN"/>
              </w:rPr>
              <w:t>除非比选人要求，否则</w:t>
            </w:r>
            <w:r>
              <w:rPr>
                <w:rFonts w:hint="eastAsia" w:ascii="Times New Roman" w:hAnsi="Times New Roman" w:eastAsia="宋体" w:cs="Times New Roman"/>
                <w:color w:val="auto"/>
                <w:sz w:val="21"/>
                <w:szCs w:val="21"/>
                <w:highlight w:val="none"/>
                <w:lang w:val="en-US" w:eastAsia="zh-CN"/>
              </w:rPr>
              <w:t>中途更换人员比例不得超过</w:t>
            </w: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0%。</w:t>
            </w:r>
          </w:p>
        </w:tc>
      </w:tr>
      <w:tr w14:paraId="488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6BB38E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测试人员</w:t>
            </w:r>
          </w:p>
          <w:p w14:paraId="7E0A8D3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（至少2人）</w:t>
            </w:r>
          </w:p>
        </w:tc>
        <w:tc>
          <w:tcPr>
            <w:tcW w:w="2106" w:type="dxa"/>
            <w:tcBorders>
              <w:left w:val="single" w:color="auto" w:sz="4" w:space="0"/>
            </w:tcBorders>
            <w:vAlign w:val="center"/>
          </w:tcPr>
          <w:p w14:paraId="7ECD59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负责数据中台项目的各项系统、数据等测试工作。</w:t>
            </w:r>
          </w:p>
        </w:tc>
        <w:tc>
          <w:tcPr>
            <w:tcW w:w="3515" w:type="dxa"/>
            <w:tcBorders>
              <w:left w:val="single" w:color="auto" w:sz="4" w:space="0"/>
            </w:tcBorders>
            <w:vAlign w:val="center"/>
          </w:tcPr>
          <w:p w14:paraId="4030CCA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以上银行业数据仓库、大数据平台、湖仓一体等</w:t>
            </w:r>
            <w:r>
              <w:rPr>
                <w:rFonts w:hint="eastAsia" w:ascii="Times New Roman" w:hAnsi="Times New Roman" w:cs="Times New Roman"/>
                <w:color w:val="auto"/>
                <w:sz w:val="21"/>
                <w:szCs w:val="21"/>
                <w:highlight w:val="none"/>
                <w:lang w:val="en-US" w:eastAsia="zh-CN"/>
              </w:rPr>
              <w:t>项目的测试经验；</w:t>
            </w:r>
            <w:r>
              <w:rPr>
                <w:rFonts w:hint="default" w:ascii="Times New Roman" w:hAnsi="Times New Roman" w:eastAsia="宋体" w:cs="Times New Roman"/>
                <w:color w:val="auto"/>
                <w:sz w:val="21"/>
                <w:szCs w:val="21"/>
                <w:highlight w:val="none"/>
              </w:rPr>
              <w:t>熟悉银行业务，熟悉基础数据平台类项目</w:t>
            </w:r>
            <w:r>
              <w:rPr>
                <w:rFonts w:hint="eastAsia" w:ascii="Times New Roman" w:hAnsi="Times New Roman" w:cs="Times New Roman"/>
                <w:color w:val="auto"/>
                <w:sz w:val="21"/>
                <w:szCs w:val="21"/>
                <w:highlight w:val="none"/>
                <w:lang w:val="en-US" w:eastAsia="zh-CN"/>
              </w:rPr>
              <w:t>的测试内容和测试流程；</w:t>
            </w:r>
            <w:r>
              <w:rPr>
                <w:rFonts w:hint="default" w:ascii="Times New Roman" w:hAnsi="Times New Roman" w:eastAsia="宋体" w:cs="Times New Roman"/>
                <w:color w:val="auto"/>
                <w:sz w:val="21"/>
                <w:szCs w:val="21"/>
                <w:highlight w:val="none"/>
              </w:rPr>
              <w:t>具有较好的沟通能力</w:t>
            </w:r>
            <w:r>
              <w:rPr>
                <w:rFonts w:hint="eastAsia" w:ascii="Times New Roman" w:hAnsi="Times New Roman" w:cs="Times New Roman"/>
                <w:color w:val="auto"/>
                <w:sz w:val="21"/>
                <w:szCs w:val="21"/>
                <w:highlight w:val="none"/>
                <w:lang w:eastAsia="zh-CN"/>
              </w:rPr>
              <w:t>。</w:t>
            </w:r>
          </w:p>
        </w:tc>
        <w:tc>
          <w:tcPr>
            <w:tcW w:w="2083" w:type="dxa"/>
            <w:tcBorders>
              <w:left w:val="single" w:color="auto" w:sz="4" w:space="0"/>
            </w:tcBorders>
            <w:vAlign w:val="center"/>
          </w:tcPr>
          <w:p w14:paraId="7505555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需全程驻场</w:t>
            </w:r>
            <w:r>
              <w:rPr>
                <w:rFonts w:hint="eastAsia" w:ascii="Times New Roman" w:hAnsi="Times New Roman" w:cs="Times New Roman"/>
                <w:color w:val="auto"/>
                <w:sz w:val="21"/>
                <w:szCs w:val="21"/>
                <w:highlight w:val="none"/>
                <w:lang w:val="en-US" w:eastAsia="zh-CN"/>
              </w:rPr>
              <w:t>，且非比选人要求中途不得随意更换。</w:t>
            </w:r>
          </w:p>
        </w:tc>
      </w:tr>
      <w:tr w14:paraId="0EB0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9" w:type="dxa"/>
            <w:gridSpan w:val="4"/>
            <w:vAlign w:val="center"/>
          </w:tcPr>
          <w:p w14:paraId="1CDD6510">
            <w:pPr>
              <w:keepNext w:val="0"/>
              <w:keepLines w:val="0"/>
              <w:pageBreakBefore w:val="0"/>
              <w:widowControl w:val="0"/>
              <w:pBdr>
                <w:top w:val="none" w:color="auto" w:sz="0" w:space="0"/>
                <w:left w:val="none" w:color="auto" w:sz="0" w:space="0"/>
                <w:bottom w:val="none" w:color="auto" w:sz="0" w:space="0"/>
                <w:right w:val="none" w:color="auto" w:sz="0" w:space="0"/>
              </w:pBdr>
              <w:tabs>
                <w:tab w:val="left" w:pos="3988"/>
              </w:tabs>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注：</w:t>
            </w:r>
            <w:r>
              <w:rPr>
                <w:rFonts w:hint="eastAsia" w:ascii="Times New Roman" w:hAnsi="Times New Roman" w:cs="Times New Roman"/>
                <w:b w:val="0"/>
                <w:bCs w:val="0"/>
                <w:color w:val="auto"/>
                <w:sz w:val="21"/>
                <w:szCs w:val="21"/>
                <w:highlight w:val="none"/>
                <w:lang w:val="en-US" w:eastAsia="zh-CN"/>
              </w:rPr>
              <w:t>上述成员角</w:t>
            </w:r>
            <w:r>
              <w:rPr>
                <w:rFonts w:hint="eastAsia" w:ascii="Times New Roman" w:hAnsi="Times New Roman" w:cs="Times New Roman"/>
                <w:color w:val="auto"/>
                <w:sz w:val="21"/>
                <w:szCs w:val="21"/>
                <w:highlight w:val="none"/>
                <w:lang w:val="en-US" w:eastAsia="zh-CN"/>
              </w:rPr>
              <w:t>色和对应的人员数量为基本要求，参选人可根据自身情况增加成员角色和人员数量配备。</w:t>
            </w:r>
          </w:p>
        </w:tc>
      </w:tr>
    </w:tbl>
    <w:p w14:paraId="1DA873D7">
      <w:pPr>
        <w:pStyle w:val="43"/>
        <w:numPr>
          <w:ilvl w:val="0"/>
          <w:numId w:val="0"/>
        </w:numPr>
        <w:tabs>
          <w:tab w:val="left" w:pos="0"/>
        </w:tabs>
        <w:spacing w:before="0" w:after="0" w:line="600" w:lineRule="exact"/>
        <w:ind w:firstLine="480" w:firstLineChars="200"/>
        <w:rPr>
          <w:rFonts w:hint="default" w:ascii="Times New Roman" w:hAnsi="Times New Roman"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（7）</w:t>
      </w:r>
      <w:r>
        <w:rPr>
          <w:rFonts w:hint="default" w:ascii="Times New Roman" w:hAnsi="Times New Roman" w:cs="Times New Roman"/>
          <w:color w:val="auto"/>
          <w:szCs w:val="24"/>
          <w:highlight w:val="none"/>
          <w:shd w:val="clear" w:color="auto" w:fill="FFFFFF"/>
          <w:lang w:val="en-US" w:eastAsia="zh-CN"/>
        </w:rPr>
        <w:t>项目组成员若有违约违规行为将由参选人承担责任</w:t>
      </w:r>
      <w:r>
        <w:rPr>
          <w:rFonts w:hint="eastAsia" w:ascii="Times New Roman" w:hAnsi="Times New Roman" w:cs="Times New Roman"/>
          <w:color w:val="auto"/>
          <w:szCs w:val="24"/>
          <w:highlight w:val="none"/>
          <w:shd w:val="clear" w:color="auto" w:fill="FFFFFF"/>
          <w:lang w:val="en-US" w:eastAsia="zh-CN"/>
        </w:rPr>
        <w:t>。</w:t>
      </w:r>
    </w:p>
    <w:p w14:paraId="0D5810A9">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bookmarkStart w:id="58" w:name="_Toc15059418"/>
      <w:bookmarkStart w:id="59" w:name="_Toc89675144"/>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项目源代码要求</w:t>
      </w:r>
    </w:p>
    <w:p w14:paraId="1D668609">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归双方共有。针对共有部分，比选人拥有在比选人及其分支机构使用及后续开发的权利，参选人拥有在其公司和其他组织范围内使用的权利，但参选人使用时不得侵犯比选人利益。</w:t>
      </w:r>
    </w:p>
    <w:p w14:paraId="5A8FDE5A">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文档和培训</w:t>
      </w:r>
    </w:p>
    <w:p w14:paraId="20055CBE">
      <w:pPr>
        <w:pStyle w:val="5"/>
        <w:keepNext w:val="0"/>
        <w:keepLines w:val="0"/>
        <w:pageBreakBefore w:val="0"/>
        <w:widowControl w:val="0"/>
        <w:numPr>
          <w:ilvl w:val="0"/>
          <w:numId w:val="0"/>
        </w:numPr>
        <w:kinsoku/>
        <w:wordWrap/>
        <w:overflowPunct/>
        <w:topLinePunct w:val="0"/>
        <w:autoSpaceDE w:val="0"/>
        <w:autoSpaceDN w:val="0"/>
        <w:bidi w:val="0"/>
        <w:adjustRightInd/>
        <w:snapToGrid/>
        <w:ind w:left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2.6.1</w:t>
      </w:r>
      <w:r>
        <w:rPr>
          <w:rFonts w:hint="default" w:ascii="Times New Roman" w:hAnsi="Times New Roman" w:cs="Times New Roman"/>
          <w:b/>
          <w:bCs w:val="0"/>
          <w:color w:val="auto"/>
          <w:highlight w:val="none"/>
          <w:lang w:val="en-US" w:eastAsia="zh-CN"/>
        </w:rPr>
        <w:t xml:space="preserve"> 文档</w:t>
      </w:r>
    </w:p>
    <w:p w14:paraId="0B78EAFD">
      <w:pP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1）文档范围</w:t>
      </w:r>
    </w:p>
    <w:p w14:paraId="48C136E6">
      <w:pPr>
        <w:rPr>
          <w:rFonts w:hint="default" w:ascii="Times New Roman" w:hAnsi="Times New Roman" w:cs="Times New Roman"/>
          <w:color w:val="auto"/>
          <w:highlight w:val="none"/>
        </w:rPr>
      </w:pPr>
      <w:r>
        <w:rPr>
          <w:rFonts w:hint="default" w:ascii="Times New Roman" w:hAnsi="Times New Roman" w:cs="Times New Roman"/>
          <w:color w:val="auto"/>
          <w:highlight w:val="none"/>
        </w:rPr>
        <w:t>包括</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人收集整理的建设</w:t>
      </w:r>
      <w:r>
        <w:rPr>
          <w:rFonts w:hint="eastAsia" w:ascii="Times New Roman" w:hAnsi="Times New Roman" w:cs="Times New Roman"/>
          <w:color w:val="auto"/>
          <w:highlight w:val="none"/>
          <w:lang w:val="en-US" w:eastAsia="zh-CN"/>
        </w:rPr>
        <w:t>过程</w:t>
      </w:r>
      <w:r>
        <w:rPr>
          <w:rFonts w:hint="default" w:ascii="Times New Roman" w:hAnsi="Times New Roman" w:cs="Times New Roman"/>
          <w:color w:val="auto"/>
          <w:highlight w:val="none"/>
        </w:rPr>
        <w:t>中所形成的全部文字记载、录音和照片等，项目验收后由</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人向比选人提供。</w:t>
      </w:r>
    </w:p>
    <w:p w14:paraId="59B3CB49">
      <w:pP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2）文档内容</w:t>
      </w:r>
    </w:p>
    <w:p w14:paraId="639EF62A">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highlight w:val="none"/>
          <w:lang w:val="en-US" w:eastAsia="zh-CN"/>
        </w:rPr>
        <w:t>在项目各阶段需交付各类文档应包括但不限于：</w:t>
      </w:r>
    </w:p>
    <w:p w14:paraId="75D07098">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参选文件；</w:t>
      </w:r>
    </w:p>
    <w:p w14:paraId="4E7641EC">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各类调研分析报告；</w:t>
      </w:r>
    </w:p>
    <w:p w14:paraId="089C3987">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项目架构设计方案；</w:t>
      </w:r>
    </w:p>
    <w:p w14:paraId="3E664E51">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项目实施方案；</w:t>
      </w:r>
    </w:p>
    <w:p w14:paraId="188748F0">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各类规范、流程、标准、制度文件；</w:t>
      </w:r>
    </w:p>
    <w:p w14:paraId="0B38EBAC">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系统需求说明书；</w:t>
      </w:r>
    </w:p>
    <w:p w14:paraId="4A2CB0C0">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系统详细设计说明书；</w:t>
      </w:r>
    </w:p>
    <w:p w14:paraId="7CD16CD1">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系统源码；</w:t>
      </w:r>
    </w:p>
    <w:p w14:paraId="052BCDEA">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系统数据库设计说明书；</w:t>
      </w:r>
    </w:p>
    <w:p w14:paraId="79ACE8A0">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系统使用和操作说明书；</w:t>
      </w:r>
    </w:p>
    <w:p w14:paraId="46C91235">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系统（含子系统）测试案例、验收方案；</w:t>
      </w:r>
    </w:p>
    <w:p w14:paraId="1400FB44">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系统（含子系统）测试、验收报告；</w:t>
      </w:r>
    </w:p>
    <w:p w14:paraId="72430224">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项目上线方案；</w:t>
      </w:r>
    </w:p>
    <w:p w14:paraId="178A1246">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上线回退方案；</w:t>
      </w:r>
    </w:p>
    <w:p w14:paraId="096667A3">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应急处置预案；</w:t>
      </w:r>
    </w:p>
    <w:p w14:paraId="051F86B5">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系统试运行方案；</w:t>
      </w:r>
    </w:p>
    <w:p w14:paraId="34C1E716">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试</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运行报告；</w:t>
      </w:r>
    </w:p>
    <w:p w14:paraId="7C9C9643">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运行维护手册；</w:t>
      </w:r>
    </w:p>
    <w:p w14:paraId="4281C8A0">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系统建设的详细工程日志；</w:t>
      </w:r>
    </w:p>
    <w:p w14:paraId="6015CEDA">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系统运行质量评估报告；</w:t>
      </w:r>
    </w:p>
    <w:p w14:paraId="5031F3F7">
      <w:pPr>
        <w:keepNext w:val="0"/>
        <w:keepLines w:val="0"/>
        <w:pageBreakBefore w:val="0"/>
        <w:widowControl w:val="0"/>
        <w:numPr>
          <w:ilvl w:val="0"/>
          <w:numId w:val="16"/>
        </w:numPr>
        <w:kinsoku/>
        <w:wordWrap/>
        <w:overflowPunct/>
        <w:topLinePunct w:val="0"/>
        <w:autoSpaceDE w:val="0"/>
        <w:autoSpaceDN w:val="0"/>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系统变更和补充的相关文件、协议、录音、照片等。</w:t>
      </w:r>
    </w:p>
    <w:p w14:paraId="331C9048">
      <w:pP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3）</w:t>
      </w:r>
      <w:r>
        <w:rPr>
          <w:rFonts w:hint="eastAsia" w:ascii="Times New Roman" w:hAnsi="Times New Roman" w:cs="Times New Roman"/>
          <w:b/>
          <w:bCs/>
          <w:color w:val="auto"/>
          <w:highlight w:val="none"/>
          <w:lang w:val="en-US" w:eastAsia="zh-CN"/>
        </w:rPr>
        <w:t>文档</w:t>
      </w:r>
      <w:r>
        <w:rPr>
          <w:rFonts w:hint="default" w:ascii="Times New Roman" w:hAnsi="Times New Roman" w:cs="Times New Roman"/>
          <w:b/>
          <w:bCs/>
          <w:color w:val="auto"/>
          <w:highlight w:val="none"/>
        </w:rPr>
        <w:t>要求</w:t>
      </w:r>
    </w:p>
    <w:p w14:paraId="310032AB">
      <w:pP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参选人提供的文档要保持完整性和准确性。所有文档都采用简体中文（第三方产品出厂文件除外）。</w:t>
      </w:r>
    </w:p>
    <w:p w14:paraId="41C49C62">
      <w:pPr>
        <w:pStyle w:val="5"/>
        <w:keepNext w:val="0"/>
        <w:keepLines w:val="0"/>
        <w:pageBreakBefore w:val="0"/>
        <w:widowControl w:val="0"/>
        <w:kinsoku/>
        <w:wordWrap/>
        <w:overflowPunct/>
        <w:topLinePunct w:val="0"/>
        <w:autoSpaceDE w:val="0"/>
        <w:autoSpaceDN w:val="0"/>
        <w:bidi w:val="0"/>
        <w:adjustRightInd/>
        <w:snapToGrid/>
        <w:spacing w:beforeAutospacing="0" w:afterAutospacing="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2.6</w:t>
      </w:r>
      <w:r>
        <w:rPr>
          <w:rFonts w:hint="default" w:ascii="Times New Roman" w:hAnsi="Times New Roman" w:cs="Times New Roman"/>
          <w:b/>
          <w:bCs w:val="0"/>
          <w:color w:val="auto"/>
          <w:highlight w:val="none"/>
          <w:lang w:val="en-US" w:eastAsia="zh-CN"/>
        </w:rPr>
        <w:t>.2 培训</w:t>
      </w:r>
    </w:p>
    <w:p w14:paraId="59FA724F">
      <w:pPr>
        <w:pStyle w:val="1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val="en-US" w:eastAsia="zh-CN"/>
        </w:rPr>
        <w:t>项目实施周期内，</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szCs w:val="24"/>
          <w:highlight w:val="none"/>
          <w:lang w:val="en-US" w:eastAsia="zh-CN"/>
        </w:rPr>
        <w:t>需完成包含业务、管理、技术和运维等相关培训和知识转移，按照比选人项目实施要求免费提供包括但不限于项目文档、平台规范、帮助文档、运维文档、开发规范文档、用户使用手册等文档</w:t>
      </w:r>
      <w:r>
        <w:rPr>
          <w:rFonts w:hint="eastAsia" w:ascii="Times New Roman" w:hAnsi="Times New Roman" w:cs="Times New Roman"/>
          <w:color w:val="auto"/>
          <w:szCs w:val="24"/>
          <w:highlight w:val="none"/>
          <w:lang w:val="en-US" w:eastAsia="zh-CN"/>
        </w:rPr>
        <w:t>。参选人需</w:t>
      </w:r>
      <w:r>
        <w:rPr>
          <w:rFonts w:hint="default" w:ascii="Times New Roman" w:hAnsi="Times New Roman" w:cs="Times New Roman"/>
          <w:color w:val="auto"/>
          <w:szCs w:val="24"/>
          <w:highlight w:val="none"/>
          <w:lang w:val="en-US" w:eastAsia="zh-CN"/>
        </w:rPr>
        <w:t>组织相关内容的学习培训完成知识转移</w:t>
      </w:r>
      <w:r>
        <w:rPr>
          <w:rFonts w:hint="eastAsia" w:ascii="Times New Roman" w:hAnsi="Times New Roman" w:cs="Times New Roman"/>
          <w:color w:val="auto"/>
          <w:szCs w:val="24"/>
          <w:highlight w:val="none"/>
          <w:lang w:val="en-US" w:eastAsia="zh-CN"/>
        </w:rPr>
        <w:t>，包括但不限于</w:t>
      </w:r>
      <w:r>
        <w:rPr>
          <w:rFonts w:hint="eastAsia"/>
          <w:color w:val="auto"/>
          <w:highlight w:val="none"/>
          <w:lang w:val="en-US" w:eastAsia="zh-CN"/>
        </w:rPr>
        <w:t>数据架构培训、湖仓技术组件使用及调优培训等，培训方式包括线下培训和线上课程培训</w:t>
      </w:r>
      <w:r>
        <w:rPr>
          <w:rFonts w:hint="default" w:ascii="Times New Roman" w:hAnsi="Times New Roman" w:cs="Times New Roman"/>
          <w:color w:val="auto"/>
          <w:szCs w:val="24"/>
          <w:highlight w:val="none"/>
          <w:lang w:val="en-US" w:eastAsia="zh-CN"/>
        </w:rPr>
        <w:t>。</w:t>
      </w:r>
      <w:r>
        <w:rPr>
          <w:rFonts w:hint="eastAsia" w:ascii="Times New Roman" w:hAnsi="Times New Roman" w:cs="Times New Roman"/>
          <w:color w:val="auto"/>
          <w:szCs w:val="24"/>
          <w:highlight w:val="none"/>
          <w:lang w:val="en-US" w:eastAsia="zh-CN"/>
        </w:rPr>
        <w:t>参选人在项目实施和免费维保期间，需开展不少于50个小时线下培训，且</w:t>
      </w:r>
      <w:r>
        <w:rPr>
          <w:rFonts w:hint="default" w:ascii="Times New Roman" w:hAnsi="Times New Roman" w:cs="Times New Roman"/>
          <w:color w:val="auto"/>
          <w:szCs w:val="24"/>
          <w:highlight w:val="none"/>
        </w:rPr>
        <w:t>培训完成后至少应达到以下效果：</w:t>
      </w:r>
    </w:p>
    <w:p w14:paraId="2E291BC8">
      <w:pPr>
        <w:pStyle w:val="10"/>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lang w:val="en-US" w:eastAsia="zh-CN"/>
        </w:rPr>
        <w:t>项目管理人员：熟悉平台服务功能特点，熟练利用平台完成相关管理工作；</w:t>
      </w:r>
    </w:p>
    <w:p w14:paraId="60A94B00">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rPr>
      </w:pP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2</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运维</w:t>
      </w:r>
      <w:r>
        <w:rPr>
          <w:rFonts w:hint="default" w:ascii="Times New Roman" w:hAnsi="Times New Roman" w:cs="Times New Roman"/>
          <w:color w:val="auto"/>
          <w:szCs w:val="24"/>
          <w:highlight w:val="none"/>
          <w:lang w:val="en-US" w:eastAsia="zh-CN"/>
        </w:rPr>
        <w:t>运营</w:t>
      </w:r>
      <w:r>
        <w:rPr>
          <w:rFonts w:hint="default" w:ascii="Times New Roman" w:hAnsi="Times New Roman" w:cs="Times New Roman"/>
          <w:color w:val="auto"/>
          <w:szCs w:val="24"/>
          <w:highlight w:val="none"/>
        </w:rPr>
        <w:t>人员</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了解平台</w:t>
      </w:r>
      <w:r>
        <w:rPr>
          <w:rFonts w:hint="default" w:ascii="Times New Roman" w:hAnsi="Times New Roman" w:cs="Times New Roman"/>
          <w:color w:val="auto"/>
          <w:szCs w:val="24"/>
          <w:highlight w:val="none"/>
          <w:lang w:val="en-US" w:eastAsia="zh-CN"/>
        </w:rPr>
        <w:t>服务</w:t>
      </w:r>
      <w:r>
        <w:rPr>
          <w:rFonts w:hint="default" w:ascii="Times New Roman" w:hAnsi="Times New Roman" w:cs="Times New Roman"/>
          <w:color w:val="auto"/>
          <w:szCs w:val="24"/>
          <w:highlight w:val="none"/>
        </w:rPr>
        <w:t>架构，熟练查看系统日志，定位解决问题</w:t>
      </w:r>
      <w:r>
        <w:rPr>
          <w:rFonts w:hint="default" w:ascii="Times New Roman" w:hAnsi="Times New Roman" w:cs="Times New Roman"/>
          <w:color w:val="auto"/>
          <w:szCs w:val="24"/>
          <w:highlight w:val="none"/>
          <w:lang w:val="en-US" w:eastAsia="zh-CN"/>
        </w:rPr>
        <w:t>的方法，熟悉平台日常运营运维过程中的操作和监控要点</w:t>
      </w:r>
      <w:r>
        <w:rPr>
          <w:rFonts w:hint="default" w:ascii="Times New Roman" w:hAnsi="Times New Roman" w:cs="Times New Roman"/>
          <w:color w:val="auto"/>
          <w:szCs w:val="24"/>
          <w:highlight w:val="none"/>
        </w:rPr>
        <w:t>；</w:t>
      </w:r>
    </w:p>
    <w:p w14:paraId="4E63536D">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（3）</w:t>
      </w:r>
      <w:r>
        <w:rPr>
          <w:rFonts w:hint="default" w:ascii="Times New Roman" w:hAnsi="Times New Roman" w:cs="Times New Roman"/>
          <w:color w:val="auto"/>
          <w:szCs w:val="24"/>
          <w:highlight w:val="none"/>
          <w:lang w:val="en-US" w:eastAsia="zh-CN"/>
        </w:rPr>
        <w:t>开发人员：了解熟悉平台架构，熟悉各底层模块并具备对接适配的能力。</w:t>
      </w:r>
    </w:p>
    <w:p w14:paraId="4112C9C0">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【提供培训方案】</w:t>
      </w:r>
    </w:p>
    <w:p w14:paraId="778CC0A2">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交付周期、地点</w:t>
      </w:r>
      <w:bookmarkEnd w:id="58"/>
      <w:bookmarkEnd w:id="59"/>
    </w:p>
    <w:p w14:paraId="7870449E">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bookmarkStart w:id="60" w:name="_Toc89675146"/>
      <w:bookmarkStart w:id="61" w:name="_Toc15059420"/>
      <w:bookmarkStart w:id="62" w:name="_Toc432254881"/>
      <w:bookmarkStart w:id="63" w:name="_Toc1125"/>
      <w:bookmarkStart w:id="64" w:name="_Toc440628915"/>
      <w:bookmarkStart w:id="65" w:name="_Toc387826347"/>
      <w:r>
        <w:rPr>
          <w:rFonts w:hint="eastAsia" w:ascii="Times New Roman" w:hAnsi="Times New Roman" w:cs="Times New Roman"/>
          <w:b/>
          <w:bCs w:val="0"/>
          <w:color w:val="auto"/>
          <w:highlight w:val="none"/>
          <w:lang w:val="en-US" w:eastAsia="zh-CN"/>
        </w:rPr>
        <w:t>2.7.1</w:t>
      </w:r>
      <w:r>
        <w:rPr>
          <w:rFonts w:hint="default" w:ascii="Times New Roman" w:hAnsi="Times New Roman" w:cs="Times New Roman"/>
          <w:b/>
          <w:bCs w:val="0"/>
          <w:color w:val="auto"/>
          <w:highlight w:val="none"/>
          <w:lang w:val="en-US" w:eastAsia="zh-CN"/>
        </w:rPr>
        <w:t xml:space="preserve"> 交付时间</w:t>
      </w:r>
    </w:p>
    <w:p w14:paraId="1EF249EA">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比选人指定时间，以项目合同为准。</w:t>
      </w:r>
    </w:p>
    <w:p w14:paraId="1C46763D">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2.7.2</w:t>
      </w:r>
      <w:r>
        <w:rPr>
          <w:rFonts w:hint="default" w:ascii="Times New Roman" w:hAnsi="Times New Roman" w:cs="Times New Roman"/>
          <w:b/>
          <w:bCs w:val="0"/>
          <w:color w:val="auto"/>
          <w:highlight w:val="none"/>
          <w:lang w:val="en-US" w:eastAsia="zh-CN"/>
        </w:rPr>
        <w:t xml:space="preserve"> 实施及交付地点</w:t>
      </w:r>
    </w:p>
    <w:p w14:paraId="72869C37">
      <w:pPr>
        <w:rPr>
          <w:rFonts w:hint="default" w:ascii="Times New Roman" w:hAnsi="Times New Roman" w:cs="Times New Roman"/>
          <w:color w:val="auto"/>
          <w:highlight w:val="none"/>
        </w:rPr>
      </w:pPr>
      <w:r>
        <w:rPr>
          <w:rFonts w:hint="default" w:ascii="Times New Roman" w:hAnsi="Times New Roman" w:cs="Times New Roman"/>
          <w:color w:val="auto"/>
          <w:highlight w:val="none"/>
        </w:rPr>
        <w:t>比选人指定地点，具体以项目合同为准。</w:t>
      </w:r>
    </w:p>
    <w:p w14:paraId="6522F477">
      <w:pPr>
        <w:pStyle w:val="4"/>
        <w:keepNext w:val="0"/>
        <w:keepLines w:val="0"/>
        <w:pageBreakBefore w:val="0"/>
        <w:widowControl w:val="0"/>
        <w:numPr>
          <w:ilvl w:val="1"/>
          <w:numId w:val="15"/>
        </w:numPr>
        <w:tabs>
          <w:tab w:val="clear" w:pos="420"/>
        </w:tabs>
        <w:kinsoku/>
        <w:wordWrap/>
        <w:overflowPunct/>
        <w:topLinePunct w:val="0"/>
        <w:autoSpaceDE w:val="0"/>
        <w:autoSpaceDN w:val="0"/>
        <w:bidi w:val="0"/>
        <w:adjustRightInd/>
        <w:snapToGrid/>
        <w:ind w:left="0" w:leftChars="0" w:firstLine="482" w:firstLineChars="20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项目验收</w:t>
      </w:r>
    </w:p>
    <w:p w14:paraId="107DCE46">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2.8.1</w:t>
      </w:r>
      <w:r>
        <w:rPr>
          <w:rFonts w:hint="default" w:ascii="Times New Roman" w:hAnsi="Times New Roman" w:cs="Times New Roman"/>
          <w:b/>
          <w:bCs w:val="0"/>
          <w:color w:val="auto"/>
          <w:highlight w:val="none"/>
          <w:lang w:val="en-US" w:eastAsia="zh-CN"/>
        </w:rPr>
        <w:t xml:space="preserve"> 项目验收的范围</w:t>
      </w:r>
    </w:p>
    <w:p w14:paraId="5CD78544">
      <w:pP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项目验收</w:t>
      </w:r>
      <w:r>
        <w:rPr>
          <w:rFonts w:hint="default" w:ascii="Times New Roman" w:hAnsi="Times New Roman" w:cs="Times New Roman"/>
          <w:color w:val="auto"/>
          <w:highlight w:val="none"/>
        </w:rPr>
        <w:t>的范围为项目实施完毕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上线前最终确认的所有需求。</w:t>
      </w:r>
    </w:p>
    <w:p w14:paraId="6969D84A">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2.8.2</w:t>
      </w:r>
      <w:r>
        <w:rPr>
          <w:rFonts w:hint="default" w:ascii="Times New Roman" w:hAnsi="Times New Roman" w:cs="Times New Roman"/>
          <w:b/>
          <w:bCs w:val="0"/>
          <w:color w:val="auto"/>
          <w:highlight w:val="none"/>
          <w:lang w:val="en-US" w:eastAsia="zh-CN"/>
        </w:rPr>
        <w:t xml:space="preserve"> 项目验收的组织</w:t>
      </w:r>
    </w:p>
    <w:p w14:paraId="396BFEAE">
      <w:pP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项目验收</w:t>
      </w:r>
      <w:r>
        <w:rPr>
          <w:rFonts w:hint="default" w:ascii="Times New Roman" w:hAnsi="Times New Roman" w:cs="Times New Roman"/>
          <w:color w:val="auto"/>
          <w:highlight w:val="none"/>
        </w:rPr>
        <w:t>小组由比选人有关人员组成，负责对项目建设进行验收</w:t>
      </w:r>
      <w:r>
        <w:rPr>
          <w:rFonts w:hint="default" w:ascii="Times New Roman" w:hAnsi="Times New Roman" w:cs="Times New Roman"/>
          <w:color w:val="auto"/>
          <w:highlight w:val="none"/>
          <w:lang w:eastAsia="zh-CN"/>
        </w:rPr>
        <w:t>；</w:t>
      </w:r>
    </w:p>
    <w:p w14:paraId="2D4034B3">
      <w:pP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）在</w:t>
      </w:r>
      <w:r>
        <w:rPr>
          <w:rFonts w:hint="default" w:ascii="Times New Roman" w:hAnsi="Times New Roman" w:cs="Times New Roman"/>
          <w:color w:val="auto"/>
          <w:highlight w:val="none"/>
          <w:lang w:val="en-US" w:eastAsia="zh-CN"/>
        </w:rPr>
        <w:t>项目验收</w:t>
      </w:r>
      <w:r>
        <w:rPr>
          <w:rFonts w:hint="default" w:ascii="Times New Roman" w:hAnsi="Times New Roman" w:cs="Times New Roman"/>
          <w:color w:val="auto"/>
          <w:highlight w:val="none"/>
        </w:rPr>
        <w:t>过程中，出现严重缺陷或质量问题时，验收小组可以决定暂停所有</w:t>
      </w:r>
      <w:r>
        <w:rPr>
          <w:rFonts w:hint="eastAsia" w:ascii="Times New Roman" w:hAnsi="Times New Roman" w:cs="Times New Roman"/>
          <w:color w:val="auto"/>
          <w:highlight w:val="none"/>
          <w:lang w:val="en-US" w:eastAsia="zh-CN"/>
        </w:rPr>
        <w:t>验收</w:t>
      </w:r>
      <w:r>
        <w:rPr>
          <w:rFonts w:hint="default" w:ascii="Times New Roman" w:hAnsi="Times New Roman" w:cs="Times New Roman"/>
          <w:color w:val="auto"/>
          <w:highlight w:val="none"/>
        </w:rPr>
        <w:t>，直至缺陷和问题得到纠正。</w:t>
      </w:r>
    </w:p>
    <w:p w14:paraId="2D8650A5">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2.8.3</w:t>
      </w:r>
      <w:r>
        <w:rPr>
          <w:rFonts w:hint="default" w:ascii="Times New Roman" w:hAnsi="Times New Roman" w:cs="Times New Roman"/>
          <w:b/>
          <w:bCs w:val="0"/>
          <w:color w:val="auto"/>
          <w:highlight w:val="none"/>
          <w:lang w:val="en-US" w:eastAsia="zh-CN"/>
        </w:rPr>
        <w:t xml:space="preserve"> 项目验收的程序</w:t>
      </w:r>
    </w:p>
    <w:p w14:paraId="0A092FB0">
      <w:pPr>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1）对各功能模块进行测试；</w:t>
      </w:r>
    </w:p>
    <w:p w14:paraId="07EC8E3F">
      <w:pPr>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2）在各功能模块测试合格的前提下，进行全面初验；</w:t>
      </w:r>
    </w:p>
    <w:p w14:paraId="6E9F85AE">
      <w:pPr>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3）验收测试合格后，进入试运行阶段；</w:t>
      </w:r>
    </w:p>
    <w:p w14:paraId="2661DB18">
      <w:pP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）在全行上线</w:t>
      </w:r>
      <w:r>
        <w:rPr>
          <w:rFonts w:hint="default" w:ascii="Times New Roman" w:hAnsi="Times New Roman" w:cs="Times New Roman"/>
          <w:color w:val="auto"/>
          <w:highlight w:val="none"/>
          <w:lang w:val="en-US" w:eastAsia="zh-CN"/>
        </w:rPr>
        <w:t>试</w:t>
      </w:r>
      <w:r>
        <w:rPr>
          <w:rFonts w:hint="default" w:ascii="Times New Roman" w:hAnsi="Times New Roman" w:cs="Times New Roman"/>
          <w:color w:val="auto"/>
          <w:highlight w:val="none"/>
        </w:rPr>
        <w:t>运行</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个月后，进行验收。</w:t>
      </w:r>
    </w:p>
    <w:p w14:paraId="4012FB80">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2.8</w:t>
      </w:r>
      <w:r>
        <w:rPr>
          <w:rFonts w:hint="default" w:ascii="Times New Roman" w:hAnsi="Times New Roman" w:cs="Times New Roman"/>
          <w:b/>
          <w:bCs w:val="0"/>
          <w:color w:val="auto"/>
          <w:highlight w:val="none"/>
          <w:lang w:val="en-US" w:eastAsia="zh-CN"/>
        </w:rPr>
        <w:t>.4 项目验收的评定</w:t>
      </w:r>
    </w:p>
    <w:p w14:paraId="35BFA755">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项目验收标准与评定参照</w:t>
      </w:r>
      <w:r>
        <w:rPr>
          <w:rFonts w:hint="eastAsia" w:ascii="Times New Roman" w:hAnsi="Times New Roman" w:cs="Times New Roman"/>
          <w:color w:val="auto"/>
          <w:highlight w:val="none"/>
          <w:lang w:val="en-US" w:eastAsia="zh-CN"/>
        </w:rPr>
        <w:t>本章</w:t>
      </w:r>
      <w:r>
        <w:rPr>
          <w:rFonts w:hint="default" w:ascii="Times New Roman" w:hAnsi="Times New Roman" w:cs="Times New Roman"/>
          <w:color w:val="auto"/>
          <w:highlight w:val="none"/>
          <w:lang w:val="en-US" w:eastAsia="zh-CN"/>
        </w:rPr>
        <w:t>附件</w:t>
      </w:r>
      <w:r>
        <w:rPr>
          <w:rFonts w:hint="eastAsia" w:ascii="Times New Roman" w:hAnsi="Times New Roman" w:cs="Times New Roman"/>
          <w:color w:val="auto"/>
          <w:highlight w:val="none"/>
          <w:lang w:val="en-US" w:eastAsia="zh-CN"/>
        </w:rPr>
        <w:t>三“</w:t>
      </w:r>
      <w:r>
        <w:rPr>
          <w:rFonts w:hint="default" w:ascii="Times New Roman" w:hAnsi="Times New Roman" w:cs="Times New Roman"/>
          <w:color w:val="auto"/>
          <w:highlight w:val="none"/>
          <w:lang w:val="en-US" w:eastAsia="zh-CN"/>
        </w:rPr>
        <w:t>新一代数据中台项目</w:t>
      </w:r>
      <w:r>
        <w:rPr>
          <w:rFonts w:hint="eastAsia" w:ascii="Times New Roman" w:hAnsi="Times New Roman" w:cs="Times New Roman"/>
          <w:color w:val="auto"/>
          <w:highlight w:val="none"/>
          <w:lang w:val="en-US" w:eastAsia="zh-CN"/>
        </w:rPr>
        <w:t>（一期）</w:t>
      </w:r>
      <w:r>
        <w:rPr>
          <w:rFonts w:hint="default" w:ascii="Times New Roman" w:hAnsi="Times New Roman" w:cs="Times New Roman"/>
          <w:color w:val="auto"/>
          <w:highlight w:val="none"/>
          <w:lang w:val="en-US" w:eastAsia="zh-CN"/>
        </w:rPr>
        <w:t>验收标准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w:t>
      </w:r>
    </w:p>
    <w:p w14:paraId="28D84544">
      <w:pPr>
        <w:pStyle w:val="3"/>
        <w:numPr>
          <w:ilvl w:val="0"/>
          <w:numId w:val="1"/>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售后及其他要求</w:t>
      </w:r>
    </w:p>
    <w:p w14:paraId="77F20C84">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3.1 </w:t>
      </w:r>
      <w:r>
        <w:rPr>
          <w:rFonts w:hint="default" w:ascii="Times New Roman" w:hAnsi="Times New Roman" w:cs="Times New Roman"/>
          <w:b/>
          <w:bCs w:val="0"/>
          <w:color w:val="auto"/>
          <w:sz w:val="24"/>
          <w:szCs w:val="24"/>
          <w:highlight w:val="none"/>
          <w:lang w:val="en-US" w:eastAsia="zh-CN"/>
        </w:rPr>
        <w:t>售后服务和支持</w:t>
      </w:r>
    </w:p>
    <w:p w14:paraId="211AB9DD">
      <w:pPr>
        <w:numPr>
          <w:ilvl w:val="0"/>
          <w:numId w:val="0"/>
        </w:numPr>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kern w:val="2"/>
          <w:sz w:val="24"/>
          <w:szCs w:val="20"/>
          <w:highlight w:val="none"/>
          <w:lang w:val="en-US" w:eastAsia="zh-CN" w:bidi="ar-SA"/>
        </w:rPr>
        <w:t>（</w:t>
      </w:r>
      <w:r>
        <w:rPr>
          <w:rFonts w:hint="eastAsia" w:ascii="Times New Roman" w:hAnsi="Times New Roman" w:eastAsia="宋体" w:cs="Times New Roman"/>
          <w:color w:val="auto"/>
          <w:kern w:val="2"/>
          <w:sz w:val="24"/>
          <w:szCs w:val="20"/>
          <w:highlight w:val="none"/>
          <w:lang w:val="en-US" w:eastAsia="zh-CN" w:bidi="ar-SA"/>
        </w:rPr>
        <w:t>1）</w:t>
      </w:r>
      <w:r>
        <w:rPr>
          <w:rFonts w:hint="eastAsia" w:ascii="Times New Roman" w:hAnsi="Times New Roman" w:cs="Times New Roman"/>
          <w:color w:val="auto"/>
          <w:highlight w:val="none"/>
          <w:lang w:val="en-US" w:eastAsia="zh-CN"/>
        </w:rPr>
        <w:t>本项目各子项目的免费维保期要求如下：</w:t>
      </w:r>
    </w:p>
    <w:p w14:paraId="7E63C6C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表3-</w:t>
      </w:r>
      <w:r>
        <w:rPr>
          <w:rFonts w:hint="eastAsia"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lang w:val="en-US" w:eastAsia="zh-CN"/>
        </w:rPr>
        <w:t xml:space="preserve"> 新一代数据中台项目（一期）</w:t>
      </w:r>
      <w:r>
        <w:rPr>
          <w:rFonts w:hint="eastAsia" w:ascii="Times New Roman" w:hAnsi="Times New Roman" w:cs="Times New Roman"/>
          <w:color w:val="auto"/>
          <w:sz w:val="21"/>
          <w:szCs w:val="21"/>
          <w:highlight w:val="none"/>
          <w:lang w:val="en-US" w:eastAsia="zh-CN"/>
        </w:rPr>
        <w:t>免费维保期要求</w:t>
      </w:r>
    </w:p>
    <w:tbl>
      <w:tblPr>
        <w:tblStyle w:val="22"/>
        <w:tblW w:w="44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5885"/>
      </w:tblGrid>
      <w:tr w14:paraId="472B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pct"/>
            <w:shd w:val="clear" w:color="auto" w:fill="D7D7D7"/>
            <w:vAlign w:val="center"/>
          </w:tcPr>
          <w:p w14:paraId="2044A17E">
            <w:pPr>
              <w:spacing w:line="400" w:lineRule="exact"/>
              <w:ind w:left="0" w:firstLine="0" w:firstLineChars="0"/>
              <w:jc w:val="center"/>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子项目名称</w:t>
            </w:r>
          </w:p>
        </w:tc>
        <w:tc>
          <w:tcPr>
            <w:tcW w:w="3856" w:type="pct"/>
            <w:shd w:val="clear" w:color="auto" w:fill="D7D7D7"/>
            <w:vAlign w:val="center"/>
          </w:tcPr>
          <w:p w14:paraId="4D89FC42">
            <w:pPr>
              <w:spacing w:line="400" w:lineRule="exact"/>
              <w:ind w:left="0" w:firstLine="0" w:firstLineChars="0"/>
              <w:jc w:val="center"/>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免费维保期</w:t>
            </w:r>
            <w:r>
              <w:rPr>
                <w:rFonts w:hint="default" w:ascii="Times New Roman" w:hAnsi="Times New Roman" w:cs="Times New Roman"/>
                <w:b/>
                <w:bCs/>
                <w:color w:val="auto"/>
                <w:sz w:val="21"/>
                <w:szCs w:val="21"/>
                <w:highlight w:val="none"/>
                <w:vertAlign w:val="baseline"/>
                <w:lang w:val="en-US" w:eastAsia="zh-CN"/>
              </w:rPr>
              <w:t>要求</w:t>
            </w:r>
          </w:p>
        </w:tc>
      </w:tr>
      <w:tr w14:paraId="4A8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pct"/>
            <w:vAlign w:val="center"/>
          </w:tcPr>
          <w:p w14:paraId="729D610C">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湖仓一体底座</w:t>
            </w:r>
          </w:p>
        </w:tc>
        <w:tc>
          <w:tcPr>
            <w:tcW w:w="3856" w:type="pct"/>
            <w:tcBorders>
              <w:left w:val="single" w:color="auto" w:sz="4" w:space="0"/>
            </w:tcBorders>
            <w:vAlign w:val="center"/>
          </w:tcPr>
          <w:p w14:paraId="79313216">
            <w:pPr>
              <w:pBdr>
                <w:top w:val="none" w:color="auto" w:sz="0" w:space="0"/>
                <w:left w:val="none" w:color="auto" w:sz="0" w:space="0"/>
                <w:bottom w:val="none" w:color="auto" w:sz="0" w:space="0"/>
                <w:right w:val="none" w:color="auto" w:sz="0" w:space="0"/>
              </w:pBdr>
              <w:spacing w:line="400" w:lineRule="exact"/>
              <w:ind w:left="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需至少提供</w:t>
            </w:r>
            <w:r>
              <w:rPr>
                <w:rFonts w:hint="default" w:ascii="Times New Roman" w:hAnsi="Times New Roman" w:cs="Times New Roman"/>
                <w:color w:val="auto"/>
                <w:sz w:val="21"/>
                <w:szCs w:val="21"/>
                <w:highlight w:val="none"/>
                <w:lang w:val="en-US" w:eastAsia="zh-CN"/>
              </w:rPr>
              <w:t>产品</w:t>
            </w:r>
            <w:r>
              <w:rPr>
                <w:rFonts w:hint="default" w:ascii="Times New Roman" w:hAnsi="Times New Roman" w:cs="Times New Roman"/>
                <w:color w:val="auto"/>
                <w:sz w:val="21"/>
                <w:szCs w:val="21"/>
                <w:highlight w:val="none"/>
              </w:rPr>
              <w:t>免费维保</w:t>
            </w:r>
            <w:r>
              <w:rPr>
                <w:rFonts w:hint="eastAsia" w:ascii="Times New Roman" w:hAnsi="Times New Roman" w:cs="Times New Roman"/>
                <w:color w:val="auto"/>
                <w:sz w:val="21"/>
                <w:szCs w:val="21"/>
                <w:highlight w:val="none"/>
                <w:lang w:val="en-US" w:eastAsia="zh-CN"/>
              </w:rPr>
              <w:t>三</w:t>
            </w:r>
            <w:r>
              <w:rPr>
                <w:rFonts w:hint="default" w:ascii="Times New Roman" w:hAnsi="Times New Roman" w:cs="Times New Roman"/>
                <w:color w:val="auto"/>
                <w:sz w:val="21"/>
                <w:szCs w:val="21"/>
                <w:highlight w:val="none"/>
              </w:rPr>
              <w:t>年。</w:t>
            </w:r>
          </w:p>
        </w:tc>
      </w:tr>
      <w:tr w14:paraId="2F9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pct"/>
            <w:vAlign w:val="center"/>
          </w:tcPr>
          <w:p w14:paraId="01B7FEA6">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数据作业平台</w:t>
            </w:r>
          </w:p>
        </w:tc>
        <w:tc>
          <w:tcPr>
            <w:tcW w:w="3856" w:type="pct"/>
            <w:tcBorders>
              <w:left w:val="single" w:color="auto" w:sz="4" w:space="0"/>
            </w:tcBorders>
            <w:vAlign w:val="center"/>
          </w:tcPr>
          <w:p w14:paraId="0BB5CA17">
            <w:pPr>
              <w:pBdr>
                <w:top w:val="none" w:color="auto" w:sz="0" w:space="0"/>
                <w:left w:val="none" w:color="auto" w:sz="0" w:space="0"/>
                <w:bottom w:val="none" w:color="auto" w:sz="0" w:space="0"/>
                <w:right w:val="none" w:color="auto" w:sz="0" w:space="0"/>
              </w:pBdr>
              <w:spacing w:line="400" w:lineRule="exact"/>
              <w:ind w:left="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需至少提供</w:t>
            </w:r>
            <w:r>
              <w:rPr>
                <w:rFonts w:hint="default" w:ascii="Times New Roman" w:hAnsi="Times New Roman" w:cs="Times New Roman"/>
                <w:color w:val="auto"/>
                <w:sz w:val="21"/>
                <w:szCs w:val="21"/>
                <w:highlight w:val="none"/>
                <w:lang w:val="en-US" w:eastAsia="zh-CN"/>
              </w:rPr>
              <w:t>产品</w:t>
            </w:r>
            <w:r>
              <w:rPr>
                <w:rFonts w:hint="default" w:ascii="Times New Roman" w:hAnsi="Times New Roman" w:cs="Times New Roman"/>
                <w:color w:val="auto"/>
                <w:sz w:val="21"/>
                <w:szCs w:val="21"/>
                <w:highlight w:val="none"/>
              </w:rPr>
              <w:t>免费维保</w:t>
            </w:r>
            <w:r>
              <w:rPr>
                <w:rFonts w:hint="eastAsia" w:ascii="Times New Roman" w:hAnsi="Times New Roman" w:cs="Times New Roman"/>
                <w:color w:val="auto"/>
                <w:sz w:val="21"/>
                <w:szCs w:val="21"/>
                <w:highlight w:val="none"/>
                <w:lang w:val="en-US" w:eastAsia="zh-CN"/>
              </w:rPr>
              <w:t>三</w:t>
            </w:r>
            <w:r>
              <w:rPr>
                <w:rFonts w:hint="default" w:ascii="Times New Roman" w:hAnsi="Times New Roman" w:cs="Times New Roman"/>
                <w:color w:val="auto"/>
                <w:sz w:val="21"/>
                <w:szCs w:val="21"/>
                <w:highlight w:val="none"/>
              </w:rPr>
              <w:t>年。</w:t>
            </w:r>
          </w:p>
        </w:tc>
      </w:tr>
      <w:tr w14:paraId="26B2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pct"/>
            <w:vAlign w:val="center"/>
          </w:tcPr>
          <w:p w14:paraId="1E92B3EE">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数据实施和迁移</w:t>
            </w:r>
          </w:p>
        </w:tc>
        <w:tc>
          <w:tcPr>
            <w:tcW w:w="3856" w:type="pct"/>
            <w:tcBorders>
              <w:left w:val="single" w:color="auto" w:sz="4" w:space="0"/>
            </w:tcBorders>
            <w:vAlign w:val="center"/>
          </w:tcPr>
          <w:p w14:paraId="455ABA24">
            <w:pPr>
              <w:pBdr>
                <w:top w:val="none" w:color="auto" w:sz="0" w:space="0"/>
                <w:left w:val="none" w:color="auto" w:sz="0" w:space="0"/>
                <w:bottom w:val="none" w:color="auto" w:sz="0" w:space="0"/>
                <w:right w:val="none" w:color="auto" w:sz="0" w:space="0"/>
              </w:pBdr>
              <w:spacing w:line="400" w:lineRule="exact"/>
              <w:ind w:left="0" w:firstLine="0" w:firstLine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需</w:t>
            </w:r>
            <w:r>
              <w:rPr>
                <w:rFonts w:hint="default" w:ascii="Times New Roman" w:hAnsi="Times New Roman" w:cs="Times New Roman"/>
                <w:color w:val="auto"/>
                <w:sz w:val="21"/>
                <w:szCs w:val="21"/>
                <w:highlight w:val="none"/>
              </w:rPr>
              <w:t>至少</w:t>
            </w:r>
            <w:r>
              <w:rPr>
                <w:rFonts w:hint="eastAsia" w:ascii="Times New Roman" w:hAnsi="Times New Roman" w:cs="Times New Roman"/>
                <w:color w:val="auto"/>
                <w:sz w:val="21"/>
                <w:szCs w:val="21"/>
                <w:highlight w:val="none"/>
                <w:lang w:val="en-US" w:eastAsia="zh-CN"/>
              </w:rPr>
              <w:t>提供</w:t>
            </w:r>
            <w:r>
              <w:rPr>
                <w:rFonts w:hint="default" w:ascii="Times New Roman" w:hAnsi="Times New Roman" w:cs="Times New Roman"/>
                <w:color w:val="auto"/>
                <w:sz w:val="21"/>
                <w:szCs w:val="21"/>
                <w:highlight w:val="none"/>
              </w:rPr>
              <w:t>一年免费技术支持服务，</w:t>
            </w:r>
            <w:r>
              <w:rPr>
                <w:rFonts w:hint="eastAsia" w:ascii="Times New Roman" w:hAnsi="Times New Roman" w:cs="Times New Roman"/>
                <w:color w:val="auto"/>
                <w:sz w:val="21"/>
                <w:szCs w:val="21"/>
                <w:highlight w:val="none"/>
                <w:lang w:val="en-US" w:eastAsia="zh-CN"/>
              </w:rPr>
              <w:t>支持</w:t>
            </w:r>
            <w:r>
              <w:rPr>
                <w:rFonts w:hint="default" w:ascii="Times New Roman" w:hAnsi="Times New Roman" w:cs="Times New Roman"/>
                <w:color w:val="auto"/>
                <w:sz w:val="21"/>
                <w:szCs w:val="21"/>
                <w:highlight w:val="none"/>
              </w:rPr>
              <w:t>人员必须为</w:t>
            </w:r>
            <w:r>
              <w:rPr>
                <w:rFonts w:hint="eastAsia" w:ascii="Times New Roman" w:hAnsi="Times New Roman" w:cs="Times New Roman"/>
                <w:color w:val="auto"/>
                <w:sz w:val="21"/>
                <w:szCs w:val="21"/>
                <w:highlight w:val="none"/>
                <w:lang w:val="en-US" w:eastAsia="zh-CN"/>
              </w:rPr>
              <w:t>本</w:t>
            </w: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lang w:val="en-US" w:eastAsia="zh-CN"/>
              </w:rPr>
              <w:t>核心</w:t>
            </w:r>
            <w:r>
              <w:rPr>
                <w:rFonts w:hint="default" w:ascii="Times New Roman" w:hAnsi="Times New Roman" w:cs="Times New Roman"/>
                <w:color w:val="auto"/>
                <w:sz w:val="21"/>
                <w:szCs w:val="21"/>
                <w:highlight w:val="none"/>
              </w:rPr>
              <w:t>实施人员</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可由比选人指定</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保证</w:t>
            </w:r>
            <w:r>
              <w:rPr>
                <w:rFonts w:hint="eastAsia" w:ascii="Times New Roman" w:hAnsi="Times New Roman" w:cs="Times New Roman"/>
                <w:color w:val="auto"/>
                <w:sz w:val="21"/>
                <w:szCs w:val="21"/>
                <w:highlight w:val="none"/>
                <w:lang w:val="en-US" w:eastAsia="zh-CN"/>
              </w:rPr>
              <w:t>中台</w:t>
            </w:r>
            <w:r>
              <w:rPr>
                <w:rFonts w:hint="default" w:ascii="Times New Roman" w:hAnsi="Times New Roman" w:cs="Times New Roman"/>
                <w:color w:val="auto"/>
                <w:sz w:val="21"/>
                <w:szCs w:val="21"/>
                <w:highlight w:val="none"/>
              </w:rPr>
              <w:t>的稳定运行</w:t>
            </w:r>
            <w:r>
              <w:rPr>
                <w:rFonts w:hint="eastAsia" w:ascii="Times New Roman" w:hAnsi="Times New Roman" w:cs="Times New Roman"/>
                <w:color w:val="auto"/>
                <w:sz w:val="21"/>
                <w:szCs w:val="21"/>
                <w:highlight w:val="none"/>
                <w:lang w:eastAsia="zh-CN"/>
              </w:rPr>
              <w:t>。</w:t>
            </w:r>
          </w:p>
        </w:tc>
      </w:tr>
      <w:tr w14:paraId="76B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1A67F70B">
            <w:pPr>
              <w:pBdr>
                <w:top w:val="none" w:color="auto" w:sz="0" w:space="0"/>
                <w:left w:val="none" w:color="auto" w:sz="0" w:space="0"/>
                <w:bottom w:val="none" w:color="auto" w:sz="0" w:space="0"/>
                <w:right w:val="none" w:color="auto" w:sz="0" w:space="0"/>
              </w:pBdr>
              <w:tabs>
                <w:tab w:val="left" w:pos="1632"/>
              </w:tabs>
              <w:spacing w:line="400" w:lineRule="exact"/>
              <w:ind w:left="0" w:firstLine="0" w:firstLine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注：</w:t>
            </w:r>
            <w:r>
              <w:rPr>
                <w:rFonts w:hint="default" w:ascii="Times New Roman" w:hAnsi="Times New Roman" w:cs="Times New Roman"/>
                <w:color w:val="auto"/>
                <w:sz w:val="21"/>
                <w:szCs w:val="21"/>
                <w:highlight w:val="none"/>
              </w:rPr>
              <w:t>免费维保期和</w:t>
            </w:r>
            <w:r>
              <w:rPr>
                <w:rFonts w:hint="eastAsia" w:ascii="Times New Roman" w:hAnsi="Times New Roman" w:cs="Times New Roman"/>
                <w:color w:val="auto"/>
                <w:sz w:val="21"/>
                <w:szCs w:val="21"/>
                <w:highlight w:val="none"/>
                <w:lang w:val="en-US" w:eastAsia="zh-CN"/>
              </w:rPr>
              <w:t>免费</w:t>
            </w:r>
            <w:r>
              <w:rPr>
                <w:rFonts w:hint="default" w:ascii="Times New Roman" w:hAnsi="Times New Roman" w:cs="Times New Roman"/>
                <w:color w:val="auto"/>
                <w:sz w:val="21"/>
                <w:szCs w:val="21"/>
                <w:highlight w:val="none"/>
              </w:rPr>
              <w:t>技术支持服务起始日为验收合格后次日，结束日需延期至到期当年的6月30日或12月31日中较近日期（即延期最长不超过半年）</w:t>
            </w:r>
            <w:r>
              <w:rPr>
                <w:rFonts w:hint="eastAsia" w:ascii="Times New Roman" w:hAnsi="Times New Roman" w:cs="Times New Roman"/>
                <w:color w:val="auto"/>
                <w:sz w:val="21"/>
                <w:szCs w:val="21"/>
                <w:highlight w:val="none"/>
                <w:lang w:eastAsia="zh-CN"/>
              </w:rPr>
              <w:t>。</w:t>
            </w:r>
          </w:p>
        </w:tc>
      </w:tr>
    </w:tbl>
    <w:p w14:paraId="3FFD5B45">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2）项目验收通过后两年内，针对本项目的完善性需求，包括但不限于</w:t>
      </w:r>
      <w:r>
        <w:rPr>
          <w:rFonts w:hint="default" w:ascii="Times New Roman" w:hAnsi="Times New Roman" w:eastAsia="宋体" w:cs="Times New Roman"/>
          <w:color w:val="auto"/>
          <w:highlight w:val="none"/>
        </w:rPr>
        <w:t>因监管部门规则变更、系统漏洞</w:t>
      </w:r>
      <w:r>
        <w:rPr>
          <w:rFonts w:hint="default" w:ascii="Times New Roman" w:hAnsi="Times New Roman" w:cs="Times New Roman"/>
          <w:color w:val="auto"/>
          <w:highlight w:val="none"/>
          <w:lang w:val="en-US" w:eastAsia="zh-CN"/>
        </w:rPr>
        <w:t>等安全问题导致</w:t>
      </w:r>
      <w:r>
        <w:rPr>
          <w:rFonts w:hint="default" w:ascii="Times New Roman" w:hAnsi="Times New Roman" w:eastAsia="宋体" w:cs="Times New Roman"/>
          <w:color w:val="auto"/>
          <w:highlight w:val="none"/>
        </w:rPr>
        <w:t>产品需要修改</w:t>
      </w:r>
      <w:r>
        <w:rPr>
          <w:rFonts w:hint="default" w:ascii="Times New Roman" w:hAnsi="Times New Roman" w:cs="Times New Roman"/>
          <w:color w:val="auto"/>
          <w:highlight w:val="none"/>
          <w:lang w:val="en-US" w:eastAsia="zh-CN"/>
        </w:rPr>
        <w:t>等</w:t>
      </w:r>
      <w:r>
        <w:rPr>
          <w:rFonts w:hint="default" w:ascii="Times New Roman" w:hAnsi="Times New Roman" w:eastAsia="宋体" w:cs="Times New Roman"/>
          <w:color w:val="auto"/>
          <w:highlight w:val="none"/>
        </w:rPr>
        <w:t>情况</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highlight w:val="none"/>
          <w:lang w:val="en-US" w:eastAsia="zh-CN"/>
        </w:rPr>
        <w:t>需免费进行开发，</w:t>
      </w:r>
      <w:r>
        <w:rPr>
          <w:rFonts w:hint="default" w:ascii="Times New Roman" w:hAnsi="Times New Roman" w:eastAsia="宋体" w:cs="Times New Roman"/>
          <w:color w:val="auto"/>
          <w:highlight w:val="none"/>
        </w:rPr>
        <w:t>不能对</w:t>
      </w:r>
      <w:r>
        <w:rPr>
          <w:rFonts w:hint="default" w:ascii="Times New Roman" w:hAnsi="Times New Roman" w:eastAsia="宋体" w:cs="Times New Roman"/>
          <w:color w:val="auto"/>
          <w:highlight w:val="none"/>
          <w:lang w:eastAsia="zh-CN"/>
        </w:rPr>
        <w:t>比选人</w:t>
      </w:r>
      <w:r>
        <w:rPr>
          <w:rFonts w:hint="default" w:ascii="Times New Roman" w:hAnsi="Times New Roman" w:eastAsia="宋体" w:cs="Times New Roman"/>
          <w:color w:val="auto"/>
          <w:highlight w:val="none"/>
        </w:rPr>
        <w:t>日常运营造成影响</w:t>
      </w:r>
      <w:r>
        <w:rPr>
          <w:rFonts w:hint="default" w:ascii="Times New Roman" w:hAnsi="Times New Roman" w:cs="Times New Roman"/>
          <w:color w:val="auto"/>
          <w:highlight w:val="none"/>
          <w:lang w:eastAsia="zh-CN"/>
        </w:rPr>
        <w:t>；</w:t>
      </w:r>
    </w:p>
    <w:p w14:paraId="42A02567">
      <w:pP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rPr>
        <w:t>在免费维保期内</w:t>
      </w:r>
      <w:r>
        <w:rPr>
          <w:rFonts w:hint="eastAsia" w:ascii="Times New Roman" w:hAnsi="Times New Roman" w:cs="Times New Roman"/>
          <w:color w:val="auto"/>
          <w:highlight w:val="none"/>
          <w:lang w:val="en-US" w:eastAsia="zh-CN"/>
        </w:rPr>
        <w:t>各产品</w:t>
      </w:r>
      <w:r>
        <w:rPr>
          <w:rFonts w:hint="default" w:ascii="Times New Roman" w:hAnsi="Times New Roman" w:eastAsia="宋体" w:cs="Times New Roman"/>
          <w:color w:val="auto"/>
          <w:highlight w:val="none"/>
        </w:rPr>
        <w:t>需同步免费</w:t>
      </w:r>
      <w:r>
        <w:rPr>
          <w:rFonts w:hint="eastAsia" w:ascii="Times New Roman" w:hAnsi="Times New Roman" w:cs="Times New Roman"/>
          <w:color w:val="auto"/>
          <w:highlight w:val="none"/>
          <w:lang w:val="en-US" w:eastAsia="zh-CN"/>
        </w:rPr>
        <w:t>进行基础版本的</w:t>
      </w:r>
      <w:r>
        <w:rPr>
          <w:rFonts w:hint="default" w:ascii="Times New Roman" w:hAnsi="Times New Roman" w:eastAsia="宋体" w:cs="Times New Roman"/>
          <w:color w:val="auto"/>
          <w:highlight w:val="none"/>
        </w:rPr>
        <w:t>升级</w:t>
      </w:r>
      <w:r>
        <w:rPr>
          <w:rFonts w:hint="default" w:ascii="Times New Roman" w:hAnsi="Times New Roman" w:cs="Times New Roman"/>
          <w:color w:val="auto"/>
          <w:highlight w:val="none"/>
          <w:lang w:eastAsia="zh-CN"/>
        </w:rPr>
        <w:t>；</w:t>
      </w:r>
    </w:p>
    <w:p w14:paraId="51AC9987">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4）项目验收通过后两年内</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highlight w:val="none"/>
          <w:lang w:val="en-US" w:eastAsia="zh-CN"/>
        </w:rPr>
        <w:t>需配合比选人完成项目的汇报文件、专项</w:t>
      </w:r>
      <w:r>
        <w:rPr>
          <w:rFonts w:hint="eastAsia" w:ascii="Times New Roman" w:hAnsi="Times New Roman" w:cs="Times New Roman"/>
          <w:color w:val="auto"/>
          <w:highlight w:val="none"/>
          <w:lang w:val="en-US" w:eastAsia="zh-CN"/>
        </w:rPr>
        <w:t>奖项、活动</w:t>
      </w:r>
      <w:r>
        <w:rPr>
          <w:rFonts w:hint="default" w:ascii="Times New Roman" w:hAnsi="Times New Roman" w:cs="Times New Roman"/>
          <w:color w:val="auto"/>
          <w:highlight w:val="none"/>
          <w:lang w:val="en-US" w:eastAsia="zh-CN"/>
        </w:rPr>
        <w:t>的申报工作，包括但不限于申报材料的编写、修改以及相关汇报文件的编写、修改</w:t>
      </w:r>
      <w:r>
        <w:rPr>
          <w:rFonts w:hint="eastAsia" w:ascii="Times New Roman" w:hAnsi="Times New Roman" w:cs="Times New Roman"/>
          <w:color w:val="auto"/>
          <w:highlight w:val="none"/>
          <w:lang w:val="en-US" w:eastAsia="zh-CN"/>
        </w:rPr>
        <w:t>等</w:t>
      </w:r>
      <w:r>
        <w:rPr>
          <w:rFonts w:hint="default" w:ascii="Times New Roman" w:hAnsi="Times New Roman" w:cs="Times New Roman"/>
          <w:color w:val="auto"/>
          <w:highlight w:val="none"/>
          <w:lang w:val="en-US" w:eastAsia="zh-CN"/>
        </w:rPr>
        <w:t>；</w:t>
      </w:r>
    </w:p>
    <w:p w14:paraId="602FF3D8">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（5）参选人需配合比选人向监管部门报送信创方案等工作，包括但不限于信创相关证明材料的准备以及按照监管要求完成信创方案的编写、修改等；</w:t>
      </w:r>
    </w:p>
    <w:p w14:paraId="106FBD5E">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（6）参选人需配合比选人完成《信息安全技术网络安全等级保护基本要求》（GB/T22239-2019）二级保护测评，并根据测评结果完成系统整改；</w:t>
      </w:r>
    </w:p>
    <w:p w14:paraId="7600AC39">
      <w:pPr>
        <w:numPr>
          <w:ilvl w:val="0"/>
          <w:numId w:val="0"/>
        </w:numPr>
        <w:ind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（7）参选人提供的产品若为Licence授权方式，需提供永久授权，后续无需再支付Licence授权费用；</w:t>
      </w:r>
    </w:p>
    <w:p w14:paraId="63BC0564">
      <w:pP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rPr>
        <w:t>免费维护期满后，</w:t>
      </w:r>
      <w:r>
        <w:rPr>
          <w:rFonts w:hint="eastAsia" w:ascii="Times New Roman" w:hAnsi="Times New Roman" w:cs="Times New Roman"/>
          <w:color w:val="auto"/>
          <w:highlight w:val="none"/>
          <w:lang w:val="en-US" w:eastAsia="zh-CN"/>
        </w:rPr>
        <w:t>各子项目的</w:t>
      </w:r>
      <w:r>
        <w:rPr>
          <w:rFonts w:hint="default" w:ascii="Times New Roman" w:hAnsi="Times New Roman" w:eastAsia="宋体" w:cs="Times New Roman"/>
          <w:color w:val="auto"/>
          <w:highlight w:val="none"/>
        </w:rPr>
        <w:t>维护费用不</w:t>
      </w:r>
      <w:r>
        <w:rPr>
          <w:rFonts w:hint="default" w:ascii="Times New Roman" w:hAnsi="Times New Roman" w:cs="Times New Roman"/>
          <w:color w:val="auto"/>
          <w:highlight w:val="none"/>
          <w:lang w:val="en-US" w:eastAsia="zh-CN"/>
        </w:rPr>
        <w:t>得</w:t>
      </w:r>
      <w:r>
        <w:rPr>
          <w:rFonts w:hint="default" w:ascii="Times New Roman" w:hAnsi="Times New Roman" w:eastAsia="宋体" w:cs="Times New Roman"/>
          <w:color w:val="auto"/>
          <w:highlight w:val="none"/>
        </w:rPr>
        <w:t>高于</w:t>
      </w:r>
      <w:r>
        <w:rPr>
          <w:rFonts w:hint="default" w:ascii="Times New Roman" w:hAnsi="Times New Roman" w:cs="Times New Roman"/>
          <w:color w:val="auto"/>
          <w:highlight w:val="none"/>
          <w:lang w:val="en-US" w:eastAsia="zh-CN"/>
        </w:rPr>
        <w:t>对应子项目</w:t>
      </w:r>
      <w:r>
        <w:rPr>
          <w:rFonts w:hint="eastAsia" w:ascii="Times New Roman" w:hAnsi="Times New Roman" w:cs="Times New Roman"/>
          <w:color w:val="auto"/>
          <w:highlight w:val="none"/>
          <w:lang w:val="en-US" w:eastAsia="zh-CN"/>
        </w:rPr>
        <w:t>服务总</w:t>
      </w:r>
      <w:r>
        <w:rPr>
          <w:rFonts w:hint="default" w:ascii="Times New Roman" w:hAnsi="Times New Roman" w:cs="Times New Roman"/>
          <w:color w:val="auto"/>
          <w:highlight w:val="none"/>
          <w:lang w:val="en-US" w:eastAsia="zh-CN"/>
        </w:rPr>
        <w:t>价的</w:t>
      </w:r>
      <w:r>
        <w:rPr>
          <w:rFonts w:hint="default" w:ascii="Times New Roman" w:hAnsi="Times New Roman" w:eastAsia="宋体" w:cs="Times New Roman"/>
          <w:color w:val="auto"/>
          <w:highlight w:val="none"/>
        </w:rPr>
        <w:t>8%，服务标准不得低于免费维保期服务标准，具体维保费用以合同约定为准</w:t>
      </w:r>
      <w:r>
        <w:rPr>
          <w:rFonts w:hint="eastAsia" w:ascii="Times New Roman" w:hAnsi="Times New Roman" w:cs="Times New Roman"/>
          <w:color w:val="auto"/>
          <w:highlight w:val="none"/>
          <w:lang w:eastAsia="zh-CN"/>
        </w:rPr>
        <w:t>；</w:t>
      </w:r>
    </w:p>
    <w:p w14:paraId="27D6ACA1">
      <w:pP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rPr>
        <w:t>参选人需在参选文件中详细说明在</w:t>
      </w:r>
      <w:r>
        <w:rPr>
          <w:rFonts w:hint="default" w:ascii="Times New Roman" w:hAnsi="Times New Roman" w:cs="Times New Roman"/>
          <w:color w:val="auto"/>
          <w:highlight w:val="none"/>
          <w:lang w:val="en-US" w:eastAsia="zh-CN"/>
        </w:rPr>
        <w:t>免费</w:t>
      </w:r>
      <w:r>
        <w:rPr>
          <w:rFonts w:hint="default" w:ascii="Times New Roman" w:hAnsi="Times New Roman" w:eastAsia="宋体" w:cs="Times New Roman"/>
          <w:color w:val="auto"/>
          <w:highlight w:val="none"/>
        </w:rPr>
        <w:t>维保期的具体服务内容，</w:t>
      </w:r>
      <w:r>
        <w:rPr>
          <w:rFonts w:hint="default" w:ascii="Times New Roman" w:hAnsi="Times New Roman" w:cs="Times New Roman"/>
          <w:color w:val="auto"/>
          <w:highlight w:val="none"/>
          <w:lang w:val="en-US" w:eastAsia="zh-CN"/>
        </w:rPr>
        <w:t>免费</w:t>
      </w:r>
      <w:r>
        <w:rPr>
          <w:rFonts w:hint="default" w:ascii="Times New Roman" w:hAnsi="Times New Roman" w:eastAsia="宋体" w:cs="Times New Roman"/>
          <w:color w:val="auto"/>
          <w:highlight w:val="none"/>
        </w:rPr>
        <w:t>维保期过后有偿维保的内容、价格及收取方式，若按开发量评估收取，应说明每人/月价格</w:t>
      </w:r>
      <w:r>
        <w:rPr>
          <w:rFonts w:hint="eastAsia" w:ascii="Times New Roman" w:hAnsi="Times New Roman" w:cs="Times New Roman"/>
          <w:color w:val="auto"/>
          <w:highlight w:val="none"/>
          <w:lang w:eastAsia="zh-CN"/>
        </w:rPr>
        <w:t>；</w:t>
      </w:r>
    </w:p>
    <w:p w14:paraId="42A42542">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在项目合同正式签订后三年内，若比选人需要将数据作业平台迁移上云，参选人需免费进行实施；</w:t>
      </w:r>
    </w:p>
    <w:p w14:paraId="22561C0B">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r>
        <w:rPr>
          <w:rFonts w:hint="default" w:ascii="Times New Roman" w:hAnsi="Times New Roman" w:eastAsia="宋体" w:cs="Times New Roman"/>
          <w:color w:val="auto"/>
          <w:highlight w:val="none"/>
          <w:lang w:val="en-US" w:eastAsia="zh-CN"/>
        </w:rPr>
        <w:t>项目验收通过后两年内</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参选人需配合比选人申请相关发明专利3项并至少通过实质性审查；</w:t>
      </w:r>
    </w:p>
    <w:p w14:paraId="415A46FE">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w:t>
      </w:r>
      <w:r>
        <w:rPr>
          <w:rFonts w:hint="default" w:ascii="Times New Roman" w:hAnsi="Times New Roman" w:eastAsia="宋体" w:cs="Times New Roman"/>
          <w:color w:val="auto"/>
          <w:highlight w:val="none"/>
          <w:lang w:val="en-US" w:eastAsia="zh-CN"/>
        </w:rPr>
        <w:t>项目验收通过后两年内</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参选人需配合比选人申请相关软件著作权3项并获取证书；</w:t>
      </w:r>
    </w:p>
    <w:p w14:paraId="10734395">
      <w:pPr>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（13</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rPr>
        <w:t>参选人在参选文件中需对以上相关内容进行阐述并作出相应</w:t>
      </w:r>
      <w:r>
        <w:rPr>
          <w:rFonts w:hint="eastAsia" w:ascii="Times New Roman" w:hAnsi="Times New Roman" w:cs="Times New Roman"/>
          <w:color w:val="auto"/>
          <w:highlight w:val="none"/>
          <w:lang w:val="en-US" w:eastAsia="zh-CN"/>
        </w:rPr>
        <w:t>响应</w:t>
      </w:r>
      <w:r>
        <w:rPr>
          <w:rFonts w:hint="default" w:ascii="Times New Roman" w:hAnsi="Times New Roman" w:eastAsia="宋体" w:cs="Times New Roman"/>
          <w:color w:val="auto"/>
          <w:highlight w:val="none"/>
        </w:rPr>
        <w:t>承诺。</w:t>
      </w:r>
    </w:p>
    <w:p w14:paraId="589D2EA1">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rPr>
        <w:t>【提供</w:t>
      </w:r>
      <w:r>
        <w:rPr>
          <w:rFonts w:ascii="Times New Roman" w:hAnsi="Times New Roman" w:cs="Times New Roman"/>
          <w:color w:val="auto"/>
          <w:highlight w:val="none"/>
        </w:rPr>
        <w:t>售后服务方案</w:t>
      </w:r>
      <w:r>
        <w:rPr>
          <w:rFonts w:hint="eastAsia" w:ascii="Times New Roman" w:hAnsi="Times New Roman" w:cs="Times New Roman"/>
          <w:color w:val="auto"/>
          <w:highlight w:val="none"/>
        </w:rPr>
        <w:t>】</w:t>
      </w:r>
    </w:p>
    <w:p w14:paraId="1E172883">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3.2 </w:t>
      </w:r>
      <w:r>
        <w:rPr>
          <w:rFonts w:hint="default" w:ascii="Times New Roman" w:hAnsi="Times New Roman" w:cs="Times New Roman"/>
          <w:b/>
          <w:bCs w:val="0"/>
          <w:color w:val="auto"/>
          <w:sz w:val="24"/>
          <w:szCs w:val="24"/>
          <w:highlight w:val="none"/>
          <w:lang w:val="en-US" w:eastAsia="zh-CN"/>
        </w:rPr>
        <w:t>系统维保费用</w:t>
      </w:r>
    </w:p>
    <w:p w14:paraId="0477C19F">
      <w:pP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本项目的</w:t>
      </w:r>
      <w:r>
        <w:rPr>
          <w:rFonts w:hint="default" w:ascii="Times New Roman" w:hAnsi="Times New Roman" w:cs="Times New Roman"/>
          <w:color w:val="auto"/>
          <w:highlight w:val="none"/>
          <w:lang w:val="en-US" w:eastAsia="zh-CN"/>
        </w:rPr>
        <w:t>涉及</w:t>
      </w:r>
      <w:r>
        <w:rPr>
          <w:rFonts w:hint="default" w:ascii="Times New Roman" w:hAnsi="Times New Roman" w:cs="Times New Roman"/>
          <w:color w:val="auto"/>
          <w:highlight w:val="none"/>
        </w:rPr>
        <w:t>维保费用</w:t>
      </w:r>
      <w:r>
        <w:rPr>
          <w:rFonts w:hint="default" w:ascii="Times New Roman" w:hAnsi="Times New Roman" w:cs="Times New Roman"/>
          <w:color w:val="auto"/>
          <w:highlight w:val="none"/>
          <w:lang w:val="en-US" w:eastAsia="zh-CN"/>
        </w:rPr>
        <w:t>的子项目有湖仓一体底座和数据作业平台，具体维保费用</w:t>
      </w:r>
      <w:r>
        <w:rPr>
          <w:rFonts w:hint="default" w:ascii="Times New Roman" w:hAnsi="Times New Roman" w:cs="Times New Roman"/>
          <w:color w:val="auto"/>
          <w:highlight w:val="none"/>
        </w:rPr>
        <w:t>要求如下表</w:t>
      </w: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所示。</w:t>
      </w:r>
    </w:p>
    <w:p w14:paraId="2AD66A5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表3-</w:t>
      </w:r>
      <w:r>
        <w:rPr>
          <w:rFonts w:hint="eastAsia"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lang w:val="en-US" w:eastAsia="zh-CN"/>
        </w:rPr>
        <w:t xml:space="preserve"> 新一代数据中台项目（一期）维保费用表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310"/>
      </w:tblGrid>
      <w:tr w14:paraId="5F1F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D7D7D7"/>
            <w:vAlign w:val="center"/>
          </w:tcPr>
          <w:p w14:paraId="2D4C613A">
            <w:pPr>
              <w:spacing w:line="400" w:lineRule="exact"/>
              <w:ind w:left="0" w:firstLine="0" w:firstLineChars="0"/>
              <w:jc w:val="center"/>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子项目名称</w:t>
            </w:r>
          </w:p>
        </w:tc>
        <w:tc>
          <w:tcPr>
            <w:tcW w:w="6310" w:type="dxa"/>
            <w:shd w:val="clear" w:color="auto" w:fill="D7D7D7"/>
            <w:vAlign w:val="center"/>
          </w:tcPr>
          <w:p w14:paraId="366BBBE1">
            <w:pPr>
              <w:spacing w:line="400" w:lineRule="exact"/>
              <w:ind w:left="0" w:firstLine="0" w:firstLineChars="0"/>
              <w:jc w:val="center"/>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维保费用要求</w:t>
            </w:r>
          </w:p>
        </w:tc>
      </w:tr>
      <w:tr w14:paraId="0C9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90" w:type="dxa"/>
            <w:vAlign w:val="center"/>
          </w:tcPr>
          <w:p w14:paraId="6D5DBB5C">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湖仓一体底座</w:t>
            </w:r>
          </w:p>
        </w:tc>
        <w:tc>
          <w:tcPr>
            <w:tcW w:w="6310" w:type="dxa"/>
            <w:tcBorders>
              <w:left w:val="single" w:color="auto" w:sz="4" w:space="0"/>
            </w:tcBorders>
            <w:vAlign w:val="center"/>
          </w:tcPr>
          <w:p w14:paraId="3017946E">
            <w:pPr>
              <w:pBdr>
                <w:top w:val="none" w:color="auto" w:sz="0" w:space="0"/>
                <w:left w:val="none" w:color="auto" w:sz="0" w:space="0"/>
                <w:bottom w:val="none" w:color="auto" w:sz="0" w:space="0"/>
                <w:right w:val="none" w:color="auto" w:sz="0" w:space="0"/>
              </w:pBdr>
              <w:spacing w:line="400" w:lineRule="exact"/>
              <w:ind w:left="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免费</w:t>
            </w:r>
            <w:r>
              <w:rPr>
                <w:rFonts w:hint="default" w:ascii="Times New Roman" w:hAnsi="Times New Roman" w:cs="Times New Roman"/>
                <w:color w:val="auto"/>
                <w:sz w:val="21"/>
                <w:szCs w:val="21"/>
                <w:highlight w:val="none"/>
              </w:rPr>
              <w:t>维护期满后，后续每年维保费用不超过</w:t>
            </w:r>
            <w:r>
              <w:rPr>
                <w:rFonts w:hint="default" w:ascii="Times New Roman" w:hAnsi="Times New Roman" w:cs="Times New Roman"/>
                <w:color w:val="auto"/>
                <w:sz w:val="21"/>
                <w:szCs w:val="21"/>
                <w:highlight w:val="none"/>
                <w:lang w:val="en-US" w:eastAsia="zh-CN"/>
              </w:rPr>
              <w:t>该</w:t>
            </w:r>
            <w:r>
              <w:rPr>
                <w:rFonts w:hint="default" w:ascii="Times New Roman" w:hAnsi="Times New Roman" w:cs="Times New Roman"/>
                <w:color w:val="auto"/>
                <w:sz w:val="21"/>
                <w:szCs w:val="21"/>
                <w:highlight w:val="none"/>
              </w:rPr>
              <w:t>子项目产品服务总价的8%，具体维保费用以合同约定为准。</w:t>
            </w:r>
          </w:p>
        </w:tc>
      </w:tr>
      <w:tr w14:paraId="3F13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Align w:val="center"/>
          </w:tcPr>
          <w:p w14:paraId="0B179531">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数据作业平台</w:t>
            </w:r>
          </w:p>
        </w:tc>
        <w:tc>
          <w:tcPr>
            <w:tcW w:w="6310" w:type="dxa"/>
            <w:tcBorders>
              <w:left w:val="single" w:color="auto" w:sz="4" w:space="0"/>
            </w:tcBorders>
            <w:vAlign w:val="center"/>
          </w:tcPr>
          <w:p w14:paraId="0AF39131">
            <w:pPr>
              <w:pBdr>
                <w:top w:val="none" w:color="auto" w:sz="0" w:space="0"/>
                <w:left w:val="none" w:color="auto" w:sz="0" w:space="0"/>
                <w:bottom w:val="none" w:color="auto" w:sz="0" w:space="0"/>
                <w:right w:val="none" w:color="auto" w:sz="0" w:space="0"/>
              </w:pBdr>
              <w:spacing w:line="400" w:lineRule="exact"/>
              <w:ind w:left="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免费</w:t>
            </w:r>
            <w:r>
              <w:rPr>
                <w:rFonts w:hint="default" w:ascii="Times New Roman" w:hAnsi="Times New Roman" w:cs="Times New Roman"/>
                <w:color w:val="auto"/>
                <w:sz w:val="21"/>
                <w:szCs w:val="21"/>
                <w:highlight w:val="none"/>
              </w:rPr>
              <w:t>维护期满后，后续每年维保费用不超过</w:t>
            </w:r>
            <w:r>
              <w:rPr>
                <w:rFonts w:hint="default" w:ascii="Times New Roman" w:hAnsi="Times New Roman" w:cs="Times New Roman"/>
                <w:color w:val="auto"/>
                <w:sz w:val="21"/>
                <w:szCs w:val="21"/>
                <w:highlight w:val="none"/>
                <w:lang w:val="en-US" w:eastAsia="zh-CN"/>
              </w:rPr>
              <w:t>该</w:t>
            </w:r>
            <w:r>
              <w:rPr>
                <w:rFonts w:hint="default" w:ascii="Times New Roman" w:hAnsi="Times New Roman" w:cs="Times New Roman"/>
                <w:color w:val="auto"/>
                <w:sz w:val="21"/>
                <w:szCs w:val="21"/>
                <w:highlight w:val="none"/>
              </w:rPr>
              <w:t>子项目产品服务总价的8%，具体维保费用以合同约定为准。</w:t>
            </w:r>
          </w:p>
        </w:tc>
      </w:tr>
    </w:tbl>
    <w:p w14:paraId="03EB458D">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3.3 </w:t>
      </w:r>
      <w:r>
        <w:rPr>
          <w:rFonts w:hint="default" w:ascii="Times New Roman" w:hAnsi="Times New Roman" w:cs="Times New Roman"/>
          <w:b/>
          <w:bCs w:val="0"/>
          <w:color w:val="auto"/>
          <w:sz w:val="24"/>
          <w:szCs w:val="24"/>
          <w:highlight w:val="none"/>
          <w:lang w:val="en-US" w:eastAsia="zh-CN"/>
        </w:rPr>
        <w:t>服务连续性预案</w:t>
      </w:r>
    </w:p>
    <w:p w14:paraId="5D270050">
      <w:pPr>
        <w:rPr>
          <w:rFonts w:hint="default" w:ascii="Times New Roman" w:hAnsi="Times New Roman" w:cs="Times New Roman"/>
          <w:color w:val="auto"/>
          <w:highlight w:val="none"/>
        </w:rPr>
      </w:pPr>
      <w:r>
        <w:rPr>
          <w:rFonts w:hint="default" w:ascii="Times New Roman" w:hAnsi="Times New Roman" w:cs="Times New Roman"/>
          <w:color w:val="auto"/>
          <w:highlight w:val="none"/>
        </w:rPr>
        <w:t>在本次比选中，参选人应在参选文件中提供服务连续性预案供比选人查看，服务连续性预案应考虑供应链风险产生的影响。【提供服务连续性预案】</w:t>
      </w:r>
    </w:p>
    <w:p w14:paraId="1887CE9D">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3.4 </w:t>
      </w:r>
      <w:r>
        <w:rPr>
          <w:rFonts w:hint="default" w:ascii="Times New Roman" w:hAnsi="Times New Roman" w:cs="Times New Roman"/>
          <w:b/>
          <w:bCs w:val="0"/>
          <w:color w:val="auto"/>
          <w:sz w:val="24"/>
          <w:szCs w:val="24"/>
          <w:highlight w:val="none"/>
          <w:lang w:val="en-US" w:eastAsia="zh-CN"/>
        </w:rPr>
        <w:t>项目实施方案</w:t>
      </w:r>
    </w:p>
    <w:p w14:paraId="65D08311">
      <w:pPr>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在本次比选中，参选人应在参选文件中提供项目实施方案供比选人查看</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方案</w:t>
      </w:r>
      <w:r>
        <w:rPr>
          <w:rFonts w:hint="eastAsia" w:ascii="Times New Roman" w:hAnsi="Times New Roman" w:cs="Times New Roman"/>
          <w:color w:val="auto"/>
          <w:highlight w:val="none"/>
          <w:lang w:val="en-US" w:eastAsia="zh-CN"/>
        </w:rPr>
        <w:t>应在对本项目的理解上，至少需提供如下内容：</w:t>
      </w:r>
    </w:p>
    <w:p w14:paraId="6A2D3097">
      <w:pPr>
        <w:numPr>
          <w:ilvl w:val="0"/>
          <w:numId w:val="17"/>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产品介绍：包括湖仓一体底座和数据作业平台的产品主要功能介绍；</w:t>
      </w:r>
    </w:p>
    <w:p w14:paraId="44586076">
      <w:pPr>
        <w:numPr>
          <w:ilvl w:val="0"/>
          <w:numId w:val="17"/>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实施和迁移方案：根据比选人对本项目的要求，阐述本项目的详细实施和迁移的方案，如进度规划、里程碑计划、各阶段提交资料内容等。</w:t>
      </w:r>
    </w:p>
    <w:bookmarkEnd w:id="60"/>
    <w:bookmarkEnd w:id="61"/>
    <w:p w14:paraId="08BDF481">
      <w:pPr>
        <w:keepNext w:val="0"/>
        <w:keepLines w:val="0"/>
        <w:pageBreakBefore w:val="0"/>
        <w:widowControl w:val="0"/>
        <w:numPr>
          <w:ilvl w:val="-1"/>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cs="Times New Roman"/>
          <w:color w:val="auto"/>
          <w:highlight w:val="none"/>
          <w:lang w:val="en-US" w:eastAsia="zh-CN"/>
        </w:rPr>
      </w:pPr>
      <w:bookmarkStart w:id="66" w:name="_Toc89675148"/>
      <w:bookmarkStart w:id="67" w:name="_Toc15059422"/>
      <w:r>
        <w:rPr>
          <w:rFonts w:ascii="Times New Roman" w:hAnsi="Times New Roman" w:cs="Times New Roman"/>
          <w:color w:val="auto"/>
          <w:highlight w:val="none"/>
        </w:rPr>
        <w:t>【提供项目实施方案】</w:t>
      </w:r>
    </w:p>
    <w:p w14:paraId="022EAA6D">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3.5 </w:t>
      </w:r>
      <w:r>
        <w:rPr>
          <w:rFonts w:hint="default" w:ascii="Times New Roman" w:hAnsi="Times New Roman" w:cs="Times New Roman"/>
          <w:b/>
          <w:bCs w:val="0"/>
          <w:color w:val="auto"/>
          <w:sz w:val="24"/>
          <w:szCs w:val="24"/>
          <w:highlight w:val="none"/>
          <w:lang w:val="en-US" w:eastAsia="zh-CN"/>
        </w:rPr>
        <w:t>付款方式</w:t>
      </w:r>
      <w:bookmarkEnd w:id="66"/>
      <w:bookmarkEnd w:id="67"/>
    </w:p>
    <w:p w14:paraId="0A88DA15">
      <w:pP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本项目产品服务</w:t>
      </w:r>
      <w:r>
        <w:rPr>
          <w:rFonts w:hint="default" w:ascii="Times New Roman" w:hAnsi="Times New Roman" w:cs="Times New Roman"/>
          <w:color w:val="auto"/>
          <w:highlight w:val="none"/>
          <w:lang w:val="en-US" w:eastAsia="zh-CN"/>
        </w:rPr>
        <w:t>及实施费用</w:t>
      </w:r>
      <w:r>
        <w:rPr>
          <w:rFonts w:hint="default" w:ascii="Times New Roman" w:hAnsi="Times New Roman" w:cs="Times New Roman"/>
          <w:color w:val="auto"/>
          <w:highlight w:val="none"/>
        </w:rPr>
        <w:t>采用分期付款方式，</w:t>
      </w:r>
      <w:r>
        <w:rPr>
          <w:rFonts w:hint="default" w:ascii="Times New Roman" w:hAnsi="Times New Roman" w:cs="Times New Roman"/>
          <w:color w:val="auto"/>
          <w:highlight w:val="none"/>
          <w:lang w:eastAsia="zh-CN"/>
        </w:rPr>
        <w:t>须严格按照合同内容开具增值税专用发票（产品增值税专用发票税率：13%；实施服务增值税专用发票税率：6%），</w:t>
      </w:r>
      <w:r>
        <w:rPr>
          <w:rFonts w:hint="default" w:ascii="Times New Roman" w:hAnsi="Times New Roman" w:cs="Times New Roman"/>
          <w:color w:val="auto"/>
          <w:highlight w:val="none"/>
          <w:lang w:val="en-US" w:eastAsia="zh-CN"/>
        </w:rPr>
        <w:t>不含税价格不因国家税率变化而变化</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若合同履行期间，如遇国家的税率调整，则价税合计应该相应调整，以开具发票的时间为准。项目实施款项</w:t>
      </w:r>
      <w:r>
        <w:rPr>
          <w:rFonts w:hint="eastAsia" w:ascii="Times New Roman" w:hAnsi="Times New Roman" w:cs="Times New Roman"/>
          <w:color w:val="auto"/>
          <w:highlight w:val="none"/>
          <w:lang w:val="en-US" w:eastAsia="zh-CN"/>
        </w:rPr>
        <w:t>拟</w:t>
      </w:r>
      <w:r>
        <w:rPr>
          <w:rFonts w:hint="default" w:ascii="Times New Roman" w:hAnsi="Times New Roman" w:cs="Times New Roman"/>
          <w:color w:val="auto"/>
          <w:highlight w:val="none"/>
          <w:lang w:val="en-US" w:eastAsia="zh-CN"/>
        </w:rPr>
        <w:t>采用</w:t>
      </w:r>
      <w:r>
        <w:rPr>
          <w:rFonts w:hint="eastAsia" w:ascii="Times New Roman" w:hAnsi="Times New Roman" w:cs="Times New Roman"/>
          <w:color w:val="auto"/>
          <w:highlight w:val="none"/>
          <w:lang w:val="en-US" w:eastAsia="zh-CN"/>
        </w:rPr>
        <w:t>如下</w:t>
      </w:r>
      <w:r>
        <w:rPr>
          <w:rFonts w:hint="default" w:ascii="Times New Roman" w:hAnsi="Times New Roman" w:cs="Times New Roman"/>
          <w:color w:val="auto"/>
          <w:highlight w:val="none"/>
          <w:lang w:val="en-US" w:eastAsia="zh-CN"/>
        </w:rPr>
        <w:t>分期付款方式，</w:t>
      </w:r>
      <w:r>
        <w:rPr>
          <w:rFonts w:hint="eastAsia" w:ascii="Times New Roman" w:hAnsi="Times New Roman" w:cs="Times New Roman"/>
          <w:color w:val="auto"/>
          <w:highlight w:val="none"/>
          <w:lang w:val="en-US" w:eastAsia="zh-CN"/>
        </w:rPr>
        <w:t>具体以项目合同为准</w:t>
      </w:r>
      <w:r>
        <w:rPr>
          <w:rFonts w:hint="default" w:ascii="Times New Roman" w:hAnsi="Times New Roman" w:cs="Times New Roman"/>
          <w:color w:val="auto"/>
          <w:highlight w:val="none"/>
        </w:rPr>
        <w:t>：</w:t>
      </w:r>
    </w:p>
    <w:p w14:paraId="382F1BB6">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lang w:val="en-US" w:eastAsia="zh-CN"/>
        </w:rPr>
        <w:t>湖仓一体底座和数据作业平台部署完成</w:t>
      </w:r>
      <w:r>
        <w:rPr>
          <w:rFonts w:hint="eastAsia" w:ascii="Times New Roman" w:hAnsi="Times New Roman" w:cs="Times New Roman"/>
          <w:color w:val="auto"/>
          <w:szCs w:val="24"/>
          <w:highlight w:val="none"/>
          <w:lang w:val="en-US" w:eastAsia="zh-CN"/>
        </w:rPr>
        <w:t>（包括产品的客制化开发完后完成）</w:t>
      </w:r>
      <w:r>
        <w:rPr>
          <w:rFonts w:hint="default" w:ascii="Times New Roman" w:hAnsi="Times New Roman" w:cs="Times New Roman"/>
          <w:color w:val="auto"/>
          <w:szCs w:val="24"/>
          <w:highlight w:val="none"/>
          <w:lang w:val="en-US" w:eastAsia="zh-CN"/>
        </w:rPr>
        <w:t>，收到</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szCs w:val="24"/>
          <w:highlight w:val="none"/>
          <w:lang w:val="en-US" w:eastAsia="zh-CN"/>
        </w:rPr>
        <w:t>开具的正式发票30个工作日内，支付项目合同总价的</w:t>
      </w:r>
      <w:r>
        <w:rPr>
          <w:rFonts w:hint="eastAsia" w:ascii="Times New Roman" w:hAnsi="Times New Roman" w:cs="Times New Roman"/>
          <w:color w:val="auto"/>
          <w:szCs w:val="24"/>
          <w:highlight w:val="none"/>
          <w:lang w:val="en-US" w:eastAsia="zh-CN"/>
        </w:rPr>
        <w:t>3</w:t>
      </w:r>
      <w:r>
        <w:rPr>
          <w:rFonts w:hint="default" w:ascii="Times New Roman" w:hAnsi="Times New Roman" w:cs="Times New Roman"/>
          <w:color w:val="auto"/>
          <w:szCs w:val="24"/>
          <w:highlight w:val="none"/>
          <w:lang w:val="en-US" w:eastAsia="zh-CN"/>
        </w:rPr>
        <w:t>0％；</w:t>
      </w:r>
    </w:p>
    <w:p w14:paraId="6854F490">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（2）本</w:t>
      </w:r>
      <w:r>
        <w:rPr>
          <w:rFonts w:hint="default" w:ascii="Times New Roman" w:hAnsi="Times New Roman" w:cs="Times New Roman"/>
          <w:color w:val="auto"/>
          <w:szCs w:val="24"/>
          <w:highlight w:val="none"/>
          <w:lang w:val="en-US" w:eastAsia="zh-CN"/>
        </w:rPr>
        <w:t>项目实施和迁移完成并投入</w:t>
      </w:r>
      <w:r>
        <w:rPr>
          <w:rFonts w:hint="eastAsia" w:ascii="Times New Roman" w:hAnsi="Times New Roman" w:cs="Times New Roman"/>
          <w:color w:val="auto"/>
          <w:szCs w:val="24"/>
          <w:highlight w:val="none"/>
          <w:lang w:val="en-US" w:eastAsia="zh-CN"/>
        </w:rPr>
        <w:t>试运行</w:t>
      </w:r>
      <w:r>
        <w:rPr>
          <w:rFonts w:hint="default" w:ascii="Times New Roman" w:hAnsi="Times New Roman" w:cs="Times New Roman"/>
          <w:color w:val="auto"/>
          <w:szCs w:val="24"/>
          <w:highlight w:val="none"/>
          <w:lang w:val="en-US" w:eastAsia="zh-CN"/>
        </w:rPr>
        <w:t>，收到</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szCs w:val="24"/>
          <w:highlight w:val="none"/>
          <w:lang w:val="en-US" w:eastAsia="zh-CN"/>
        </w:rPr>
        <w:t>开具的正式发票30个工作日内，支付项目合同总价的</w:t>
      </w:r>
      <w:r>
        <w:rPr>
          <w:rFonts w:hint="eastAsia" w:ascii="Times New Roman" w:hAnsi="Times New Roman" w:cs="Times New Roman"/>
          <w:color w:val="auto"/>
          <w:szCs w:val="24"/>
          <w:highlight w:val="none"/>
          <w:lang w:val="en-US" w:eastAsia="zh-CN"/>
        </w:rPr>
        <w:t>3</w:t>
      </w:r>
      <w:r>
        <w:rPr>
          <w:rFonts w:hint="default" w:ascii="Times New Roman" w:hAnsi="Times New Roman" w:cs="Times New Roman"/>
          <w:color w:val="auto"/>
          <w:szCs w:val="24"/>
          <w:highlight w:val="none"/>
          <w:lang w:val="en-US" w:eastAsia="zh-CN"/>
        </w:rPr>
        <w:t>0％；</w:t>
      </w:r>
    </w:p>
    <w:p w14:paraId="1666759A">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（3）本</w:t>
      </w:r>
      <w:r>
        <w:rPr>
          <w:rFonts w:hint="default" w:ascii="Times New Roman" w:hAnsi="Times New Roman" w:cs="Times New Roman"/>
          <w:color w:val="auto"/>
          <w:szCs w:val="24"/>
          <w:highlight w:val="none"/>
          <w:lang w:val="en-US" w:eastAsia="zh-CN"/>
        </w:rPr>
        <w:t>项目</w:t>
      </w:r>
      <w:r>
        <w:rPr>
          <w:rFonts w:hint="eastAsia" w:ascii="Times New Roman" w:hAnsi="Times New Roman" w:cs="Times New Roman"/>
          <w:color w:val="auto"/>
          <w:szCs w:val="24"/>
          <w:highlight w:val="none"/>
          <w:lang w:val="en-US" w:eastAsia="zh-CN"/>
        </w:rPr>
        <w:t>试运行结束并</w:t>
      </w:r>
      <w:r>
        <w:rPr>
          <w:rFonts w:hint="default" w:ascii="Times New Roman" w:hAnsi="Times New Roman" w:cs="Times New Roman"/>
          <w:color w:val="auto"/>
          <w:szCs w:val="24"/>
          <w:highlight w:val="none"/>
          <w:lang w:val="en-US" w:eastAsia="zh-CN"/>
        </w:rPr>
        <w:t>验收合格后，收到</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szCs w:val="24"/>
          <w:highlight w:val="none"/>
          <w:lang w:val="en-US" w:eastAsia="zh-CN"/>
        </w:rPr>
        <w:t>开具的正式发票30个工作日内，支付项目合同总价的</w:t>
      </w:r>
      <w:r>
        <w:rPr>
          <w:rFonts w:hint="eastAsia" w:ascii="Times New Roman" w:hAnsi="Times New Roman" w:cs="Times New Roman"/>
          <w:color w:val="auto"/>
          <w:szCs w:val="24"/>
          <w:highlight w:val="none"/>
          <w:lang w:val="en-US" w:eastAsia="zh-CN"/>
        </w:rPr>
        <w:t>3</w:t>
      </w:r>
      <w:r>
        <w:rPr>
          <w:rFonts w:hint="default" w:ascii="Times New Roman" w:hAnsi="Times New Roman" w:cs="Times New Roman"/>
          <w:color w:val="auto"/>
          <w:szCs w:val="24"/>
          <w:highlight w:val="none"/>
          <w:lang w:val="en-US" w:eastAsia="zh-CN"/>
        </w:rPr>
        <w:t>0％；</w:t>
      </w:r>
    </w:p>
    <w:p w14:paraId="2C2A355D">
      <w:pPr>
        <w:pStyle w:val="43"/>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beforeAutospacing="0" w:after="0" w:afterAutospacing="0" w:line="600" w:lineRule="exact"/>
        <w:ind w:firstLine="480" w:firstLineChars="200"/>
        <w:textAlignment w:val="auto"/>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（4）</w:t>
      </w:r>
      <w:r>
        <w:rPr>
          <w:rFonts w:hint="default" w:ascii="Times New Roman" w:hAnsi="Times New Roman" w:cs="Times New Roman"/>
          <w:color w:val="auto"/>
          <w:szCs w:val="24"/>
          <w:highlight w:val="none"/>
          <w:lang w:val="en-US" w:eastAsia="zh-CN"/>
        </w:rPr>
        <w:t>免费维护到期后，收到</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w:t>
      </w:r>
      <w:r>
        <w:rPr>
          <w:rFonts w:hint="default" w:ascii="Times New Roman" w:hAnsi="Times New Roman" w:cs="Times New Roman"/>
          <w:color w:val="auto"/>
          <w:szCs w:val="24"/>
          <w:highlight w:val="none"/>
          <w:lang w:val="en-US" w:eastAsia="zh-CN"/>
        </w:rPr>
        <w:t>开具的正式发票30个工作日内，支付项目合同总价的10%。</w:t>
      </w:r>
    </w:p>
    <w:p w14:paraId="365EE81D">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bookmarkStart w:id="68" w:name="_Toc89675150"/>
      <w:bookmarkStart w:id="69" w:name="_Toc15059424"/>
      <w:r>
        <w:rPr>
          <w:rFonts w:hint="eastAsia" w:ascii="Times New Roman" w:hAnsi="Times New Roman" w:cs="Times New Roman"/>
          <w:b/>
          <w:bCs w:val="0"/>
          <w:color w:val="auto"/>
          <w:sz w:val="24"/>
          <w:szCs w:val="24"/>
          <w:highlight w:val="none"/>
          <w:lang w:val="en-US" w:eastAsia="zh-CN"/>
        </w:rPr>
        <w:t xml:space="preserve">3.6 </w:t>
      </w:r>
      <w:r>
        <w:rPr>
          <w:rFonts w:hint="default" w:ascii="Times New Roman" w:hAnsi="Times New Roman" w:cs="Times New Roman"/>
          <w:b/>
          <w:bCs w:val="0"/>
          <w:color w:val="auto"/>
          <w:sz w:val="24"/>
          <w:szCs w:val="24"/>
          <w:highlight w:val="none"/>
          <w:lang w:val="en-US" w:eastAsia="zh-CN"/>
        </w:rPr>
        <w:t>保密条款</w:t>
      </w:r>
      <w:bookmarkEnd w:id="62"/>
      <w:bookmarkEnd w:id="63"/>
      <w:bookmarkEnd w:id="64"/>
      <w:bookmarkEnd w:id="65"/>
      <w:bookmarkEnd w:id="68"/>
      <w:bookmarkEnd w:id="69"/>
    </w:p>
    <w:p w14:paraId="238AB98A">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3.6.1 </w:t>
      </w:r>
      <w:r>
        <w:rPr>
          <w:rFonts w:hint="default" w:ascii="Times New Roman" w:hAnsi="Times New Roman" w:cs="Times New Roman"/>
          <w:b/>
          <w:bCs w:val="0"/>
          <w:color w:val="auto"/>
          <w:highlight w:val="none"/>
          <w:lang w:val="en-US" w:eastAsia="zh-CN"/>
        </w:rPr>
        <w:t>保密范围</w:t>
      </w:r>
    </w:p>
    <w:p w14:paraId="12417773">
      <w:pP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人在实施过程中接触到的比选人知识产权、经营信息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文档、数据</w:t>
      </w:r>
      <w:r>
        <w:rPr>
          <w:rFonts w:hint="default" w:ascii="Times New Roman" w:hAnsi="Times New Roman" w:cs="Times New Roman"/>
          <w:color w:val="auto"/>
          <w:highlight w:val="none"/>
        </w:rPr>
        <w:t>等。</w:t>
      </w:r>
    </w:p>
    <w:p w14:paraId="260F1E35">
      <w:pPr>
        <w:pStyle w:val="5"/>
        <w:keepNext w:val="0"/>
        <w:keepLines w:val="0"/>
        <w:pageBreakBefore w:val="0"/>
        <w:widowControl w:val="0"/>
        <w:kinsoku/>
        <w:wordWrap/>
        <w:overflowPunct/>
        <w:topLinePunct w:val="0"/>
        <w:autoSpaceDE w:val="0"/>
        <w:autoSpaceDN w:val="0"/>
        <w:bidi w:val="0"/>
        <w:adjustRightInd/>
        <w:snapToGrid/>
        <w:spacing w:beforeAutospacing="0" w:afterAutospacing="0"/>
        <w:ind w:firstLine="482" w:firstLineChars="200"/>
        <w:textAlignment w:val="auto"/>
        <w:outlineLvl w:val="3"/>
        <w:rPr>
          <w:rFonts w:hint="default" w:ascii="Times New Roman" w:hAnsi="Times New Roman" w:cs="Times New Roman"/>
          <w:b/>
          <w:bCs w:val="0"/>
          <w:color w:val="auto"/>
          <w:highlight w:val="none"/>
          <w:lang w:val="en-US" w:eastAsia="zh-CN"/>
        </w:rPr>
      </w:pPr>
      <w:r>
        <w:rPr>
          <w:rFonts w:hint="eastAsia" w:ascii="Times New Roman" w:hAnsi="Times New Roman" w:cs="Times New Roman"/>
          <w:b/>
          <w:bCs w:val="0"/>
          <w:color w:val="auto"/>
          <w:highlight w:val="none"/>
          <w:lang w:val="en-US" w:eastAsia="zh-CN"/>
        </w:rPr>
        <w:t xml:space="preserve">3.6.2 </w:t>
      </w:r>
      <w:r>
        <w:rPr>
          <w:rFonts w:hint="default" w:ascii="Times New Roman" w:hAnsi="Times New Roman" w:cs="Times New Roman"/>
          <w:b/>
          <w:bCs w:val="0"/>
          <w:color w:val="auto"/>
          <w:highlight w:val="none"/>
          <w:lang w:val="en-US" w:eastAsia="zh-CN"/>
        </w:rPr>
        <w:t>保密责任</w:t>
      </w:r>
    </w:p>
    <w:p w14:paraId="449CA836">
      <w:pPr>
        <w:rPr>
          <w:rFonts w:hint="default" w:ascii="Times New Roman" w:hAnsi="Times New Roman" w:cs="Times New Roman"/>
          <w:color w:val="auto"/>
          <w:highlight w:val="none"/>
        </w:rPr>
      </w:pPr>
      <w:r>
        <w:rPr>
          <w:rFonts w:hint="default" w:ascii="Times New Roman" w:hAnsi="Times New Roman" w:cs="Times New Roman"/>
          <w:color w:val="auto"/>
          <w:highlight w:val="none"/>
        </w:rPr>
        <w:t>双方互为保密资料的提供方和接受方，负有保密义务，承担保密责任。除经过双方书面同意，任何一方不得将有关内容提供给合同以外的第三人。</w:t>
      </w:r>
    </w:p>
    <w:p w14:paraId="1B50F709">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 xml:space="preserve">3.7 </w:t>
      </w:r>
      <w:r>
        <w:rPr>
          <w:rFonts w:hint="default" w:ascii="Times New Roman" w:hAnsi="Times New Roman" w:cs="Times New Roman"/>
          <w:b/>
          <w:bCs w:val="0"/>
          <w:color w:val="auto"/>
          <w:sz w:val="24"/>
          <w:szCs w:val="24"/>
          <w:highlight w:val="none"/>
          <w:lang w:val="en-US" w:eastAsia="zh-CN"/>
        </w:rPr>
        <w:t>报价要求</w:t>
      </w:r>
    </w:p>
    <w:p w14:paraId="66FD0DAD">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参选人应严格按照《参选文件格式》的</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的格式认真填写。</w:t>
      </w:r>
    </w:p>
    <w:p w14:paraId="3337060C">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bookmarkStart w:id="70" w:name="_Toc89675152"/>
      <w:bookmarkStart w:id="71" w:name="_Toc15059426"/>
      <w:r>
        <w:rPr>
          <w:rFonts w:hint="eastAsia" w:ascii="Times New Roman" w:hAnsi="Times New Roman" w:cs="Times New Roman"/>
          <w:b/>
          <w:bCs w:val="0"/>
          <w:color w:val="auto"/>
          <w:sz w:val="24"/>
          <w:szCs w:val="24"/>
          <w:highlight w:val="none"/>
          <w:lang w:val="en-US" w:eastAsia="zh-CN"/>
        </w:rPr>
        <w:t xml:space="preserve">3.8 </w:t>
      </w:r>
      <w:r>
        <w:rPr>
          <w:rFonts w:hint="default" w:ascii="Times New Roman" w:hAnsi="Times New Roman" w:cs="Times New Roman"/>
          <w:b/>
          <w:bCs w:val="0"/>
          <w:color w:val="auto"/>
          <w:sz w:val="24"/>
          <w:szCs w:val="24"/>
          <w:highlight w:val="none"/>
          <w:lang w:val="en-US" w:eastAsia="zh-CN"/>
        </w:rPr>
        <w:t>知识产权</w:t>
      </w:r>
      <w:bookmarkEnd w:id="70"/>
      <w:bookmarkEnd w:id="71"/>
    </w:p>
    <w:p w14:paraId="71F1AF9C">
      <w:pP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提供的产品和服务以及在项目中用到的各种工具、产品、组件、文档不得侵犯任何方的知识产权和其他合法权益。不得侵犯比选人商誉，任何人未经比选人同意不得使用比选人合法所有的知识产权，由此造成的一切损失由</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人承担赔偿责任。如无特殊说明，本项目定制开发部分知识产权归比选人所有。</w:t>
      </w:r>
    </w:p>
    <w:p w14:paraId="24C78F2F">
      <w:pPr>
        <w:rPr>
          <w:rFonts w:hint="default" w:ascii="Times New Roman" w:hAnsi="Times New Roman" w:cs="Times New Roman"/>
          <w:color w:val="auto"/>
          <w:highlight w:val="none"/>
        </w:rPr>
      </w:pPr>
      <w:r>
        <w:rPr>
          <w:rFonts w:hint="default" w:ascii="Times New Roman" w:hAnsi="Times New Roman" w:cs="Times New Roman"/>
          <w:color w:val="auto"/>
          <w:highlight w:val="none"/>
        </w:rPr>
        <w:t>一经发现</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E69CDC8">
      <w:pPr>
        <w:pStyle w:val="4"/>
        <w:keepNext w:val="0"/>
        <w:keepLines w:val="0"/>
        <w:pageBreakBefore w:val="0"/>
        <w:widowControl w:val="0"/>
        <w:kinsoku/>
        <w:wordWrap/>
        <w:overflowPunct/>
        <w:topLinePunct w:val="0"/>
        <w:autoSpaceDE w:val="0"/>
        <w:autoSpaceDN w:val="0"/>
        <w:bidi w:val="0"/>
        <w:adjustRightInd/>
        <w:snapToGrid/>
        <w:spacing w:line="600" w:lineRule="exact"/>
        <w:ind w:firstLine="482" w:firstLineChars="200"/>
        <w:jc w:val="both"/>
        <w:textAlignment w:val="auto"/>
        <w:outlineLvl w:val="2"/>
        <w:rPr>
          <w:rFonts w:hint="default" w:ascii="Times New Roman" w:hAnsi="Times New Roman" w:cs="Times New Roman"/>
          <w:b/>
          <w:bCs w:val="0"/>
          <w:color w:val="auto"/>
          <w:sz w:val="24"/>
          <w:szCs w:val="24"/>
          <w:highlight w:val="none"/>
          <w:lang w:val="en-US" w:eastAsia="zh-CN"/>
        </w:rPr>
      </w:pPr>
      <w:bookmarkStart w:id="72" w:name="_Toc89675153"/>
      <w:bookmarkStart w:id="73" w:name="_Toc15059427"/>
      <w:r>
        <w:rPr>
          <w:rFonts w:hint="eastAsia" w:ascii="Times New Roman" w:hAnsi="Times New Roman" w:cs="Times New Roman"/>
          <w:b/>
          <w:bCs w:val="0"/>
          <w:color w:val="auto"/>
          <w:sz w:val="24"/>
          <w:szCs w:val="24"/>
          <w:highlight w:val="none"/>
          <w:lang w:val="en-US" w:eastAsia="zh-CN"/>
        </w:rPr>
        <w:t xml:space="preserve">3.9 </w:t>
      </w:r>
      <w:r>
        <w:rPr>
          <w:rFonts w:hint="default" w:ascii="Times New Roman" w:hAnsi="Times New Roman" w:cs="Times New Roman"/>
          <w:b/>
          <w:bCs w:val="0"/>
          <w:color w:val="auto"/>
          <w:sz w:val="24"/>
          <w:szCs w:val="24"/>
          <w:highlight w:val="none"/>
          <w:lang w:val="en-US" w:eastAsia="zh-CN"/>
        </w:rPr>
        <w:t>其他</w:t>
      </w:r>
      <w:bookmarkEnd w:id="72"/>
      <w:bookmarkEnd w:id="73"/>
    </w:p>
    <w:p w14:paraId="3360671D">
      <w:pP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1）参选人必须在</w:t>
      </w:r>
      <w:r>
        <w:rPr>
          <w:rFonts w:ascii="Times New Roman" w:hAnsi="Times New Roman" w:cs="Times New Roman"/>
          <w:color w:val="auto"/>
          <w:highlight w:val="none"/>
        </w:rPr>
        <w:t>响应承诺函中对本章内容做出整体承诺</w:t>
      </w:r>
      <w:r>
        <w:rPr>
          <w:rFonts w:hint="default" w:ascii="Times New Roman" w:hAnsi="Times New Roman" w:cs="Times New Roman"/>
          <w:color w:val="auto"/>
          <w:highlight w:val="none"/>
        </w:rPr>
        <w:t>，承诺内容必须达到本</w:t>
      </w:r>
      <w:r>
        <w:rPr>
          <w:rFonts w:hint="eastAsia" w:ascii="Times New Roman" w:hAnsi="Times New Roman" w:cs="Times New Roman"/>
          <w:color w:val="auto"/>
          <w:highlight w:val="none"/>
        </w:rPr>
        <w:t>章</w:t>
      </w:r>
      <w:r>
        <w:rPr>
          <w:rFonts w:hint="default" w:ascii="Times New Roman" w:hAnsi="Times New Roman" w:cs="Times New Roman"/>
          <w:color w:val="auto"/>
          <w:highlight w:val="none"/>
        </w:rPr>
        <w:t>及比选文件其他条款的要求</w:t>
      </w:r>
      <w:r>
        <w:rPr>
          <w:rFonts w:ascii="Times New Roman" w:hAnsi="Times New Roman" w:cs="Times New Roman"/>
          <w:color w:val="auto"/>
          <w:highlight w:val="none"/>
        </w:rPr>
        <w:t>。</w:t>
      </w:r>
    </w:p>
    <w:p w14:paraId="0EB4D64C">
      <w:pPr>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2</w:t>
      </w:r>
      <w:r>
        <w:rPr>
          <w:rFonts w:ascii="Times New Roman" w:hAnsi="Times New Roman" w:cs="Times New Roman"/>
          <w:color w:val="auto"/>
          <w:highlight w:val="none"/>
        </w:rPr>
        <w:t>）参选人应根据本章内容和要求，提供对应材料，内容齐全，无遗漏。</w:t>
      </w:r>
    </w:p>
    <w:p w14:paraId="2297230D">
      <w:pPr>
        <w:rPr>
          <w:rFonts w:hint="default" w:ascii="Times New Roman" w:hAnsi="Times New Roman" w:cs="Times New Roman"/>
          <w:snapToGrid w:val="0"/>
          <w:color w:val="auto"/>
          <w:kern w:val="0"/>
          <w:szCs w:val="24"/>
          <w:highlight w:val="none"/>
        </w:rPr>
      </w:pP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3</w:t>
      </w:r>
      <w:r>
        <w:rPr>
          <w:rFonts w:hint="default" w:ascii="Times New Roman" w:hAnsi="Times New Roman" w:cs="Times New Roman"/>
          <w:color w:val="auto"/>
          <w:highlight w:val="none"/>
        </w:rPr>
        <w:t>）其他未尽事宜由供需双方在合同中详细约定。</w:t>
      </w:r>
    </w:p>
    <w:p w14:paraId="1B76DA60">
      <w:pPr>
        <w:snapToGrid w:val="0"/>
        <w:spacing w:line="360" w:lineRule="auto"/>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br w:type="page"/>
      </w:r>
    </w:p>
    <w:p w14:paraId="50E62246">
      <w:pPr>
        <w:pStyle w:val="3"/>
        <w:keepNext w:val="0"/>
        <w:keepLines w:val="0"/>
        <w:pageBreakBefore w:val="0"/>
        <w:widowControl w:val="0"/>
        <w:tabs>
          <w:tab w:val="left" w:pos="3360"/>
        </w:tabs>
        <w:kinsoku/>
        <w:wordWrap/>
        <w:overflowPunct/>
        <w:topLinePunct w:val="0"/>
        <w:autoSpaceDE w:val="0"/>
        <w:autoSpaceDN w:val="0"/>
        <w:bidi w:val="0"/>
        <w:adjustRightInd/>
        <w:snapToGrid w:val="0"/>
        <w:jc w:val="left"/>
        <w:textAlignment w:val="auto"/>
        <w:outlineLvl w:val="1"/>
        <w:rPr>
          <w:rFonts w:hint="default" w:ascii="Times New Roman" w:hAnsi="Times New Roman" w:eastAsia="宋体" w:cs="Times New Roman"/>
          <w:color w:val="auto"/>
          <w:sz w:val="44"/>
          <w:szCs w:val="44"/>
          <w:highlight w:val="none"/>
          <w:lang w:val="en-US" w:eastAsia="zh-CN"/>
        </w:rPr>
      </w:pPr>
      <w:bookmarkStart w:id="74" w:name="_Toc29189"/>
      <w:r>
        <w:rPr>
          <w:rFonts w:hint="eastAsia" w:ascii="Times New Roman" w:hAnsi="Times New Roman" w:eastAsia="宋体" w:cs="Times New Roman"/>
          <w:color w:val="auto"/>
          <w:sz w:val="44"/>
          <w:szCs w:val="44"/>
          <w:highlight w:val="none"/>
          <w:lang w:val="en-US" w:eastAsia="zh-CN"/>
        </w:rPr>
        <w:t>附件一</w:t>
      </w:r>
    </w:p>
    <w:p w14:paraId="508A0094">
      <w:pPr>
        <w:keepNext w:val="0"/>
        <w:keepLines w:val="0"/>
        <w:pageBreakBefore w:val="0"/>
        <w:widowControl w:val="0"/>
        <w:kinsoku/>
        <w:wordWrap/>
        <w:overflowPunct/>
        <w:topLinePunct w:val="0"/>
        <w:autoSpaceDE w:val="0"/>
        <w:autoSpaceDN w:val="0"/>
        <w:bidi w:val="0"/>
        <w:adjustRightInd/>
        <w:snapToGrid/>
        <w:textAlignment w:val="auto"/>
        <w:outlineLvl w:val="9"/>
        <w:rPr>
          <w:rFonts w:hint="default"/>
          <w:color w:val="auto"/>
          <w:highlight w:val="none"/>
          <w:lang w:val="en-US" w:eastAsia="zh-CN"/>
        </w:rPr>
      </w:pPr>
    </w:p>
    <w:p w14:paraId="21F5B5E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宋体" w:eastAsia="宋体" w:cs="宋体"/>
          <w:b/>
          <w:bCs/>
          <w:snapToGrid w:val="0"/>
          <w:color w:val="auto"/>
          <w:kern w:val="0"/>
          <w:sz w:val="36"/>
          <w:szCs w:val="36"/>
          <w:highlight w:val="none"/>
          <w:shd w:val="clear" w:color="auto" w:fill="auto"/>
          <w:lang w:val="en-US" w:eastAsia="zh-CN"/>
        </w:rPr>
      </w:pPr>
      <w:r>
        <w:rPr>
          <w:rFonts w:hint="default" w:ascii="Times New Roman" w:hAnsi="Times New Roman" w:eastAsia="宋体" w:cs="Times New Roman"/>
          <w:b/>
          <w:bCs/>
          <w:snapToGrid w:val="0"/>
          <w:color w:val="auto"/>
          <w:kern w:val="0"/>
          <w:sz w:val="36"/>
          <w:szCs w:val="36"/>
          <w:highlight w:val="none"/>
          <w:shd w:val="clear" w:color="auto" w:fill="auto"/>
          <w:lang w:val="en-US" w:eastAsia="zh-CN"/>
        </w:rPr>
        <w:t>报名</w:t>
      </w:r>
      <w:r>
        <w:rPr>
          <w:rFonts w:hint="eastAsia" w:ascii="宋体" w:eastAsia="宋体" w:cs="宋体"/>
          <w:b/>
          <w:bCs/>
          <w:snapToGrid w:val="0"/>
          <w:color w:val="auto"/>
          <w:kern w:val="0"/>
          <w:sz w:val="36"/>
          <w:szCs w:val="36"/>
          <w:highlight w:val="none"/>
          <w:shd w:val="clear" w:color="auto" w:fill="auto"/>
          <w:lang w:val="en-US" w:eastAsia="zh-CN"/>
        </w:rPr>
        <w:t>函</w:t>
      </w:r>
    </w:p>
    <w:p w14:paraId="6E33693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napToGrid w:val="0"/>
          <w:color w:val="auto"/>
          <w:kern w:val="0"/>
          <w:sz w:val="24"/>
          <w:szCs w:val="24"/>
          <w:highlight w:val="none"/>
          <w:shd w:val="clear" w:color="auto" w:fill="auto"/>
          <w:lang w:val="en-US" w:eastAsia="zh-CN"/>
        </w:rPr>
      </w:pPr>
      <w:r>
        <w:rPr>
          <w:rFonts w:hint="default" w:ascii="Times New Roman" w:hAnsi="Times New Roman" w:eastAsia="宋体" w:cs="Times New Roman"/>
          <w:snapToGrid w:val="0"/>
          <w:color w:val="auto"/>
          <w:kern w:val="0"/>
          <w:sz w:val="24"/>
          <w:szCs w:val="24"/>
          <w:highlight w:val="none"/>
          <w:shd w:val="clear" w:color="auto" w:fill="auto"/>
          <w:lang w:val="en-US" w:eastAsia="zh-CN"/>
        </w:rPr>
        <w:t>重庆三峡银行股份有限公司：</w:t>
      </w:r>
    </w:p>
    <w:p w14:paraId="250EF62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宋体" w:cs="Times New Roman"/>
          <w:snapToGrid w:val="0"/>
          <w:color w:val="auto"/>
          <w:kern w:val="0"/>
          <w:sz w:val="24"/>
          <w:szCs w:val="24"/>
          <w:highlight w:val="none"/>
          <w:shd w:val="clear" w:color="auto" w:fill="auto"/>
          <w:lang w:val="en-US" w:eastAsia="zh-CN"/>
        </w:rPr>
      </w:pPr>
      <w:r>
        <w:rPr>
          <w:rFonts w:hint="default" w:ascii="Times New Roman" w:hAnsi="Times New Roman" w:eastAsia="宋体" w:cs="Times New Roman"/>
          <w:snapToGrid w:val="0"/>
          <w:color w:val="auto"/>
          <w:kern w:val="0"/>
          <w:sz w:val="24"/>
          <w:szCs w:val="24"/>
          <w:highlight w:val="none"/>
          <w:shd w:val="clear" w:color="auto" w:fill="auto"/>
          <w:lang w:val="en-US" w:eastAsia="zh-CN"/>
        </w:rPr>
        <w:t>我单位报名参加</w:t>
      </w:r>
      <w:r>
        <w:rPr>
          <w:rFonts w:hint="eastAsia" w:ascii="Times New Roman" w:hAnsi="Times New Roman" w:eastAsia="宋体" w:cs="Times New Roman"/>
          <w:snapToGrid w:val="0"/>
          <w:color w:val="auto"/>
          <w:kern w:val="0"/>
          <w:sz w:val="24"/>
          <w:szCs w:val="24"/>
          <w:highlight w:val="none"/>
          <w:shd w:val="clear" w:color="auto" w:fill="auto"/>
          <w:lang w:val="en-US" w:eastAsia="zh-CN"/>
        </w:rPr>
        <w:t>“</w:t>
      </w:r>
      <w:r>
        <w:rPr>
          <w:rFonts w:hint="default" w:ascii="Times New Roman" w:hAnsi="Times New Roman" w:eastAsia="宋体" w:cs="Times New Roman"/>
          <w:snapToGrid w:val="0"/>
          <w:color w:val="auto"/>
          <w:kern w:val="0"/>
          <w:sz w:val="24"/>
          <w:szCs w:val="24"/>
          <w:highlight w:val="none"/>
          <w:shd w:val="clear" w:color="auto" w:fill="auto"/>
          <w:lang w:val="en-US" w:eastAsia="zh-CN"/>
        </w:rPr>
        <w:t>重庆三峡银行新一代数据中台项目（一期）</w:t>
      </w:r>
      <w:r>
        <w:rPr>
          <w:rFonts w:hint="eastAsia" w:ascii="Times New Roman" w:hAnsi="Times New Roman" w:eastAsia="宋体" w:cs="Times New Roman"/>
          <w:snapToGrid w:val="0"/>
          <w:color w:val="auto"/>
          <w:kern w:val="0"/>
          <w:sz w:val="24"/>
          <w:szCs w:val="24"/>
          <w:highlight w:val="none"/>
          <w:shd w:val="clear" w:color="auto" w:fill="auto"/>
          <w:lang w:val="en-US" w:eastAsia="zh-CN"/>
        </w:rPr>
        <w:t>”</w:t>
      </w:r>
      <w:r>
        <w:rPr>
          <w:rFonts w:hint="default" w:ascii="Times New Roman" w:hAnsi="Times New Roman" w:eastAsia="宋体" w:cs="Times New Roman"/>
          <w:snapToGrid w:val="0"/>
          <w:color w:val="auto"/>
          <w:kern w:val="0"/>
          <w:sz w:val="24"/>
          <w:szCs w:val="24"/>
          <w:highlight w:val="none"/>
          <w:shd w:val="clear" w:color="auto" w:fill="auto"/>
          <w:lang w:val="en-US" w:eastAsia="zh-CN"/>
        </w:rPr>
        <w:t>，将根据比选文件要求，完成本项目POC测试及比选文件递交等项目流程</w:t>
      </w:r>
      <w:r>
        <w:rPr>
          <w:rFonts w:hint="eastAsia" w:ascii="Times New Roman" w:hAnsi="Times New Roman" w:cs="Times New Roman"/>
          <w:snapToGrid w:val="0"/>
          <w:color w:val="auto"/>
          <w:kern w:val="0"/>
          <w:sz w:val="24"/>
          <w:szCs w:val="24"/>
          <w:highlight w:val="none"/>
          <w:shd w:val="clear" w:color="auto" w:fill="auto"/>
          <w:lang w:val="en-US" w:eastAsia="zh-CN"/>
        </w:rPr>
        <w:t>，并承诺本次POC所提供的产品与最终参选提供的产品完全一致</w:t>
      </w:r>
      <w:r>
        <w:rPr>
          <w:rFonts w:hint="default" w:ascii="Times New Roman" w:hAnsi="Times New Roman" w:eastAsia="宋体" w:cs="Times New Roman"/>
          <w:snapToGrid w:val="0"/>
          <w:color w:val="auto"/>
          <w:kern w:val="0"/>
          <w:sz w:val="24"/>
          <w:szCs w:val="24"/>
          <w:highlight w:val="none"/>
          <w:shd w:val="clear" w:color="auto" w:fill="auto"/>
          <w:lang w:val="en-US" w:eastAsia="zh-CN"/>
        </w:rPr>
        <w:t>。</w:t>
      </w:r>
    </w:p>
    <w:p w14:paraId="581B369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eastAsia" w:ascii="宋体" w:eastAsia="宋体" w:cs="宋体"/>
          <w:snapToGrid w:val="0"/>
          <w:color w:val="auto"/>
          <w:kern w:val="0"/>
          <w:sz w:val="24"/>
          <w:szCs w:val="24"/>
          <w:highlight w:val="none"/>
          <w:shd w:val="clear" w:color="auto" w:fill="auto"/>
          <w:lang w:val="en-US" w:eastAsia="zh-CN"/>
        </w:rPr>
      </w:pPr>
    </w:p>
    <w:p w14:paraId="5C2A7DB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eastAsia" w:ascii="宋体" w:eastAsia="宋体" w:cs="宋体"/>
          <w:snapToGrid w:val="0"/>
          <w:color w:val="auto"/>
          <w:kern w:val="0"/>
          <w:sz w:val="24"/>
          <w:szCs w:val="24"/>
          <w:highlight w:val="none"/>
          <w:shd w:val="clear" w:color="auto" w:fill="auto"/>
          <w:lang w:val="en-US" w:eastAsia="zh-CN"/>
        </w:rPr>
      </w:pPr>
    </w:p>
    <w:p w14:paraId="4BFBA54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eastAsia" w:ascii="宋体" w:eastAsia="宋体" w:cs="宋体"/>
          <w:snapToGrid w:val="0"/>
          <w:color w:val="auto"/>
          <w:kern w:val="0"/>
          <w:sz w:val="24"/>
          <w:szCs w:val="24"/>
          <w:highlight w:val="none"/>
          <w:shd w:val="clear" w:color="auto" w:fill="auto"/>
          <w:lang w:val="en-US" w:eastAsia="zh-CN"/>
        </w:rPr>
      </w:pPr>
    </w:p>
    <w:p w14:paraId="4EC4AA4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宋体" w:cs="Times New Roman"/>
          <w:snapToGrid w:val="0"/>
          <w:color w:val="auto"/>
          <w:kern w:val="0"/>
          <w:sz w:val="24"/>
          <w:szCs w:val="24"/>
          <w:highlight w:val="none"/>
          <w:shd w:val="clear" w:color="auto" w:fill="auto"/>
          <w:lang w:val="en-US" w:eastAsia="zh-CN"/>
        </w:rPr>
      </w:pPr>
      <w:r>
        <w:rPr>
          <w:rFonts w:hint="eastAsia" w:ascii="宋体" w:cs="宋体"/>
          <w:snapToGrid w:val="0"/>
          <w:color w:val="auto"/>
          <w:kern w:val="0"/>
          <w:sz w:val="24"/>
          <w:szCs w:val="24"/>
          <w:highlight w:val="none"/>
          <w:shd w:val="clear" w:color="auto" w:fill="auto"/>
          <w:lang w:val="en-US" w:eastAsia="zh-CN"/>
        </w:rPr>
        <w:t xml:space="preserve">                      </w:t>
      </w:r>
      <w:r>
        <w:rPr>
          <w:rFonts w:hint="default" w:ascii="Times New Roman" w:hAnsi="Times New Roman" w:cs="Times New Roman"/>
          <w:snapToGrid w:val="0"/>
          <w:color w:val="auto"/>
          <w:kern w:val="0"/>
          <w:sz w:val="24"/>
          <w:szCs w:val="24"/>
          <w:highlight w:val="none"/>
          <w:shd w:val="clear" w:color="auto" w:fill="auto"/>
          <w:lang w:val="en-US" w:eastAsia="zh-CN"/>
        </w:rPr>
        <w:t xml:space="preserve">  </w:t>
      </w:r>
      <w:r>
        <w:rPr>
          <w:rFonts w:hint="default" w:ascii="Times New Roman" w:hAnsi="Times New Roman" w:eastAsia="宋体" w:cs="Times New Roman"/>
          <w:snapToGrid w:val="0"/>
          <w:color w:val="auto"/>
          <w:kern w:val="0"/>
          <w:sz w:val="24"/>
          <w:szCs w:val="24"/>
          <w:highlight w:val="none"/>
          <w:shd w:val="clear" w:color="auto" w:fill="auto"/>
          <w:lang w:val="en-US" w:eastAsia="zh-CN"/>
        </w:rPr>
        <w:t>单位名称（盖章）：</w:t>
      </w:r>
    </w:p>
    <w:p w14:paraId="0EDFFA8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cs="Times New Roman"/>
          <w:snapToGrid w:val="0"/>
          <w:color w:val="auto"/>
          <w:kern w:val="0"/>
          <w:sz w:val="24"/>
          <w:szCs w:val="24"/>
          <w:highlight w:val="none"/>
          <w:shd w:val="clear" w:color="auto" w:fill="auto"/>
          <w:lang w:val="en-US" w:eastAsia="zh-CN"/>
        </w:rPr>
      </w:pPr>
      <w:r>
        <w:rPr>
          <w:rFonts w:hint="default" w:ascii="Times New Roman" w:hAnsi="Times New Roman" w:cs="Times New Roman"/>
          <w:snapToGrid w:val="0"/>
          <w:color w:val="auto"/>
          <w:kern w:val="0"/>
          <w:sz w:val="24"/>
          <w:szCs w:val="24"/>
          <w:highlight w:val="none"/>
          <w:shd w:val="clear" w:color="auto" w:fill="auto"/>
          <w:lang w:val="en-US" w:eastAsia="zh-CN"/>
        </w:rPr>
        <w:t xml:space="preserve">                                  联系人：</w:t>
      </w:r>
    </w:p>
    <w:p w14:paraId="0C5E774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cs="Times New Roman"/>
          <w:snapToGrid w:val="0"/>
          <w:color w:val="auto"/>
          <w:kern w:val="0"/>
          <w:sz w:val="24"/>
          <w:szCs w:val="24"/>
          <w:highlight w:val="none"/>
          <w:shd w:val="clear" w:color="auto" w:fill="auto"/>
          <w:lang w:val="en-US" w:eastAsia="zh-CN"/>
        </w:rPr>
      </w:pPr>
      <w:r>
        <w:rPr>
          <w:rFonts w:hint="default" w:ascii="Times New Roman" w:hAnsi="Times New Roman" w:cs="Times New Roman"/>
          <w:snapToGrid w:val="0"/>
          <w:color w:val="auto"/>
          <w:kern w:val="0"/>
          <w:sz w:val="24"/>
          <w:szCs w:val="24"/>
          <w:highlight w:val="none"/>
          <w:shd w:val="clear" w:color="auto" w:fill="auto"/>
          <w:lang w:val="en-US" w:eastAsia="zh-CN"/>
        </w:rPr>
        <w:t xml:space="preserve">                                联系电话：</w:t>
      </w:r>
    </w:p>
    <w:p w14:paraId="60D1FABC">
      <w:pPr>
        <w:keepNext w:val="0"/>
        <w:keepLines w:val="0"/>
        <w:pageBreakBefore w:val="0"/>
        <w:widowControl w:val="0"/>
        <w:kinsoku/>
        <w:wordWrap/>
        <w:overflowPunct/>
        <w:topLinePunct w:val="0"/>
        <w:autoSpaceDE/>
        <w:autoSpaceDN/>
        <w:bidi w:val="0"/>
        <w:adjustRightInd/>
        <w:snapToGrid/>
        <w:spacing w:line="600" w:lineRule="exact"/>
        <w:ind w:firstLine="5760" w:firstLineChars="2400"/>
        <w:jc w:val="both"/>
        <w:textAlignment w:val="auto"/>
        <w:rPr>
          <w:rFonts w:hint="default" w:ascii="Times New Roman" w:hAnsi="Times New Roman" w:eastAsia="宋体" w:cs="Times New Roman"/>
          <w:snapToGrid w:val="0"/>
          <w:color w:val="auto"/>
          <w:kern w:val="0"/>
          <w:sz w:val="24"/>
          <w:szCs w:val="24"/>
          <w:highlight w:val="none"/>
          <w:shd w:val="clear" w:color="auto" w:fill="auto"/>
          <w:lang w:val="en-US" w:eastAsia="zh-CN"/>
        </w:rPr>
      </w:pPr>
      <w:r>
        <w:rPr>
          <w:rFonts w:hint="default" w:ascii="Times New Roman" w:hAnsi="Times New Roman" w:eastAsia="宋体" w:cs="Times New Roman"/>
          <w:snapToGrid w:val="0"/>
          <w:color w:val="auto"/>
          <w:kern w:val="0"/>
          <w:sz w:val="24"/>
          <w:szCs w:val="24"/>
          <w:highlight w:val="none"/>
          <w:shd w:val="clear" w:color="auto" w:fill="auto"/>
          <w:lang w:val="en-US" w:eastAsia="zh-CN"/>
        </w:rPr>
        <w:t>202</w:t>
      </w:r>
      <w:r>
        <w:rPr>
          <w:rFonts w:hint="default" w:ascii="Times New Roman" w:hAnsi="Times New Roman" w:cs="Times New Roman"/>
          <w:snapToGrid w:val="0"/>
          <w:color w:val="auto"/>
          <w:kern w:val="0"/>
          <w:sz w:val="24"/>
          <w:szCs w:val="24"/>
          <w:highlight w:val="none"/>
          <w:shd w:val="clear" w:color="auto" w:fill="auto"/>
          <w:lang w:val="en-US" w:eastAsia="zh-CN"/>
        </w:rPr>
        <w:t>4</w:t>
      </w:r>
      <w:r>
        <w:rPr>
          <w:rFonts w:hint="default" w:ascii="Times New Roman" w:hAnsi="Times New Roman" w:eastAsia="宋体" w:cs="Times New Roman"/>
          <w:snapToGrid w:val="0"/>
          <w:color w:val="auto"/>
          <w:kern w:val="0"/>
          <w:sz w:val="24"/>
          <w:szCs w:val="24"/>
          <w:highlight w:val="none"/>
          <w:shd w:val="clear" w:color="auto" w:fill="auto"/>
          <w:lang w:val="en-US" w:eastAsia="zh-CN"/>
        </w:rPr>
        <w:t>年  月  日</w:t>
      </w:r>
    </w:p>
    <w:p w14:paraId="1AD7DF06">
      <w:pPr>
        <w:pStyle w:val="2"/>
        <w:jc w:val="left"/>
        <w:rPr>
          <w:rFonts w:hint="eastAsia" w:ascii="Times New Roman" w:hAnsi="Times New Roman" w:cs="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3F83535">
      <w:pPr>
        <w:pStyle w:val="3"/>
        <w:keepNext w:val="0"/>
        <w:keepLines w:val="0"/>
        <w:pageBreakBefore w:val="0"/>
        <w:widowControl w:val="0"/>
        <w:tabs>
          <w:tab w:val="left" w:pos="3360"/>
        </w:tabs>
        <w:kinsoku/>
        <w:wordWrap/>
        <w:overflowPunct/>
        <w:topLinePunct w:val="0"/>
        <w:autoSpaceDE w:val="0"/>
        <w:autoSpaceDN w:val="0"/>
        <w:bidi w:val="0"/>
        <w:adjustRightInd/>
        <w:snapToGrid w:val="0"/>
        <w:jc w:val="left"/>
        <w:textAlignment w:val="auto"/>
        <w:outlineLvl w:val="1"/>
        <w:rPr>
          <w:rFonts w:hint="default" w:ascii="Times New Roman" w:hAnsi="Times New Roman" w:cs="Times New Roman"/>
          <w:color w:val="auto"/>
          <w:sz w:val="44"/>
          <w:szCs w:val="44"/>
          <w:highlight w:val="none"/>
          <w:lang w:val="en-US" w:eastAsia="zh-CN"/>
        </w:rPr>
      </w:pPr>
      <w:r>
        <w:rPr>
          <w:rFonts w:hint="eastAsia" w:ascii="Times New Roman" w:hAnsi="Times New Roman" w:cs="Times New Roman"/>
          <w:color w:val="auto"/>
          <w:sz w:val="44"/>
          <w:szCs w:val="44"/>
          <w:highlight w:val="none"/>
          <w:lang w:val="en-US" w:eastAsia="zh-CN"/>
        </w:rPr>
        <w:t>附件二</w:t>
      </w:r>
    </w:p>
    <w:p w14:paraId="787BF5DF">
      <w:pPr>
        <w:rPr>
          <w:rFonts w:hint="eastAsia" w:ascii="宋体" w:hAnsi="宋体" w:eastAsia="宋体" w:cs="宋体"/>
          <w:color w:val="auto"/>
          <w:sz w:val="48"/>
          <w:szCs w:val="48"/>
          <w:highlight w:val="none"/>
          <w:lang w:val="en-US" w:eastAsia="zh-CN"/>
        </w:rPr>
      </w:pPr>
    </w:p>
    <w:p w14:paraId="59B1FDBB">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rFonts w:hint="default" w:ascii="Times New Roman" w:hAnsi="Times New Roman" w:eastAsia="宋体" w:cs="Times New Roman"/>
          <w:b/>
          <w:bCs/>
          <w:color w:val="auto"/>
          <w:sz w:val="48"/>
          <w:szCs w:val="48"/>
          <w:highlight w:val="none"/>
        </w:rPr>
        <w:t>重庆三峡银行</w:t>
      </w:r>
    </w:p>
    <w:p w14:paraId="4714B182">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lang w:val="en-US" w:eastAsia="zh-CN"/>
        </w:rPr>
      </w:pPr>
      <w:r>
        <w:rPr>
          <w:rFonts w:hint="default" w:ascii="Times New Roman" w:hAnsi="Times New Roman" w:eastAsia="宋体" w:cs="Times New Roman"/>
          <w:b/>
          <w:bCs/>
          <w:color w:val="auto"/>
          <w:sz w:val="48"/>
          <w:szCs w:val="48"/>
          <w:highlight w:val="none"/>
          <w:lang w:val="en-US" w:eastAsia="zh-CN"/>
        </w:rPr>
        <w:t>新一代数据中台项目（一期）</w:t>
      </w:r>
    </w:p>
    <w:p w14:paraId="40AFADCE">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rFonts w:hint="default" w:ascii="Times New Roman" w:hAnsi="Times New Roman" w:eastAsia="宋体" w:cs="Times New Roman"/>
          <w:b/>
          <w:bCs/>
          <w:color w:val="auto"/>
          <w:sz w:val="48"/>
          <w:szCs w:val="48"/>
          <w:highlight w:val="none"/>
        </w:rPr>
        <w:t>POC</w:t>
      </w:r>
      <w:r>
        <w:rPr>
          <w:rFonts w:hint="eastAsia" w:ascii="Times New Roman" w:hAnsi="Times New Roman" w:cs="Times New Roman"/>
          <w:b/>
          <w:bCs/>
          <w:color w:val="auto"/>
          <w:sz w:val="48"/>
          <w:szCs w:val="48"/>
          <w:highlight w:val="none"/>
          <w:lang w:val="en-US" w:eastAsia="zh-CN"/>
        </w:rPr>
        <w:t>测试</w:t>
      </w:r>
      <w:r>
        <w:rPr>
          <w:rFonts w:hint="default" w:ascii="Times New Roman" w:hAnsi="Times New Roman" w:eastAsia="宋体" w:cs="Times New Roman"/>
          <w:b/>
          <w:bCs/>
          <w:color w:val="auto"/>
          <w:sz w:val="48"/>
          <w:szCs w:val="48"/>
          <w:highlight w:val="none"/>
        </w:rPr>
        <w:t>方案</w:t>
      </w:r>
    </w:p>
    <w:p w14:paraId="793B23C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default" w:ascii="Times New Roman" w:hAnsi="Times New Roman" w:eastAsia="宋体" w:cs="Times New Roman"/>
          <w:b/>
          <w:bCs/>
          <w:color w:val="auto"/>
          <w:sz w:val="48"/>
          <w:szCs w:val="48"/>
          <w:highlight w:val="none"/>
        </w:rPr>
      </w:pPr>
    </w:p>
    <w:p w14:paraId="2CB2B94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color w:val="auto"/>
          <w:highlight w:val="none"/>
        </w:rPr>
        <w:drawing>
          <wp:anchor distT="0" distB="0" distL="114300" distR="114300" simplePos="0" relativeHeight="251660288" behindDoc="0" locked="0" layoutInCell="1" allowOverlap="1">
            <wp:simplePos x="0" y="0"/>
            <wp:positionH relativeFrom="column">
              <wp:posOffset>1241425</wp:posOffset>
            </wp:positionH>
            <wp:positionV relativeFrom="paragraph">
              <wp:posOffset>90170</wp:posOffset>
            </wp:positionV>
            <wp:extent cx="2680970" cy="541655"/>
            <wp:effectExtent l="0" t="0" r="6985" b="0"/>
            <wp:wrapTopAndBottom/>
            <wp:docPr id="4" name="Picture 2" descr="https://www.ccqtgb.com/upload/cn/image/2021-08/col70/162830447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www.ccqtgb.com/upload/cn/image/2021-08/col70/1628304472124.png"/>
                    <pic:cNvPicPr>
                      <a:picLocks noChangeAspect="1" noChangeArrowheads="1"/>
                    </pic:cNvPicPr>
                  </pic:nvPicPr>
                  <pic:blipFill>
                    <a:blip r:embed="rId12">
                      <a:extLst>
                        <a:ext uri="{28A0092B-C50C-407E-A947-70E740481C1C}">
                          <a14:useLocalDpi xmlns:a14="http://schemas.microsoft.com/office/drawing/2010/main" val="0"/>
                        </a:ext>
                      </a:extLst>
                    </a:blip>
                    <a:srcRect r="31570" b="-7312"/>
                    <a:stretch>
                      <a:fillRect/>
                    </a:stretch>
                  </pic:blipFill>
                  <pic:spPr>
                    <a:xfrm>
                      <a:off x="0" y="0"/>
                      <a:ext cx="2680970" cy="541655"/>
                    </a:xfrm>
                    <a:prstGeom prst="rect">
                      <a:avLst/>
                    </a:prstGeom>
                    <a:noFill/>
                  </pic:spPr>
                </pic:pic>
              </a:graphicData>
            </a:graphic>
          </wp:anchor>
        </w:drawing>
      </w:r>
    </w:p>
    <w:p w14:paraId="7F067F4F">
      <w:pPr>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hint="default" w:ascii="Times New Roman" w:hAnsi="Times New Roman" w:eastAsia="宋体" w:cs="Times New Roman"/>
          <w:b/>
          <w:bCs/>
          <w:color w:val="auto"/>
          <w:sz w:val="48"/>
          <w:szCs w:val="4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C4C178B">
      <w:pPr>
        <w:pStyle w:val="4"/>
        <w:keepNext w:val="0"/>
        <w:keepLines w:val="0"/>
        <w:pageBreakBefore w:val="0"/>
        <w:widowControl w:val="0"/>
        <w:numPr>
          <w:ilvl w:val="0"/>
          <w:numId w:val="18"/>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POC测试目的</w:t>
      </w:r>
    </w:p>
    <w:p w14:paraId="05C16B0B">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次POC测试的目的是通过现场系统搭建以及客户化的系统演示，使比选人进一步了解和考察各参选人的产品和实施水平，评估各参选人的产品是否满足比选人业务和技术需求。通过对各参选人的POC测试结果综合比较，帮助比选人选择既能满足产品功能需求，同时具有优秀实施能力的厂商。</w:t>
      </w:r>
    </w:p>
    <w:p w14:paraId="27BFB1D7">
      <w:pPr>
        <w:pStyle w:val="4"/>
        <w:keepNext w:val="0"/>
        <w:keepLines w:val="0"/>
        <w:pageBreakBefore w:val="0"/>
        <w:widowControl w:val="0"/>
        <w:numPr>
          <w:ilvl w:val="0"/>
          <w:numId w:val="18"/>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POC测试原则</w:t>
      </w:r>
    </w:p>
    <w:p w14:paraId="2CA5599D">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本次POC工作的重点是在有限时间内测试参选人的产品和实施水平。因此，进行系统概念验证工作时需贯彻以下的原则：</w:t>
      </w:r>
    </w:p>
    <w:p w14:paraId="18522F37">
      <w:pPr>
        <w:numPr>
          <w:ilvl w:val="0"/>
          <w:numId w:val="19"/>
        </w:num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整个测试过程体现公平、公正、严密、严谨、严肃的原则；</w:t>
      </w:r>
    </w:p>
    <w:p w14:paraId="7B4B0CF8">
      <w:pPr>
        <w:numPr>
          <w:ilvl w:val="0"/>
          <w:numId w:val="19"/>
        </w:numPr>
        <w:ind w:left="0" w:leftChars="0"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测试硬件环境一致性原则，各方测试使用相同的硬件配置；</w:t>
      </w:r>
    </w:p>
    <w:p w14:paraId="01741B86">
      <w:pPr>
        <w:numPr>
          <w:ilvl w:val="0"/>
          <w:numId w:val="19"/>
        </w:numPr>
        <w:ind w:left="0" w:leftChars="0"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测试评价合理性原则，参选人制定合理的测试评分流程与评分细项，以客观事实为依据、实事求是表达测试结果；</w:t>
      </w:r>
    </w:p>
    <w:p w14:paraId="1E524B67">
      <w:pPr>
        <w:numPr>
          <w:ilvl w:val="0"/>
          <w:numId w:val="19"/>
        </w:numPr>
        <w:ind w:left="0" w:leftChars="0"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测试的内容需要涵盖本方案所涉及到的内容和功能点，而对于本方案中没有提及而参选人又认为非常重要的功能，可以在POC测试过程中进行适当的演示；</w:t>
      </w:r>
    </w:p>
    <w:p w14:paraId="57E46AEF">
      <w:pPr>
        <w:numPr>
          <w:ilvl w:val="0"/>
          <w:numId w:val="19"/>
        </w:numPr>
        <w:ind w:left="0" w:leftChars="0"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参选人应坚持客观、公平、公正的原则，严格遵守测试纪律，协同完成各项测试任务，并注意做好保密工作，未经我行许可，任何人不得擅自披露有关的测试情况和数据。</w:t>
      </w:r>
    </w:p>
    <w:p w14:paraId="6780A48B">
      <w:pPr>
        <w:pStyle w:val="4"/>
        <w:keepNext w:val="0"/>
        <w:keepLines w:val="0"/>
        <w:pageBreakBefore w:val="0"/>
        <w:widowControl w:val="0"/>
        <w:numPr>
          <w:ilvl w:val="0"/>
          <w:numId w:val="18"/>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POC测试安排</w:t>
      </w:r>
    </w:p>
    <w:p w14:paraId="3DA6D236">
      <w:pP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（一）POC测试报名</w:t>
      </w:r>
    </w:p>
    <w:p w14:paraId="2FB55E25">
      <w:pPr>
        <w:rPr>
          <w:rFonts w:hint="default" w:ascii="Times New Roman" w:hAnsi="Times New Roman" w:cs="Times New Roman"/>
          <w:b/>
          <w:bCs/>
          <w:color w:val="auto"/>
          <w:highlight w:val="none"/>
          <w:lang w:val="en-US" w:eastAsia="zh-CN"/>
        </w:rPr>
      </w:pPr>
      <w:r>
        <w:rPr>
          <w:rFonts w:hint="eastAsia" w:ascii="Times New Roman" w:hAnsi="Times New Roman" w:cs="Times New Roman"/>
          <w:color w:val="auto"/>
          <w:highlight w:val="none"/>
          <w:lang w:val="en-US" w:eastAsia="zh-CN"/>
        </w:rPr>
        <w:t>参选人需按照比选公告发布的报名方式进行报名，否则本次POC测试直接得0分。</w:t>
      </w:r>
    </w:p>
    <w:p w14:paraId="47FA60F6">
      <w:pP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（二）测试时间、地点</w:t>
      </w:r>
    </w:p>
    <w:p w14:paraId="3A9C7EC0">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本次POC测试实施时间根据项目实际情况安排，在比选前完成。参选人需在规定时间内完成相关POC测试案例的准备工作并向比选人进行演示，且仅有一次演示机会。</w:t>
      </w:r>
    </w:p>
    <w:p w14:paraId="31524742">
      <w:pPr>
        <w:numPr>
          <w:ilvl w:val="0"/>
          <w:numId w:val="20"/>
        </w:numP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时间</w:t>
      </w:r>
    </w:p>
    <w:p w14:paraId="70853FB8">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参选人需在10个工作日内完成所有POC测试内容（包括部署、联调、集成、配置、演示等工作），根据参选人准备情况，可提前向比选人进行演示。具体测试开始时间以比选人通知为准。</w:t>
      </w:r>
    </w:p>
    <w:p w14:paraId="79A17DCC">
      <w:pPr>
        <w:numPr>
          <w:ilvl w:val="0"/>
          <w:numId w:val="20"/>
        </w:numPr>
        <w:ind w:left="0" w:leftChars="0" w:firstLine="482" w:firstLineChars="20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地点</w:t>
      </w:r>
    </w:p>
    <w:p w14:paraId="791BB34E">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重庆三峡银行西永办公楼（重庆市沙坪坝区学城大道67号西永软件园2号楼）。</w:t>
      </w:r>
    </w:p>
    <w:p w14:paraId="2ED4955B">
      <w:pP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（三）POC测试环境</w:t>
      </w:r>
    </w:p>
    <w:p w14:paraId="473BCB2B">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本次POC测试比选人提供的基础环境如下表所示。若参选人有特殊需求，可</w:t>
      </w:r>
      <w:r>
        <w:rPr>
          <w:rFonts w:hint="eastAsia" w:ascii="Times New Roman" w:hAnsi="Times New Roman" w:cs="Times New Roman"/>
          <w:color w:val="auto"/>
          <w:highlight w:val="none"/>
          <w:lang w:val="en-US" w:eastAsia="zh-CN"/>
        </w:rPr>
        <w:t>额外</w:t>
      </w:r>
      <w:r>
        <w:rPr>
          <w:rFonts w:hint="eastAsia" w:ascii="Times New Roman" w:hAnsi="Times New Roman" w:eastAsia="宋体" w:cs="Times New Roman"/>
          <w:color w:val="auto"/>
          <w:highlight w:val="none"/>
          <w:lang w:val="en-US" w:eastAsia="zh-CN"/>
        </w:rPr>
        <w:t>自行准备满足比选人信创基线要求的相关设备，并在比选人指定地点、环境和规定时间内完成POC测试</w:t>
      </w:r>
      <w:r>
        <w:rPr>
          <w:rFonts w:hint="eastAsia" w:ascii="Times New Roman" w:hAnsi="Times New Roman" w:cs="Times New Roman"/>
          <w:color w:val="auto"/>
          <w:highlight w:val="none"/>
          <w:lang w:val="en-US" w:eastAsia="zh-CN"/>
        </w:rPr>
        <w:t>。</w:t>
      </w:r>
    </w:p>
    <w:p w14:paraId="29935FC2">
      <w:pPr>
        <w:keepNext w:val="0"/>
        <w:keepLines w:val="0"/>
        <w:pageBreakBefore w:val="0"/>
        <w:widowControl w:val="0"/>
        <w:kinsoku/>
        <w:wordWrap/>
        <w:overflowPunct/>
        <w:topLinePunct w:val="0"/>
        <w:autoSpaceDE w:val="0"/>
        <w:autoSpaceDN w:val="0"/>
        <w:bidi w:val="0"/>
        <w:adjustRightInd/>
        <w:snapToGrid/>
        <w:spacing w:after="157" w:afterLines="5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参选人</w:t>
      </w:r>
      <w:r>
        <w:rPr>
          <w:rFonts w:hint="eastAsia" w:ascii="Times New Roman" w:hAnsi="Times New Roman" w:eastAsia="宋体" w:cs="Times New Roman"/>
          <w:color w:val="auto"/>
          <w:highlight w:val="none"/>
          <w:lang w:val="en-US" w:eastAsia="zh-CN"/>
        </w:rPr>
        <w:t>需在正式开始测试前2天将本次测试所需的系统权限、数据库权限等基础要求提供给比选人，否则因此造成的测试进度影响由</w:t>
      </w:r>
      <w:r>
        <w:rPr>
          <w:rFonts w:hint="eastAsia" w:ascii="Times New Roman" w:hAnsi="Times New Roman" w:cs="Times New Roman"/>
          <w:color w:val="auto"/>
          <w:highlight w:val="none"/>
          <w:lang w:val="en-US" w:eastAsia="zh-CN"/>
        </w:rPr>
        <w:t>参选人</w:t>
      </w:r>
      <w:r>
        <w:rPr>
          <w:rFonts w:hint="eastAsia" w:ascii="Times New Roman" w:hAnsi="Times New Roman" w:eastAsia="宋体" w:cs="Times New Roman"/>
          <w:color w:val="auto"/>
          <w:highlight w:val="none"/>
          <w:lang w:val="en-US" w:eastAsia="zh-CN"/>
        </w:rPr>
        <w:t>自行负责。</w:t>
      </w:r>
    </w:p>
    <w:tbl>
      <w:tblPr>
        <w:tblStyle w:val="22"/>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67"/>
        <w:gridCol w:w="4872"/>
        <w:gridCol w:w="719"/>
        <w:gridCol w:w="884"/>
      </w:tblGrid>
      <w:tr w14:paraId="313B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shd w:val="clear" w:color="auto" w:fill="BEBEBE" w:themeFill="background1" w:themeFillShade="BF"/>
            <w:vAlign w:val="center"/>
          </w:tcPr>
          <w:p w14:paraId="3EEAB7BF">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eastAsia="宋体" w:cs="Times New Roman"/>
                <w:b/>
                <w:bCs/>
                <w:color w:val="auto"/>
                <w:kern w:val="0"/>
                <w:sz w:val="21"/>
                <w:szCs w:val="21"/>
                <w:highlight w:val="none"/>
                <w:lang w:val="en-US" w:eastAsia="zh-CN"/>
              </w:rPr>
              <w:t>类型</w:t>
            </w:r>
          </w:p>
        </w:tc>
        <w:tc>
          <w:tcPr>
            <w:tcW w:w="1167" w:type="dxa"/>
            <w:shd w:val="clear" w:color="auto" w:fill="BEBEBE" w:themeFill="background1" w:themeFillShade="BF"/>
            <w:vAlign w:val="center"/>
          </w:tcPr>
          <w:p w14:paraId="7AB815A6">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用途</w:t>
            </w:r>
          </w:p>
        </w:tc>
        <w:tc>
          <w:tcPr>
            <w:tcW w:w="4872" w:type="dxa"/>
            <w:shd w:val="clear" w:color="auto" w:fill="BEBEBE" w:themeFill="background1" w:themeFillShade="BF"/>
            <w:vAlign w:val="center"/>
          </w:tcPr>
          <w:p w14:paraId="4E1F5DB7">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软硬件配置</w:t>
            </w:r>
          </w:p>
        </w:tc>
        <w:tc>
          <w:tcPr>
            <w:tcW w:w="719" w:type="dxa"/>
            <w:shd w:val="clear" w:color="auto" w:fill="BEBEBE" w:themeFill="background1" w:themeFillShade="BF"/>
            <w:vAlign w:val="center"/>
          </w:tcPr>
          <w:p w14:paraId="27A4B612">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数量</w:t>
            </w:r>
          </w:p>
        </w:tc>
        <w:tc>
          <w:tcPr>
            <w:tcW w:w="884" w:type="dxa"/>
            <w:shd w:val="clear" w:color="auto" w:fill="BEBEBE" w:themeFill="background1" w:themeFillShade="BF"/>
            <w:vAlign w:val="center"/>
          </w:tcPr>
          <w:p w14:paraId="7E997861">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提供方</w:t>
            </w:r>
          </w:p>
        </w:tc>
      </w:tr>
      <w:tr w14:paraId="0CC1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shd w:val="clear" w:color="auto" w:fill="auto"/>
            <w:vAlign w:val="center"/>
          </w:tcPr>
          <w:p w14:paraId="3F61584C">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服务器</w:t>
            </w:r>
          </w:p>
        </w:tc>
        <w:tc>
          <w:tcPr>
            <w:tcW w:w="1167" w:type="dxa"/>
            <w:tcBorders>
              <w:top w:val="single" w:color="auto" w:sz="4" w:space="0"/>
              <w:left w:val="single" w:color="auto" w:sz="4" w:space="0"/>
              <w:right w:val="single" w:color="auto" w:sz="4" w:space="0"/>
            </w:tcBorders>
            <w:shd w:val="clear" w:color="auto" w:fill="auto"/>
            <w:vAlign w:val="center"/>
          </w:tcPr>
          <w:p w14:paraId="1D1CE028">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应用部署</w:t>
            </w:r>
          </w:p>
        </w:tc>
        <w:tc>
          <w:tcPr>
            <w:tcW w:w="4872" w:type="dxa"/>
            <w:tcBorders>
              <w:top w:val="single" w:color="auto" w:sz="4" w:space="0"/>
              <w:left w:val="single" w:color="auto" w:sz="4" w:space="0"/>
              <w:right w:val="single" w:color="auto" w:sz="4" w:space="0"/>
            </w:tcBorders>
            <w:shd w:val="clear" w:color="auto" w:fill="auto"/>
            <w:vAlign w:val="center"/>
          </w:tcPr>
          <w:p w14:paraId="4AA34F55">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操作系统：麒麟V10</w:t>
            </w:r>
            <w:r>
              <w:rPr>
                <w:rFonts w:hint="eastAsia" w:ascii="Times New Roman" w:hAnsi="Times New Roman" w:eastAsia="宋体" w:cs="Times New Roman"/>
                <w:color w:val="auto"/>
                <w:kern w:val="0"/>
                <w:sz w:val="21"/>
                <w:szCs w:val="21"/>
                <w:highlight w:val="none"/>
                <w:lang w:val="en-US" w:eastAsia="zh-CN"/>
              </w:rPr>
              <w:t xml:space="preserve"> SP3</w:t>
            </w:r>
          </w:p>
          <w:p w14:paraId="0DBA8322">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中间件：东方通</w:t>
            </w:r>
            <w:r>
              <w:rPr>
                <w:rFonts w:hint="eastAsia" w:ascii="Times New Roman" w:hAnsi="Times New Roman" w:eastAsia="宋体" w:cs="Times New Roman"/>
                <w:color w:val="auto"/>
                <w:kern w:val="0"/>
                <w:sz w:val="21"/>
                <w:szCs w:val="21"/>
                <w:highlight w:val="none"/>
                <w:lang w:val="en-US" w:eastAsia="zh-CN"/>
              </w:rPr>
              <w:t>7.0.4.9_M1</w:t>
            </w:r>
          </w:p>
          <w:p w14:paraId="4E653A68">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共有</w:t>
            </w:r>
            <w:r>
              <w:rPr>
                <w:rFonts w:hint="eastAsia" w:ascii="Times New Roman" w:hAnsi="Times New Roman"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种机器配置，具体如下：</w:t>
            </w:r>
          </w:p>
          <w:p w14:paraId="79958E98">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鲲鹏</w:t>
            </w:r>
            <w:r>
              <w:rPr>
                <w:rFonts w:hint="eastAsia" w:ascii="Times New Roman" w:hAnsi="Times New Roman" w:eastAsia="宋体"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lang w:val="en-US" w:eastAsia="zh-CN"/>
              </w:rPr>
              <w:t>台、96C/512G 2*960G SSD+10*1.92T SSD</w:t>
            </w:r>
            <w:r>
              <w:rPr>
                <w:rFonts w:hint="eastAsia" w:ascii="Times New Roman" w:hAnsi="Times New Roman" w:eastAsia="宋体" w:cs="Times New Roman"/>
                <w:color w:val="auto"/>
                <w:kern w:val="0"/>
                <w:sz w:val="21"/>
                <w:szCs w:val="21"/>
                <w:highlight w:val="none"/>
                <w:lang w:eastAsia="zh-CN"/>
              </w:rPr>
              <w:t>）、</w:t>
            </w:r>
          </w:p>
          <w:p w14:paraId="43D90337">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海光（</w:t>
            </w:r>
            <w:r>
              <w:rPr>
                <w:rFonts w:hint="eastAsia" w:ascii="Times New Roman" w:hAnsi="Times New Roman"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lang w:val="en-US" w:eastAsia="zh-CN"/>
              </w:rPr>
              <w:t>台、</w:t>
            </w:r>
            <w:r>
              <w:rPr>
                <w:rFonts w:hint="eastAsia" w:ascii="Times New Roman" w:hAnsi="Times New Roman" w:cs="Times New Roman"/>
                <w:color w:val="auto"/>
                <w:kern w:val="0"/>
                <w:sz w:val="21"/>
                <w:szCs w:val="21"/>
                <w:highlight w:val="none"/>
                <w:lang w:val="en-US" w:eastAsia="zh-CN"/>
              </w:rPr>
              <w:t>16</w:t>
            </w:r>
            <w:r>
              <w:rPr>
                <w:rFonts w:hint="eastAsia" w:ascii="Times New Roman" w:hAnsi="Times New Roman" w:eastAsia="宋体" w:cs="Times New Roman"/>
                <w:color w:val="auto"/>
                <w:kern w:val="0"/>
                <w:sz w:val="21"/>
                <w:szCs w:val="21"/>
                <w:highlight w:val="none"/>
                <w:lang w:val="en-US" w:eastAsia="zh-CN"/>
              </w:rPr>
              <w:t>C/</w:t>
            </w:r>
            <w:r>
              <w:rPr>
                <w:rFonts w:hint="eastAsia" w:ascii="Times New Roman" w:hAnsi="Times New Roman" w:cs="Times New Roman"/>
                <w:color w:val="auto"/>
                <w:kern w:val="0"/>
                <w:sz w:val="21"/>
                <w:szCs w:val="21"/>
                <w:highlight w:val="none"/>
                <w:lang w:val="en-US" w:eastAsia="zh-CN"/>
              </w:rPr>
              <w:t>64</w:t>
            </w:r>
            <w:r>
              <w:rPr>
                <w:rFonts w:hint="eastAsia" w:ascii="Times New Roman" w:hAnsi="Times New Roman" w:eastAsia="宋体" w:cs="Times New Roman"/>
                <w:color w:val="auto"/>
                <w:kern w:val="0"/>
                <w:sz w:val="21"/>
                <w:szCs w:val="21"/>
                <w:highlight w:val="none"/>
                <w:lang w:val="en-US" w:eastAsia="zh-CN"/>
              </w:rPr>
              <w:t xml:space="preserve">G </w:t>
            </w:r>
            <w:r>
              <w:rPr>
                <w:rFonts w:hint="eastAsia" w:ascii="Times New Roman" w:hAnsi="Times New Roman" w:cs="Times New Roman"/>
                <w:color w:val="auto"/>
                <w:kern w:val="0"/>
                <w:sz w:val="21"/>
                <w:szCs w:val="21"/>
                <w:highlight w:val="none"/>
                <w:lang w:val="en-US" w:eastAsia="zh-CN"/>
              </w:rPr>
              <w:t>200</w:t>
            </w:r>
            <w:r>
              <w:rPr>
                <w:rFonts w:hint="eastAsia" w:ascii="Times New Roman" w:hAnsi="Times New Roman" w:eastAsia="宋体" w:cs="Times New Roman"/>
                <w:color w:val="auto"/>
                <w:kern w:val="0"/>
                <w:sz w:val="21"/>
                <w:szCs w:val="21"/>
                <w:highlight w:val="none"/>
                <w:lang w:val="en-US" w:eastAsia="zh-CN"/>
              </w:rPr>
              <w:t>G SSD+</w:t>
            </w:r>
            <w:r>
              <w:rPr>
                <w:rFonts w:hint="eastAsia" w:ascii="Times New Roman" w:hAnsi="Times New Roman" w:cs="Times New Roman"/>
                <w:color w:val="auto"/>
                <w:kern w:val="0"/>
                <w:sz w:val="21"/>
                <w:szCs w:val="21"/>
                <w:highlight w:val="none"/>
                <w:lang w:val="en-US" w:eastAsia="zh-CN"/>
              </w:rPr>
              <w:t>300G</w:t>
            </w:r>
            <w:r>
              <w:rPr>
                <w:rFonts w:hint="eastAsia" w:ascii="Times New Roman" w:hAnsi="Times New Roman" w:eastAsia="宋体" w:cs="Times New Roman"/>
                <w:color w:val="auto"/>
                <w:kern w:val="0"/>
                <w:sz w:val="21"/>
                <w:szCs w:val="21"/>
                <w:highlight w:val="none"/>
                <w:lang w:val="en-US" w:eastAsia="zh-CN"/>
              </w:rPr>
              <w:t xml:space="preserve"> SSD）</w:t>
            </w:r>
          </w:p>
        </w:tc>
        <w:tc>
          <w:tcPr>
            <w:tcW w:w="719" w:type="dxa"/>
            <w:shd w:val="clear" w:color="auto" w:fill="auto"/>
            <w:vAlign w:val="center"/>
          </w:tcPr>
          <w:p w14:paraId="2F13C04D">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11</w:t>
            </w:r>
            <w:r>
              <w:rPr>
                <w:rFonts w:hint="eastAsia" w:ascii="Times New Roman" w:hAnsi="Times New Roman" w:eastAsia="宋体" w:cs="Times New Roman"/>
                <w:color w:val="auto"/>
                <w:kern w:val="0"/>
                <w:sz w:val="21"/>
                <w:szCs w:val="21"/>
                <w:highlight w:val="none"/>
                <w:lang w:val="en-US" w:eastAsia="zh-CN"/>
              </w:rPr>
              <w:t>台</w:t>
            </w:r>
          </w:p>
        </w:tc>
        <w:tc>
          <w:tcPr>
            <w:tcW w:w="884" w:type="dxa"/>
            <w:shd w:val="clear" w:color="auto" w:fill="auto"/>
            <w:vAlign w:val="center"/>
          </w:tcPr>
          <w:p w14:paraId="6A9826A7">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比选人</w:t>
            </w:r>
          </w:p>
        </w:tc>
      </w:tr>
      <w:tr w14:paraId="3219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shd w:val="clear" w:color="auto" w:fill="auto"/>
            <w:vAlign w:val="center"/>
          </w:tcPr>
          <w:p w14:paraId="6558BDCD">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数据库</w:t>
            </w:r>
          </w:p>
        </w:tc>
        <w:tc>
          <w:tcPr>
            <w:tcW w:w="1167" w:type="dxa"/>
            <w:tcBorders>
              <w:top w:val="single" w:color="auto" w:sz="4" w:space="0"/>
              <w:left w:val="single" w:color="auto" w:sz="4" w:space="0"/>
              <w:right w:val="single" w:color="auto" w:sz="4" w:space="0"/>
            </w:tcBorders>
            <w:shd w:val="clear" w:color="auto" w:fill="auto"/>
            <w:vAlign w:val="center"/>
          </w:tcPr>
          <w:p w14:paraId="432EAF9C">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知识库</w:t>
            </w:r>
          </w:p>
        </w:tc>
        <w:tc>
          <w:tcPr>
            <w:tcW w:w="4872" w:type="dxa"/>
            <w:tcBorders>
              <w:top w:val="single" w:color="auto" w:sz="4" w:space="0"/>
              <w:left w:val="single" w:color="auto" w:sz="4" w:space="0"/>
              <w:right w:val="single" w:color="auto" w:sz="4" w:space="0"/>
            </w:tcBorders>
            <w:shd w:val="clear" w:color="auto" w:fill="auto"/>
            <w:vAlign w:val="center"/>
          </w:tcPr>
          <w:p w14:paraId="6AFD8DB6">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数据库：OceanBase</w:t>
            </w:r>
            <w:r>
              <w:rPr>
                <w:rFonts w:hint="eastAsia" w:ascii="Times New Roman" w:hAnsi="Times New Roman" w:eastAsia="宋体" w:cs="Times New Roman"/>
                <w:color w:val="auto"/>
                <w:kern w:val="0"/>
                <w:sz w:val="21"/>
                <w:szCs w:val="21"/>
                <w:highlight w:val="none"/>
                <w:lang w:val="en-US" w:eastAsia="zh-CN"/>
              </w:rPr>
              <w:t>4.2或达梦8</w:t>
            </w:r>
          </w:p>
        </w:tc>
        <w:tc>
          <w:tcPr>
            <w:tcW w:w="719" w:type="dxa"/>
            <w:shd w:val="clear" w:color="auto" w:fill="auto"/>
            <w:vAlign w:val="center"/>
          </w:tcPr>
          <w:p w14:paraId="55FDEA7C">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按需</w:t>
            </w:r>
          </w:p>
        </w:tc>
        <w:tc>
          <w:tcPr>
            <w:tcW w:w="884" w:type="dxa"/>
            <w:shd w:val="clear" w:color="auto" w:fill="auto"/>
            <w:vAlign w:val="center"/>
          </w:tcPr>
          <w:p w14:paraId="43C6B9D0">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比选人</w:t>
            </w:r>
          </w:p>
        </w:tc>
      </w:tr>
      <w:tr w14:paraId="2507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shd w:val="clear" w:color="auto" w:fill="auto"/>
            <w:vAlign w:val="center"/>
          </w:tcPr>
          <w:p w14:paraId="797EB61B">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虚拟桌面</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EB1045B">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部署</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测试</w:t>
            </w:r>
          </w:p>
        </w:tc>
        <w:tc>
          <w:tcPr>
            <w:tcW w:w="4872" w:type="dxa"/>
            <w:tcBorders>
              <w:top w:val="single" w:color="auto" w:sz="4" w:space="0"/>
              <w:left w:val="single" w:color="auto" w:sz="4" w:space="0"/>
              <w:bottom w:val="single" w:color="auto" w:sz="4" w:space="0"/>
              <w:right w:val="single" w:color="auto" w:sz="4" w:space="0"/>
            </w:tcBorders>
            <w:shd w:val="clear" w:color="auto" w:fill="auto"/>
            <w:vAlign w:val="center"/>
          </w:tcPr>
          <w:p w14:paraId="3973A432">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操作系统：</w:t>
            </w:r>
            <w:r>
              <w:rPr>
                <w:rFonts w:hint="default" w:ascii="Times New Roman" w:hAnsi="Times New Roman" w:eastAsia="宋体" w:cs="Times New Roman"/>
                <w:color w:val="auto"/>
                <w:kern w:val="0"/>
                <w:sz w:val="21"/>
                <w:szCs w:val="21"/>
                <w:highlight w:val="none"/>
              </w:rPr>
              <w:t>麒麟桌面操作系统</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Windows操作系统</w:t>
            </w:r>
          </w:p>
          <w:p w14:paraId="3F5E6288">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浏览器：</w:t>
            </w:r>
            <w:r>
              <w:rPr>
                <w:rFonts w:hint="default" w:ascii="Times New Roman" w:hAnsi="Times New Roman" w:eastAsia="宋体" w:cs="Times New Roman"/>
                <w:color w:val="auto"/>
                <w:kern w:val="0"/>
                <w:sz w:val="21"/>
                <w:szCs w:val="21"/>
                <w:highlight w:val="none"/>
              </w:rPr>
              <w:t>奇安信</w:t>
            </w:r>
            <w:r>
              <w:rPr>
                <w:rFonts w:hint="eastAsia" w:ascii="Times New Roman" w:hAnsi="Times New Roman" w:eastAsia="宋体" w:cs="Times New Roman"/>
                <w:color w:val="auto"/>
                <w:kern w:val="0"/>
                <w:sz w:val="21"/>
                <w:szCs w:val="21"/>
                <w:highlight w:val="none"/>
                <w:lang w:val="en-US" w:eastAsia="zh-CN"/>
              </w:rPr>
              <w:t>可信浏览器</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360</w:t>
            </w:r>
            <w:r>
              <w:rPr>
                <w:rFonts w:hint="eastAsia" w:ascii="Times New Roman" w:hAnsi="Times New Roman" w:eastAsia="宋体" w:cs="Times New Roman"/>
                <w:color w:val="auto"/>
                <w:kern w:val="0"/>
                <w:sz w:val="21"/>
                <w:szCs w:val="21"/>
                <w:highlight w:val="none"/>
                <w:lang w:val="en-US" w:eastAsia="zh-CN"/>
              </w:rPr>
              <w:t>安全浏览器、</w:t>
            </w:r>
            <w:r>
              <w:rPr>
                <w:rFonts w:hint="default" w:ascii="Times New Roman" w:hAnsi="Times New Roman" w:eastAsia="宋体" w:cs="Times New Roman"/>
                <w:color w:val="auto"/>
                <w:kern w:val="0"/>
                <w:sz w:val="21"/>
                <w:szCs w:val="21"/>
                <w:highlight w:val="none"/>
              </w:rPr>
              <w:t>谷歌</w:t>
            </w:r>
            <w:r>
              <w:rPr>
                <w:rFonts w:hint="eastAsia" w:ascii="Times New Roman" w:hAnsi="Times New Roman" w:eastAsia="宋体" w:cs="Times New Roman"/>
                <w:color w:val="auto"/>
                <w:kern w:val="0"/>
                <w:sz w:val="21"/>
                <w:szCs w:val="21"/>
                <w:highlight w:val="none"/>
                <w:lang w:val="en-US" w:eastAsia="zh-CN"/>
              </w:rPr>
              <w:t>浏览器</w:t>
            </w:r>
          </w:p>
        </w:tc>
        <w:tc>
          <w:tcPr>
            <w:tcW w:w="719" w:type="dxa"/>
            <w:shd w:val="clear" w:color="auto" w:fill="auto"/>
            <w:vAlign w:val="center"/>
          </w:tcPr>
          <w:p w14:paraId="2A89ED6A">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4个</w:t>
            </w:r>
          </w:p>
        </w:tc>
        <w:tc>
          <w:tcPr>
            <w:tcW w:w="884" w:type="dxa"/>
            <w:shd w:val="clear" w:color="auto" w:fill="auto"/>
            <w:vAlign w:val="center"/>
          </w:tcPr>
          <w:p w14:paraId="24F02F7A">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比选人</w:t>
            </w:r>
          </w:p>
        </w:tc>
      </w:tr>
      <w:tr w14:paraId="4114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shd w:val="clear" w:color="auto" w:fill="auto"/>
            <w:vAlign w:val="center"/>
          </w:tcPr>
          <w:p w14:paraId="38B2FB67">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测试PC</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EDCEB7E">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操作终端</w:t>
            </w:r>
          </w:p>
        </w:tc>
        <w:tc>
          <w:tcPr>
            <w:tcW w:w="4872" w:type="dxa"/>
            <w:tcBorders>
              <w:top w:val="single" w:color="auto" w:sz="4" w:space="0"/>
              <w:left w:val="single" w:color="auto" w:sz="4" w:space="0"/>
              <w:bottom w:val="single" w:color="auto" w:sz="4" w:space="0"/>
              <w:right w:val="single" w:color="auto" w:sz="4" w:space="0"/>
            </w:tcBorders>
            <w:shd w:val="clear" w:color="auto" w:fill="auto"/>
            <w:vAlign w:val="center"/>
          </w:tcPr>
          <w:p w14:paraId="680248CE">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4台预装Windows桌面操作系统（需参选人自带）</w:t>
            </w:r>
          </w:p>
          <w:p w14:paraId="79EC1D73">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1台预装</w:t>
            </w:r>
            <w:r>
              <w:rPr>
                <w:rFonts w:hint="default" w:ascii="Times New Roman" w:hAnsi="Times New Roman" w:eastAsia="宋体" w:cs="Times New Roman"/>
                <w:color w:val="auto"/>
                <w:kern w:val="0"/>
                <w:sz w:val="21"/>
                <w:szCs w:val="21"/>
                <w:highlight w:val="none"/>
              </w:rPr>
              <w:t>麒麟桌面操作系统</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由比选人准备</w:t>
            </w:r>
            <w:r>
              <w:rPr>
                <w:rFonts w:hint="eastAsia" w:ascii="Times New Roman" w:hAnsi="Times New Roman" w:cs="Times New Roman"/>
                <w:color w:val="auto"/>
                <w:kern w:val="0"/>
                <w:sz w:val="21"/>
                <w:szCs w:val="21"/>
                <w:highlight w:val="none"/>
                <w:lang w:eastAsia="zh-CN"/>
              </w:rPr>
              <w:t>）</w:t>
            </w:r>
          </w:p>
        </w:tc>
        <w:tc>
          <w:tcPr>
            <w:tcW w:w="719" w:type="dxa"/>
            <w:shd w:val="clear" w:color="auto" w:fill="auto"/>
            <w:vAlign w:val="center"/>
          </w:tcPr>
          <w:p w14:paraId="14570DBB">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lang w:val="en-US" w:eastAsia="zh-CN"/>
              </w:rPr>
              <w:t>台</w:t>
            </w:r>
          </w:p>
        </w:tc>
        <w:tc>
          <w:tcPr>
            <w:tcW w:w="884" w:type="dxa"/>
            <w:shd w:val="clear" w:color="auto" w:fill="auto"/>
            <w:vAlign w:val="center"/>
          </w:tcPr>
          <w:p w14:paraId="6A468979">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参</w:t>
            </w:r>
            <w:r>
              <w:rPr>
                <w:rFonts w:hint="eastAsia" w:ascii="Times New Roman" w:hAnsi="Times New Roman" w:eastAsia="宋体" w:cs="Times New Roman"/>
                <w:color w:val="auto"/>
                <w:kern w:val="0"/>
                <w:sz w:val="21"/>
                <w:szCs w:val="21"/>
                <w:highlight w:val="none"/>
                <w:lang w:val="en-US" w:eastAsia="zh-CN"/>
              </w:rPr>
              <w:t>选人</w:t>
            </w:r>
          </w:p>
          <w:p w14:paraId="74CAF5B2">
            <w:pPr>
              <w:keepNext w:val="0"/>
              <w:keepLines w:val="0"/>
              <w:pageBreakBefore w:val="0"/>
              <w:widowControl/>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比选人</w:t>
            </w:r>
          </w:p>
        </w:tc>
      </w:tr>
    </w:tbl>
    <w:p w14:paraId="21CD6CD0">
      <w:pPr>
        <w:rPr>
          <w:rFonts w:hint="eastAsia" w:ascii="宋体" w:eastAsia="宋体" w:cs="宋体"/>
          <w:color w:val="auto"/>
          <w:sz w:val="24"/>
          <w:szCs w:val="24"/>
          <w:highlight w:val="none"/>
        </w:rPr>
      </w:pPr>
      <w:r>
        <w:rPr>
          <w:rFonts w:hint="eastAsia" w:ascii="Times New Roman" w:hAnsi="Times New Roman" w:cs="Times New Roman"/>
          <w:b/>
          <w:bCs/>
          <w:color w:val="auto"/>
          <w:highlight w:val="none"/>
          <w:lang w:val="en-US" w:eastAsia="zh-CN"/>
        </w:rPr>
        <w:t>（三）数据安全与保密要求</w:t>
      </w:r>
    </w:p>
    <w:p w14:paraId="43B75589">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次POC的测试数据由比选人准备，但比选人和参选人应达成共同的保密意识，明确测试数据只能用于本次POC，不得以任何形式（包括电子邮件、即时聊天工具、U盘和工作人员笔记本电脑等）将比选人相关信息、文件或数据泄露。在POC测试结束后由比选人相关人员监督将测试设备及测试人员工作设备（包括电脑、移动介质、网盘等）中的本次测试数据全部清除。</w:t>
      </w:r>
    </w:p>
    <w:p w14:paraId="5AFA6BED">
      <w:pPr>
        <w:pStyle w:val="4"/>
        <w:keepNext w:val="0"/>
        <w:keepLines w:val="0"/>
        <w:pageBreakBefore w:val="0"/>
        <w:widowControl w:val="0"/>
        <w:numPr>
          <w:ilvl w:val="0"/>
          <w:numId w:val="18"/>
        </w:numPr>
        <w:kinsoku/>
        <w:wordWrap/>
        <w:overflowPunct/>
        <w:topLinePunct w:val="0"/>
        <w:autoSpaceDE w:val="0"/>
        <w:autoSpaceDN w:val="0"/>
        <w:bidi w:val="0"/>
        <w:adjustRightInd/>
        <w:snapToGrid/>
        <w:ind w:left="363" w:leftChars="0" w:hanging="363" w:firstLineChars="0"/>
        <w:textAlignment w:val="auto"/>
        <w:outlineLvl w:val="2"/>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POC测试内容</w:t>
      </w:r>
    </w:p>
    <w:p w14:paraId="67738241">
      <w:pP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（一）测试要求</w:t>
      </w:r>
    </w:p>
    <w:p w14:paraId="2138D4C6">
      <w:pPr>
        <w:keepNext w:val="0"/>
        <w:keepLines w:val="0"/>
        <w:pageBreakBefore w:val="0"/>
        <w:widowControl w:val="0"/>
        <w:kinsoku/>
        <w:wordWrap/>
        <w:overflowPunct/>
        <w:topLinePunct w:val="0"/>
        <w:autoSpaceDE w:val="0"/>
        <w:autoSpaceDN w:val="0"/>
        <w:bidi w:val="0"/>
        <w:adjustRightInd/>
        <w:snapToGrid/>
        <w:spacing w:after="157" w:afterLines="5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参选人在进行POC测试时，若不满足下表中任意一项测试要求，则本次POC测试直接得0分，且不再开展后续测试。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480"/>
      </w:tblGrid>
      <w:tr w14:paraId="636B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shd w:val="clear" w:color="auto" w:fill="A4A4A4" w:themeFill="background1" w:themeFillShade="A5"/>
            <w:vAlign w:val="center"/>
          </w:tcPr>
          <w:p w14:paraId="7496930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要求分类</w:t>
            </w:r>
          </w:p>
        </w:tc>
        <w:tc>
          <w:tcPr>
            <w:tcW w:w="6480" w:type="dxa"/>
            <w:shd w:val="clear" w:color="auto" w:fill="A4A4A4" w:themeFill="background1" w:themeFillShade="A5"/>
            <w:vAlign w:val="center"/>
          </w:tcPr>
          <w:p w14:paraId="4460052D">
            <w:pPr>
              <w:keepNext w:val="0"/>
              <w:keepLines w:val="0"/>
              <w:pageBreakBefore w:val="0"/>
              <w:widowControl w:val="0"/>
              <w:tabs>
                <w:tab w:val="left" w:pos="509"/>
              </w:tabs>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具体内容</w:t>
            </w:r>
          </w:p>
        </w:tc>
      </w:tr>
      <w:tr w14:paraId="442B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136A326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信创支持</w:t>
            </w:r>
          </w:p>
        </w:tc>
        <w:tc>
          <w:tcPr>
            <w:tcW w:w="6480" w:type="dxa"/>
          </w:tcPr>
          <w:p w14:paraId="48B3675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1.适配我行基线产品的信创数据库；</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2.适配我行基线产品的信创服务器；</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3.适配我行基线产品的信创中间件；</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4.适配我行基线产品的信创终端；</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5.适配我行基线产品的信创浏览器</w:t>
            </w:r>
            <w:r>
              <w:rPr>
                <w:rFonts w:hint="eastAsia" w:ascii="Times New Roman" w:hAnsi="Times New Roman" w:cs="Times New Roman"/>
                <w:i w:val="0"/>
                <w:iCs w:val="0"/>
                <w:color w:val="auto"/>
                <w:kern w:val="0"/>
                <w:sz w:val="21"/>
                <w:szCs w:val="21"/>
                <w:highlight w:val="none"/>
                <w:u w:val="none"/>
                <w:lang w:val="en-US" w:eastAsia="zh-CN" w:bidi="ar"/>
              </w:rPr>
              <w:t>；</w:t>
            </w:r>
          </w:p>
          <w:p w14:paraId="1D00714B">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6.产品符合信创其他相关要求。</w:t>
            </w:r>
          </w:p>
        </w:tc>
      </w:tr>
      <w:tr w14:paraId="6BC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059D49E3">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测试地点与时间</w:t>
            </w:r>
          </w:p>
        </w:tc>
        <w:tc>
          <w:tcPr>
            <w:tcW w:w="6480" w:type="dxa"/>
          </w:tcPr>
          <w:p w14:paraId="3DD57A10">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参选人需安排人员到比选人指定地点、指定时间进行现场测试。</w:t>
            </w:r>
          </w:p>
        </w:tc>
      </w:tr>
      <w:tr w14:paraId="40EC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640F39A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本地化部署</w:t>
            </w:r>
          </w:p>
        </w:tc>
        <w:tc>
          <w:tcPr>
            <w:tcW w:w="6480" w:type="dxa"/>
          </w:tcPr>
          <w:p w14:paraId="1C456AE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参选人所有产品均需在我行私有环境下进行本地化部署。</w:t>
            </w:r>
          </w:p>
        </w:tc>
      </w:tr>
      <w:tr w14:paraId="01B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6339C47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技术架构符合度</w:t>
            </w:r>
          </w:p>
        </w:tc>
        <w:tc>
          <w:tcPr>
            <w:tcW w:w="6480" w:type="dxa"/>
          </w:tcPr>
          <w:p w14:paraId="37A978E2">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参选人提供的湖仓一体底座需满足分布式大数据技术体系架构要求。</w:t>
            </w:r>
          </w:p>
        </w:tc>
      </w:tr>
    </w:tbl>
    <w:p w14:paraId="1E793514">
      <w:pPr>
        <w:keepNext w:val="0"/>
        <w:keepLines w:val="0"/>
        <w:pageBreakBefore w:val="0"/>
        <w:widowControl w:val="0"/>
        <w:numPr>
          <w:ilvl w:val="0"/>
          <w:numId w:val="21"/>
        </w:numPr>
        <w:kinsoku/>
        <w:wordWrap/>
        <w:overflowPunct/>
        <w:topLinePunct w:val="0"/>
        <w:autoSpaceDE w:val="0"/>
        <w:autoSpaceDN w:val="0"/>
        <w:bidi w:val="0"/>
        <w:adjustRightInd/>
        <w:snapToGrid/>
        <w:spacing w:after="157" w:afterLines="5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测试内容</w:t>
      </w:r>
    </w:p>
    <w:p w14:paraId="29EA24E7">
      <w:pPr>
        <w:keepNext w:val="0"/>
        <w:keepLines w:val="0"/>
        <w:pageBreakBefore w:val="0"/>
        <w:widowControl w:val="0"/>
        <w:kinsoku/>
        <w:wordWrap/>
        <w:overflowPunct/>
        <w:topLinePunct w:val="0"/>
        <w:autoSpaceDE w:val="0"/>
        <w:autoSpaceDN w:val="0"/>
        <w:bidi w:val="0"/>
        <w:adjustRightInd/>
        <w:snapToGrid/>
        <w:spacing w:after="157" w:afterLines="5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本次POC测试的具体内容如下表所示，根据测试情况综合评定各场景得分，总分由各场景得分相加。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88"/>
        <w:gridCol w:w="2565"/>
        <w:gridCol w:w="3026"/>
        <w:gridCol w:w="732"/>
      </w:tblGrid>
      <w:tr w14:paraId="088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shd w:val="clear" w:color="auto" w:fill="BEBEBE" w:themeFill="background1" w:themeFillShade="BF"/>
            <w:vAlign w:val="center"/>
          </w:tcPr>
          <w:p w14:paraId="1491D77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bookmarkStart w:id="75" w:name="OLE_LINK1"/>
            <w:r>
              <w:rPr>
                <w:rFonts w:hint="eastAsia" w:ascii="Times New Roman" w:hAnsi="Times New Roman" w:cs="Times New Roman"/>
                <w:b/>
                <w:bCs/>
                <w:color w:val="auto"/>
                <w:sz w:val="21"/>
                <w:szCs w:val="21"/>
                <w:highlight w:val="none"/>
                <w:vertAlign w:val="baseline"/>
                <w:lang w:val="en-US" w:eastAsia="zh-CN"/>
              </w:rPr>
              <w:t>测试类型</w:t>
            </w:r>
          </w:p>
        </w:tc>
        <w:tc>
          <w:tcPr>
            <w:tcW w:w="1088" w:type="dxa"/>
            <w:shd w:val="clear" w:color="auto" w:fill="BEBEBE" w:themeFill="background1" w:themeFillShade="BF"/>
            <w:vAlign w:val="center"/>
          </w:tcPr>
          <w:p w14:paraId="6AAFD24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场景分类</w:t>
            </w:r>
          </w:p>
        </w:tc>
        <w:tc>
          <w:tcPr>
            <w:tcW w:w="2565" w:type="dxa"/>
            <w:shd w:val="clear" w:color="auto" w:fill="BEBEBE" w:themeFill="background1" w:themeFillShade="BF"/>
            <w:vAlign w:val="center"/>
          </w:tcPr>
          <w:p w14:paraId="5659A0D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测试内容</w:t>
            </w:r>
          </w:p>
        </w:tc>
        <w:tc>
          <w:tcPr>
            <w:tcW w:w="3026" w:type="dxa"/>
            <w:shd w:val="clear" w:color="auto" w:fill="BEBEBE" w:themeFill="background1" w:themeFillShade="BF"/>
            <w:vAlign w:val="center"/>
          </w:tcPr>
          <w:p w14:paraId="18F0EC4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预期结果</w:t>
            </w:r>
          </w:p>
        </w:tc>
        <w:tc>
          <w:tcPr>
            <w:tcW w:w="732" w:type="dxa"/>
            <w:shd w:val="clear" w:color="auto" w:fill="BEBEBE" w:themeFill="background1" w:themeFillShade="BF"/>
            <w:vAlign w:val="center"/>
          </w:tcPr>
          <w:p w14:paraId="5F50A2C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分值</w:t>
            </w:r>
          </w:p>
        </w:tc>
      </w:tr>
      <w:tr w14:paraId="077D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shd w:val="clear" w:color="auto" w:fill="auto"/>
            <w:vAlign w:val="center"/>
          </w:tcPr>
          <w:p w14:paraId="7F171B3B">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参选人测试情况整体评价</w:t>
            </w:r>
          </w:p>
        </w:tc>
        <w:tc>
          <w:tcPr>
            <w:tcW w:w="1088" w:type="dxa"/>
            <w:shd w:val="clear" w:color="auto" w:fill="auto"/>
            <w:vAlign w:val="center"/>
          </w:tcPr>
          <w:p w14:paraId="38FA58C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测试情况整体评价</w:t>
            </w:r>
          </w:p>
        </w:tc>
        <w:tc>
          <w:tcPr>
            <w:tcW w:w="2565" w:type="dxa"/>
            <w:shd w:val="clear" w:color="auto" w:fill="auto"/>
            <w:vAlign w:val="center"/>
          </w:tcPr>
          <w:p w14:paraId="6F31C3B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对参选人本次POC测试的整体情况进行评价。</w:t>
            </w:r>
          </w:p>
        </w:tc>
        <w:tc>
          <w:tcPr>
            <w:tcW w:w="3026" w:type="dxa"/>
            <w:shd w:val="clear" w:color="auto" w:fill="auto"/>
            <w:vAlign w:val="center"/>
          </w:tcPr>
          <w:p w14:paraId="79E6C5F2">
            <w:pPr>
              <w:keepNext w:val="0"/>
              <w:keepLines w:val="0"/>
              <w:pageBreakBefore w:val="0"/>
              <w:widowControl/>
              <w:numPr>
                <w:ilvl w:val="0"/>
                <w:numId w:val="22"/>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提前完成POC整体测试</w:t>
            </w:r>
            <w:r>
              <w:rPr>
                <w:rFonts w:hint="eastAsia" w:ascii="Times New Roman" w:hAnsi="Times New Roman" w:cs="Times New Roman"/>
                <w:i w:val="0"/>
                <w:iCs w:val="0"/>
                <w:color w:val="auto"/>
                <w:kern w:val="0"/>
                <w:sz w:val="21"/>
                <w:szCs w:val="21"/>
                <w:highlight w:val="none"/>
                <w:u w:val="none"/>
                <w:lang w:val="en-US" w:eastAsia="zh-CN" w:bidi="ar"/>
              </w:rPr>
              <w:t>；</w:t>
            </w:r>
          </w:p>
          <w:p w14:paraId="3AF119EF">
            <w:pPr>
              <w:keepNext w:val="0"/>
              <w:keepLines w:val="0"/>
              <w:pageBreakBefore w:val="0"/>
              <w:widowControl/>
              <w:numPr>
                <w:ilvl w:val="0"/>
                <w:numId w:val="22"/>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POC测试环境准备顺畅；</w:t>
            </w:r>
          </w:p>
          <w:p w14:paraId="54A05D9A">
            <w:pPr>
              <w:keepNext w:val="0"/>
              <w:keepLines w:val="0"/>
              <w:pageBreakBefore w:val="0"/>
              <w:widowControl/>
              <w:numPr>
                <w:ilvl w:val="0"/>
                <w:numId w:val="22"/>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演示或说明内容完整、仔细、质量高；</w:t>
            </w:r>
          </w:p>
          <w:p w14:paraId="09D5C68C">
            <w:pPr>
              <w:keepNext w:val="0"/>
              <w:keepLines w:val="0"/>
              <w:pageBreakBefore w:val="0"/>
              <w:widowControl/>
              <w:numPr>
                <w:ilvl w:val="0"/>
                <w:numId w:val="22"/>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参选人以及参与测试人员配合度高；</w:t>
            </w:r>
          </w:p>
          <w:p w14:paraId="7A0367ED">
            <w:pPr>
              <w:keepNext w:val="0"/>
              <w:keepLines w:val="0"/>
              <w:pageBreakBefore w:val="0"/>
              <w:widowControl/>
              <w:numPr>
                <w:ilvl w:val="0"/>
                <w:numId w:val="22"/>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人员专业水平高。</w:t>
            </w:r>
          </w:p>
        </w:tc>
        <w:tc>
          <w:tcPr>
            <w:tcW w:w="732" w:type="dxa"/>
            <w:shd w:val="clear" w:color="auto" w:fill="auto"/>
            <w:vAlign w:val="center"/>
          </w:tcPr>
          <w:p w14:paraId="13D14D5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20</w:t>
            </w:r>
          </w:p>
        </w:tc>
      </w:tr>
      <w:tr w14:paraId="139A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shd w:val="clear" w:color="auto" w:fill="auto"/>
            <w:vAlign w:val="center"/>
          </w:tcPr>
          <w:p w14:paraId="34632C7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产品功能评价</w:t>
            </w:r>
          </w:p>
        </w:tc>
        <w:tc>
          <w:tcPr>
            <w:tcW w:w="1088" w:type="dxa"/>
            <w:shd w:val="clear" w:color="auto" w:fill="auto"/>
            <w:vAlign w:val="center"/>
          </w:tcPr>
          <w:p w14:paraId="27C5C85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基础功能场景</w:t>
            </w:r>
          </w:p>
        </w:tc>
        <w:tc>
          <w:tcPr>
            <w:tcW w:w="2565" w:type="dxa"/>
            <w:shd w:val="clear" w:color="auto" w:fill="auto"/>
            <w:vAlign w:val="center"/>
          </w:tcPr>
          <w:p w14:paraId="745DB539">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参选人针对第三章</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1.3.2</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和</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1.3.3</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的功能要求对产品进行整体功能演示或说明。</w:t>
            </w:r>
          </w:p>
        </w:tc>
        <w:tc>
          <w:tcPr>
            <w:tcW w:w="3026" w:type="dxa"/>
            <w:shd w:val="clear" w:color="auto" w:fill="auto"/>
            <w:vAlign w:val="center"/>
          </w:tcPr>
          <w:p w14:paraId="4967A607">
            <w:pPr>
              <w:keepNext w:val="0"/>
              <w:keepLines w:val="0"/>
              <w:pageBreakBefore w:val="0"/>
              <w:widowControl/>
              <w:numPr>
                <w:ilvl w:val="0"/>
                <w:numId w:val="23"/>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产品功能要求满足比选人提出的功能要求</w:t>
            </w:r>
            <w:r>
              <w:rPr>
                <w:rFonts w:hint="eastAsia" w:ascii="Times New Roman" w:hAnsi="Times New Roman" w:cs="Times New Roman"/>
                <w:i w:val="0"/>
                <w:iCs w:val="0"/>
                <w:color w:val="auto"/>
                <w:kern w:val="0"/>
                <w:sz w:val="21"/>
                <w:szCs w:val="21"/>
                <w:highlight w:val="none"/>
                <w:u w:val="none"/>
                <w:lang w:val="en-US" w:eastAsia="zh-CN" w:bidi="ar"/>
              </w:rPr>
              <w:t>（共计12个大类，128项功能点）；</w:t>
            </w:r>
          </w:p>
          <w:p w14:paraId="08C5E2E5">
            <w:pPr>
              <w:keepNext w:val="0"/>
              <w:keepLines w:val="0"/>
              <w:pageBreakBefore w:val="0"/>
              <w:widowControl/>
              <w:numPr>
                <w:ilvl w:val="0"/>
                <w:numId w:val="23"/>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产品满足高可用、双活部署，提供证明材料；</w:t>
            </w:r>
          </w:p>
          <w:p w14:paraId="5C4DC035">
            <w:pPr>
              <w:keepNext w:val="0"/>
              <w:keepLines w:val="0"/>
              <w:pageBreakBefore w:val="0"/>
              <w:widowControl/>
              <w:numPr>
                <w:ilvl w:val="0"/>
                <w:numId w:val="23"/>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产品需支持私有云部署，提供证明材料；</w:t>
            </w:r>
          </w:p>
          <w:p w14:paraId="5262610B">
            <w:pPr>
              <w:keepNext w:val="0"/>
              <w:keepLines w:val="0"/>
              <w:pageBreakBefore w:val="0"/>
              <w:widowControl/>
              <w:numPr>
                <w:ilvl w:val="0"/>
                <w:numId w:val="23"/>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产品之间具备良好的联通性、</w:t>
            </w:r>
          </w:p>
          <w:p w14:paraId="24265002">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适配性和兼容性；</w:t>
            </w:r>
          </w:p>
          <w:p w14:paraId="55593752">
            <w:pPr>
              <w:keepNext w:val="0"/>
              <w:keepLines w:val="0"/>
              <w:pageBreakBefore w:val="0"/>
              <w:widowControl/>
              <w:numPr>
                <w:ilvl w:val="0"/>
                <w:numId w:val="23"/>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产品整体架构合理、可维护性高。</w:t>
            </w:r>
          </w:p>
        </w:tc>
        <w:tc>
          <w:tcPr>
            <w:tcW w:w="732" w:type="dxa"/>
            <w:shd w:val="clear" w:color="auto" w:fill="auto"/>
            <w:vAlign w:val="center"/>
          </w:tcPr>
          <w:p w14:paraId="415E893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r>
      <w:tr w14:paraId="7D66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restart"/>
            <w:shd w:val="clear" w:color="auto" w:fill="auto"/>
            <w:vAlign w:val="center"/>
          </w:tcPr>
          <w:p w14:paraId="5DD0BEB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参选人实施能力评价</w:t>
            </w:r>
          </w:p>
        </w:tc>
        <w:tc>
          <w:tcPr>
            <w:tcW w:w="1088" w:type="dxa"/>
            <w:vMerge w:val="restart"/>
            <w:shd w:val="clear" w:color="auto" w:fill="auto"/>
            <w:vAlign w:val="center"/>
          </w:tcPr>
          <w:p w14:paraId="57696B62">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租户及数据分区建设场景</w:t>
            </w:r>
          </w:p>
        </w:tc>
        <w:tc>
          <w:tcPr>
            <w:tcW w:w="2565" w:type="dxa"/>
            <w:shd w:val="clear" w:color="auto" w:fill="auto"/>
            <w:vAlign w:val="center"/>
          </w:tcPr>
          <w:p w14:paraId="06AA67DC">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分别创建业务系统租户和数据仓库租户，查看各类资源是否互相隔离互不影响。</w:t>
            </w:r>
          </w:p>
        </w:tc>
        <w:tc>
          <w:tcPr>
            <w:tcW w:w="3026" w:type="dxa"/>
            <w:shd w:val="clear" w:color="auto" w:fill="auto"/>
            <w:vAlign w:val="center"/>
          </w:tcPr>
          <w:p w14:paraId="38551C79">
            <w:pPr>
              <w:keepNext w:val="0"/>
              <w:keepLines w:val="0"/>
              <w:pageBreakBefore w:val="0"/>
              <w:widowControl/>
              <w:numPr>
                <w:ilvl w:val="0"/>
                <w:numId w:val="2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底座</w:t>
            </w:r>
            <w:r>
              <w:rPr>
                <w:rFonts w:hint="eastAsia" w:ascii="Times New Roman" w:hAnsi="Times New Roman" w:cs="Times New Roman"/>
                <w:i w:val="0"/>
                <w:iCs w:val="0"/>
                <w:color w:val="auto"/>
                <w:kern w:val="0"/>
                <w:sz w:val="21"/>
                <w:szCs w:val="21"/>
                <w:highlight w:val="none"/>
                <w:u w:val="none"/>
                <w:lang w:val="en-US" w:eastAsia="zh-CN" w:bidi="ar"/>
              </w:rPr>
              <w:t>租户</w:t>
            </w:r>
            <w:r>
              <w:rPr>
                <w:rFonts w:hint="default" w:ascii="Times New Roman" w:hAnsi="Times New Roman" w:eastAsia="宋体" w:cs="Times New Roman"/>
                <w:i w:val="0"/>
                <w:iCs w:val="0"/>
                <w:color w:val="auto"/>
                <w:kern w:val="0"/>
                <w:sz w:val="21"/>
                <w:szCs w:val="21"/>
                <w:highlight w:val="none"/>
                <w:u w:val="none"/>
                <w:lang w:val="en-US" w:eastAsia="zh-CN" w:bidi="ar"/>
              </w:rPr>
              <w:t>计算</w:t>
            </w:r>
            <w:r>
              <w:rPr>
                <w:rFonts w:hint="eastAsia" w:ascii="Times New Roman" w:hAnsi="Times New Roman" w:cs="Times New Roman"/>
                <w:i w:val="0"/>
                <w:iCs w:val="0"/>
                <w:color w:val="auto"/>
                <w:kern w:val="0"/>
                <w:sz w:val="21"/>
                <w:szCs w:val="21"/>
                <w:highlight w:val="none"/>
                <w:u w:val="none"/>
                <w:lang w:val="en-US" w:eastAsia="zh-CN" w:bidi="ar"/>
              </w:rPr>
              <w:t>、存储</w:t>
            </w:r>
            <w:r>
              <w:rPr>
                <w:rFonts w:hint="default" w:ascii="Times New Roman" w:hAnsi="Times New Roman" w:eastAsia="宋体" w:cs="Times New Roman"/>
                <w:i w:val="0"/>
                <w:iCs w:val="0"/>
                <w:color w:val="auto"/>
                <w:kern w:val="0"/>
                <w:sz w:val="21"/>
                <w:szCs w:val="21"/>
                <w:highlight w:val="none"/>
                <w:u w:val="none"/>
                <w:lang w:val="en-US" w:eastAsia="zh-CN" w:bidi="ar"/>
              </w:rPr>
              <w:t>资源隔离且互不影响；</w:t>
            </w:r>
          </w:p>
          <w:p w14:paraId="73AB1EDE">
            <w:pPr>
              <w:keepNext w:val="0"/>
              <w:keepLines w:val="0"/>
              <w:pageBreakBefore w:val="0"/>
              <w:widowControl/>
              <w:numPr>
                <w:ilvl w:val="0"/>
                <w:numId w:val="2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数据作业平台</w:t>
            </w:r>
            <w:r>
              <w:rPr>
                <w:rFonts w:hint="eastAsia" w:ascii="Times New Roman" w:hAnsi="Times New Roman" w:cs="Times New Roman"/>
                <w:i w:val="0"/>
                <w:iCs w:val="0"/>
                <w:color w:val="auto"/>
                <w:kern w:val="0"/>
                <w:sz w:val="21"/>
                <w:szCs w:val="21"/>
                <w:highlight w:val="none"/>
                <w:u w:val="none"/>
                <w:lang w:val="en-US" w:eastAsia="zh-CN" w:bidi="ar"/>
              </w:rPr>
              <w:t>租户</w:t>
            </w:r>
            <w:r>
              <w:rPr>
                <w:rFonts w:hint="default" w:ascii="Times New Roman" w:hAnsi="Times New Roman" w:eastAsia="宋体" w:cs="Times New Roman"/>
                <w:i w:val="0"/>
                <w:iCs w:val="0"/>
                <w:color w:val="auto"/>
                <w:kern w:val="0"/>
                <w:sz w:val="21"/>
                <w:szCs w:val="21"/>
                <w:highlight w:val="none"/>
                <w:u w:val="none"/>
                <w:lang w:val="en-US" w:eastAsia="zh-CN" w:bidi="ar"/>
              </w:rPr>
              <w:t>所有</w:t>
            </w:r>
            <w:r>
              <w:rPr>
                <w:rFonts w:hint="eastAsia" w:ascii="Times New Roman" w:hAnsi="Times New Roman" w:cs="Times New Roman"/>
                <w:i w:val="0"/>
                <w:iCs w:val="0"/>
                <w:color w:val="auto"/>
                <w:kern w:val="0"/>
                <w:sz w:val="21"/>
                <w:szCs w:val="21"/>
                <w:highlight w:val="none"/>
                <w:u w:val="none"/>
                <w:lang w:val="en-US" w:eastAsia="zh-CN" w:bidi="ar"/>
              </w:rPr>
              <w:t>采集、开发、调度</w:t>
            </w:r>
            <w:r>
              <w:rPr>
                <w:rFonts w:hint="default" w:ascii="Times New Roman" w:hAnsi="Times New Roman" w:eastAsia="宋体" w:cs="Times New Roman"/>
                <w:i w:val="0"/>
                <w:iCs w:val="0"/>
                <w:color w:val="auto"/>
                <w:kern w:val="0"/>
                <w:sz w:val="21"/>
                <w:szCs w:val="21"/>
                <w:highlight w:val="none"/>
                <w:u w:val="none"/>
                <w:lang w:val="en-US" w:eastAsia="zh-CN" w:bidi="ar"/>
              </w:rPr>
              <w:t>任务隔离且互不影响；</w:t>
            </w:r>
          </w:p>
          <w:p w14:paraId="1B2EFBA4">
            <w:pPr>
              <w:keepNext w:val="0"/>
              <w:keepLines w:val="0"/>
              <w:pageBreakBefore w:val="0"/>
              <w:widowControl/>
              <w:numPr>
                <w:ilvl w:val="0"/>
                <w:numId w:val="2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数据作业平台相应租户可与底座租户可对应连接；</w:t>
            </w:r>
          </w:p>
          <w:p w14:paraId="30AFC1D2">
            <w:pPr>
              <w:keepNext w:val="0"/>
              <w:keepLines w:val="0"/>
              <w:pageBreakBefore w:val="0"/>
              <w:widowControl/>
              <w:numPr>
                <w:ilvl w:val="0"/>
                <w:numId w:val="2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租户管理便捷直观、监控完备，操作配置化程度高。</w:t>
            </w:r>
          </w:p>
        </w:tc>
        <w:tc>
          <w:tcPr>
            <w:tcW w:w="732" w:type="dxa"/>
            <w:vMerge w:val="restart"/>
            <w:shd w:val="clear" w:color="auto" w:fill="auto"/>
            <w:vAlign w:val="center"/>
          </w:tcPr>
          <w:p w14:paraId="08D8D6A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12</w:t>
            </w:r>
          </w:p>
        </w:tc>
      </w:tr>
      <w:tr w14:paraId="256E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078D2A81">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15C26BD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2FE207CF">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在同一套集群中使用租户分别搭建验证区和探索区两套环境，分别用于数据验证和数据建模、探索。</w:t>
            </w:r>
          </w:p>
        </w:tc>
        <w:tc>
          <w:tcPr>
            <w:tcW w:w="3026" w:type="dxa"/>
            <w:shd w:val="clear" w:color="auto" w:fill="auto"/>
            <w:vAlign w:val="center"/>
          </w:tcPr>
          <w:p w14:paraId="74E2A327">
            <w:pPr>
              <w:keepNext w:val="0"/>
              <w:keepLines w:val="0"/>
              <w:pageBreakBefore w:val="0"/>
              <w:widowControl/>
              <w:numPr>
                <w:ilvl w:val="0"/>
                <w:numId w:val="25"/>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验证区、探索区搭建成功且各类资源、权限</w:t>
            </w:r>
            <w:r>
              <w:rPr>
                <w:rFonts w:hint="eastAsia" w:ascii="Times New Roman" w:hAnsi="Times New Roman" w:cs="Times New Roman"/>
                <w:i w:val="0"/>
                <w:iCs w:val="0"/>
                <w:color w:val="auto"/>
                <w:kern w:val="0"/>
                <w:sz w:val="21"/>
                <w:szCs w:val="21"/>
                <w:highlight w:val="none"/>
                <w:u w:val="none"/>
                <w:lang w:val="en-US" w:eastAsia="zh-CN" w:bidi="ar"/>
              </w:rPr>
              <w:t>互相</w:t>
            </w:r>
            <w:r>
              <w:rPr>
                <w:rFonts w:hint="default" w:ascii="Times New Roman" w:hAnsi="Times New Roman" w:cs="Times New Roman"/>
                <w:i w:val="0"/>
                <w:iCs w:val="0"/>
                <w:color w:val="auto"/>
                <w:kern w:val="0"/>
                <w:sz w:val="21"/>
                <w:szCs w:val="21"/>
                <w:highlight w:val="none"/>
                <w:u w:val="none"/>
                <w:lang w:val="en-US" w:eastAsia="zh-CN" w:bidi="ar"/>
              </w:rPr>
              <w:t>隔离；</w:t>
            </w:r>
          </w:p>
          <w:p w14:paraId="3CB0D114">
            <w:pPr>
              <w:keepNext w:val="0"/>
              <w:keepLines w:val="0"/>
              <w:pageBreakBefore w:val="0"/>
              <w:widowControl/>
              <w:numPr>
                <w:ilvl w:val="0"/>
                <w:numId w:val="25"/>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支持将数据快速脱敏至指定环境且不丢失关联性</w:t>
            </w:r>
            <w:r>
              <w:rPr>
                <w:rFonts w:hint="default" w:ascii="Times New Roman" w:hAnsi="Times New Roman" w:cs="Times New Roman"/>
                <w:i w:val="0"/>
                <w:iCs w:val="0"/>
                <w:color w:val="auto"/>
                <w:kern w:val="0"/>
                <w:sz w:val="21"/>
                <w:szCs w:val="21"/>
                <w:highlight w:val="none"/>
                <w:u w:val="none"/>
                <w:lang w:val="en-US" w:eastAsia="zh-CN" w:bidi="ar"/>
              </w:rPr>
              <w:t>；</w:t>
            </w:r>
          </w:p>
          <w:p w14:paraId="4D6F330D">
            <w:pPr>
              <w:keepNext w:val="0"/>
              <w:keepLines w:val="0"/>
              <w:pageBreakBefore w:val="0"/>
              <w:widowControl/>
              <w:numPr>
                <w:ilvl w:val="0"/>
                <w:numId w:val="25"/>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支持通过快速复制数据库文件的方式复制同构或异构数据库，且具有跨平台、跨版本的特点。</w:t>
            </w:r>
          </w:p>
        </w:tc>
        <w:tc>
          <w:tcPr>
            <w:tcW w:w="732" w:type="dxa"/>
            <w:vMerge w:val="continue"/>
            <w:shd w:val="clear" w:color="auto" w:fill="auto"/>
            <w:vAlign w:val="center"/>
          </w:tcPr>
          <w:p w14:paraId="2B46F1F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354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3D23298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restart"/>
            <w:shd w:val="clear" w:color="auto" w:fill="auto"/>
            <w:vAlign w:val="center"/>
          </w:tcPr>
          <w:p w14:paraId="3F8F506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批量开发场景</w:t>
            </w:r>
          </w:p>
        </w:tc>
        <w:tc>
          <w:tcPr>
            <w:tcW w:w="2565" w:type="dxa"/>
            <w:shd w:val="clear" w:color="auto" w:fill="auto"/>
            <w:vAlign w:val="center"/>
          </w:tcPr>
          <w:p w14:paraId="3DF53EF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根据比选人提供的具体批量采集任务，</w:t>
            </w:r>
            <w:r>
              <w:rPr>
                <w:rFonts w:hint="default" w:ascii="Times New Roman" w:hAnsi="Times New Roman" w:eastAsia="宋体" w:cs="Times New Roman"/>
                <w:i w:val="0"/>
                <w:iCs w:val="0"/>
                <w:color w:val="auto"/>
                <w:kern w:val="0"/>
                <w:sz w:val="21"/>
                <w:szCs w:val="21"/>
                <w:highlight w:val="none"/>
                <w:u w:val="none"/>
                <w:lang w:val="en-US" w:eastAsia="zh-CN" w:bidi="ar"/>
              </w:rPr>
              <w:t>通过可视化界面配置后自动生成全链路的数据采集作业，即采集任务、数据处理、目标表建立、调度任务注册。</w:t>
            </w:r>
          </w:p>
        </w:tc>
        <w:tc>
          <w:tcPr>
            <w:tcW w:w="3026" w:type="dxa"/>
            <w:shd w:val="clear" w:color="auto" w:fill="auto"/>
            <w:vAlign w:val="center"/>
          </w:tcPr>
          <w:p w14:paraId="2F068AA7">
            <w:pPr>
              <w:keepNext w:val="0"/>
              <w:keepLines w:val="0"/>
              <w:pageBreakBefore w:val="0"/>
              <w:widowControl/>
              <w:numPr>
                <w:ilvl w:val="0"/>
                <w:numId w:val="26"/>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必须支持</w:t>
            </w:r>
            <w:r>
              <w:rPr>
                <w:rFonts w:hint="default" w:ascii="Times New Roman" w:hAnsi="Times New Roman" w:cs="Times New Roman"/>
                <w:i w:val="0"/>
                <w:iCs w:val="0"/>
                <w:color w:val="auto"/>
                <w:kern w:val="0"/>
                <w:sz w:val="21"/>
                <w:szCs w:val="21"/>
                <w:highlight w:val="none"/>
                <w:u w:val="none"/>
                <w:lang w:val="en-US" w:eastAsia="zh-CN" w:bidi="ar"/>
              </w:rPr>
              <w:t>Oracle、HBase、ClickHou</w:t>
            </w:r>
            <w:r>
              <w:rPr>
                <w:rFonts w:hint="eastAsia" w:ascii="Times New Roman" w:hAnsi="Times New Roman" w:cs="Times New Roman"/>
                <w:i w:val="0"/>
                <w:iCs w:val="0"/>
                <w:color w:val="auto"/>
                <w:kern w:val="0"/>
                <w:sz w:val="21"/>
                <w:szCs w:val="21"/>
                <w:highlight w:val="none"/>
                <w:u w:val="none"/>
                <w:lang w:val="en-US" w:eastAsia="zh-CN" w:bidi="ar"/>
              </w:rPr>
              <w:t>s</w:t>
            </w:r>
            <w:r>
              <w:rPr>
                <w:rFonts w:hint="default" w:ascii="Times New Roman" w:hAnsi="Times New Roman" w:cs="Times New Roman"/>
                <w:i w:val="0"/>
                <w:iCs w:val="0"/>
                <w:color w:val="auto"/>
                <w:kern w:val="0"/>
                <w:sz w:val="21"/>
                <w:szCs w:val="21"/>
                <w:highlight w:val="none"/>
                <w:u w:val="none"/>
                <w:lang w:val="en-US" w:eastAsia="zh-CN" w:bidi="ar"/>
              </w:rPr>
              <w:t>e、OceanBase、达梦采集至底座，针对第三章</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cs="Times New Roman"/>
                <w:i w:val="0"/>
                <w:iCs w:val="0"/>
                <w:color w:val="auto"/>
                <w:kern w:val="0"/>
                <w:sz w:val="21"/>
                <w:szCs w:val="21"/>
                <w:highlight w:val="none"/>
                <w:u w:val="none"/>
                <w:lang w:val="en-US" w:eastAsia="zh-CN" w:bidi="ar"/>
              </w:rPr>
              <w:t>1.3.3.2 功能要求</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cs="Times New Roman"/>
                <w:i w:val="0"/>
                <w:iCs w:val="0"/>
                <w:color w:val="auto"/>
                <w:kern w:val="0"/>
                <w:sz w:val="21"/>
                <w:szCs w:val="21"/>
                <w:highlight w:val="none"/>
                <w:u w:val="none"/>
                <w:lang w:val="en-US" w:eastAsia="zh-CN" w:bidi="ar"/>
              </w:rPr>
              <w:t>要求中提到需支持的源库和目标库，但本次测试中未测试到的，需提供相关材料证明</w:t>
            </w:r>
            <w:r>
              <w:rPr>
                <w:rFonts w:hint="eastAsia" w:ascii="Times New Roman" w:hAnsi="Times New Roman" w:cs="Times New Roman"/>
                <w:i w:val="0"/>
                <w:iCs w:val="0"/>
                <w:color w:val="auto"/>
                <w:kern w:val="0"/>
                <w:sz w:val="21"/>
                <w:szCs w:val="21"/>
                <w:highlight w:val="none"/>
                <w:u w:val="none"/>
                <w:lang w:val="en-US" w:eastAsia="zh-CN" w:bidi="ar"/>
              </w:rPr>
              <w:t>；</w:t>
            </w:r>
          </w:p>
          <w:p w14:paraId="4D62159E">
            <w:pPr>
              <w:keepNext w:val="0"/>
              <w:keepLines w:val="0"/>
              <w:pageBreakBefore w:val="0"/>
              <w:widowControl/>
              <w:numPr>
                <w:ilvl w:val="0"/>
                <w:numId w:val="26"/>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全链路</w:t>
            </w:r>
            <w:r>
              <w:rPr>
                <w:rFonts w:hint="default" w:ascii="Times New Roman" w:hAnsi="Times New Roman" w:cs="Times New Roman"/>
                <w:i w:val="0"/>
                <w:iCs w:val="0"/>
                <w:color w:val="auto"/>
                <w:kern w:val="0"/>
                <w:sz w:val="21"/>
                <w:szCs w:val="21"/>
                <w:highlight w:val="none"/>
                <w:u w:val="none"/>
                <w:lang w:val="en-US" w:eastAsia="zh-CN" w:bidi="ar"/>
              </w:rPr>
              <w:t>采集任务</w:t>
            </w:r>
            <w:r>
              <w:rPr>
                <w:rFonts w:hint="eastAsia" w:ascii="Times New Roman" w:hAnsi="Times New Roman" w:cs="Times New Roman"/>
                <w:i w:val="0"/>
                <w:iCs w:val="0"/>
                <w:color w:val="auto"/>
                <w:kern w:val="0"/>
                <w:sz w:val="21"/>
                <w:szCs w:val="21"/>
                <w:highlight w:val="none"/>
                <w:u w:val="none"/>
                <w:lang w:val="en-US" w:eastAsia="zh-CN" w:bidi="ar"/>
              </w:rPr>
              <w:t>配置简便，且支持对源系统变更自适应，无需对采集作业进行修改。</w:t>
            </w:r>
          </w:p>
        </w:tc>
        <w:tc>
          <w:tcPr>
            <w:tcW w:w="732" w:type="dxa"/>
            <w:vMerge w:val="restart"/>
            <w:shd w:val="clear" w:color="auto" w:fill="auto"/>
            <w:vAlign w:val="center"/>
          </w:tcPr>
          <w:p w14:paraId="25234272">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12</w:t>
            </w:r>
          </w:p>
        </w:tc>
      </w:tr>
      <w:tr w14:paraId="2805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02400FA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5BF28B7F">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483C0D3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根据比选人提供的具体建模需求，</w:t>
            </w:r>
            <w:r>
              <w:rPr>
                <w:rFonts w:hint="default" w:ascii="Times New Roman" w:hAnsi="Times New Roman" w:eastAsia="宋体" w:cs="Times New Roman"/>
                <w:i w:val="0"/>
                <w:iCs w:val="0"/>
                <w:color w:val="auto"/>
                <w:kern w:val="0"/>
                <w:sz w:val="21"/>
                <w:szCs w:val="21"/>
                <w:highlight w:val="none"/>
                <w:u w:val="none"/>
                <w:lang w:val="en-US" w:eastAsia="zh-CN" w:bidi="ar"/>
              </w:rPr>
              <w:t>通过可视化、图形化的方式</w:t>
            </w:r>
            <w:r>
              <w:rPr>
                <w:rFonts w:hint="eastAsia" w:ascii="Times New Roman" w:hAnsi="Times New Roman" w:cs="Times New Roman"/>
                <w:i w:val="0"/>
                <w:iCs w:val="0"/>
                <w:color w:val="auto"/>
                <w:kern w:val="0"/>
                <w:sz w:val="21"/>
                <w:szCs w:val="21"/>
                <w:highlight w:val="none"/>
                <w:u w:val="none"/>
                <w:lang w:val="en-US" w:eastAsia="zh-CN" w:bidi="ar"/>
              </w:rPr>
              <w:t>完成</w:t>
            </w:r>
            <w:r>
              <w:rPr>
                <w:rFonts w:hint="default" w:ascii="Times New Roman" w:hAnsi="Times New Roman" w:eastAsia="宋体" w:cs="Times New Roman"/>
                <w:i w:val="0"/>
                <w:iCs w:val="0"/>
                <w:color w:val="auto"/>
                <w:kern w:val="0"/>
                <w:sz w:val="21"/>
                <w:szCs w:val="21"/>
                <w:highlight w:val="none"/>
                <w:u w:val="none"/>
                <w:lang w:val="en-US" w:eastAsia="zh-CN" w:bidi="ar"/>
              </w:rPr>
              <w:t>数据模型设计。</w:t>
            </w:r>
          </w:p>
        </w:tc>
        <w:tc>
          <w:tcPr>
            <w:tcW w:w="3026" w:type="dxa"/>
            <w:shd w:val="clear" w:color="auto" w:fill="auto"/>
            <w:vAlign w:val="center"/>
          </w:tcPr>
          <w:p w14:paraId="12D63070">
            <w:pPr>
              <w:keepNext w:val="0"/>
              <w:keepLines w:val="0"/>
              <w:pageBreakBefore w:val="0"/>
              <w:widowControl/>
              <w:numPr>
                <w:ilvl w:val="0"/>
                <w:numId w:val="27"/>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建模方式合理、建模流程规范且完善；</w:t>
            </w:r>
          </w:p>
          <w:p w14:paraId="723D1EF8">
            <w:pPr>
              <w:keepNext w:val="0"/>
              <w:keepLines w:val="0"/>
              <w:pageBreakBefore w:val="0"/>
              <w:widowControl/>
              <w:numPr>
                <w:ilvl w:val="0"/>
                <w:numId w:val="27"/>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可生成完善、详尽的数据治理落标检测报告。</w:t>
            </w:r>
          </w:p>
        </w:tc>
        <w:tc>
          <w:tcPr>
            <w:tcW w:w="732" w:type="dxa"/>
            <w:vMerge w:val="continue"/>
            <w:shd w:val="clear" w:color="auto" w:fill="auto"/>
            <w:vAlign w:val="center"/>
          </w:tcPr>
          <w:p w14:paraId="3ABC1249">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2C60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7C699558">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69A8E9D0">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45E746FB">
            <w:pPr>
              <w:keepNext w:val="0"/>
              <w:keepLines w:val="0"/>
              <w:pageBreakBefore w:val="0"/>
              <w:widowControl/>
              <w:suppressLineNumbers w:val="0"/>
              <w:kinsoku/>
              <w:wordWrap/>
              <w:overflowPunct/>
              <w:topLinePunct w:val="0"/>
              <w:bidi w:val="0"/>
              <w:adjustRightInd/>
              <w:snapToGrid/>
              <w:spacing w:line="400" w:lineRule="exact"/>
              <w:ind w:firstLine="0" w:firstLineChars="0"/>
              <w:jc w:val="both"/>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根据比选人提供的具体批量数据开发需求，</w:t>
            </w:r>
            <w:r>
              <w:rPr>
                <w:rFonts w:hint="default" w:ascii="Times New Roman" w:hAnsi="Times New Roman" w:eastAsia="宋体" w:cs="Times New Roman"/>
                <w:i w:val="0"/>
                <w:iCs w:val="0"/>
                <w:color w:val="auto"/>
                <w:kern w:val="0"/>
                <w:sz w:val="21"/>
                <w:szCs w:val="21"/>
                <w:highlight w:val="none"/>
                <w:u w:val="none"/>
                <w:lang w:val="en-US" w:eastAsia="zh-CN" w:bidi="ar"/>
              </w:rPr>
              <w:t>通过操作体验良好的可视化界面进行</w:t>
            </w:r>
            <w:r>
              <w:rPr>
                <w:rFonts w:hint="eastAsia" w:ascii="Times New Roman" w:hAnsi="Times New Roman" w:cs="Times New Roman"/>
                <w:i w:val="0"/>
                <w:iCs w:val="0"/>
                <w:color w:val="auto"/>
                <w:kern w:val="0"/>
                <w:sz w:val="21"/>
                <w:szCs w:val="21"/>
                <w:highlight w:val="none"/>
                <w:u w:val="none"/>
                <w:lang w:val="en-US" w:eastAsia="zh-CN" w:bidi="ar"/>
              </w:rPr>
              <w:t>完成</w:t>
            </w:r>
            <w:r>
              <w:rPr>
                <w:rFonts w:hint="default" w:ascii="Times New Roman" w:hAnsi="Times New Roman" w:eastAsia="宋体" w:cs="Times New Roman"/>
                <w:i w:val="0"/>
                <w:iCs w:val="0"/>
                <w:color w:val="auto"/>
                <w:kern w:val="0"/>
                <w:sz w:val="21"/>
                <w:szCs w:val="21"/>
                <w:highlight w:val="none"/>
                <w:u w:val="none"/>
                <w:lang w:val="en-US" w:eastAsia="zh-CN" w:bidi="ar"/>
              </w:rPr>
              <w:t>批量数据开发任务。</w:t>
            </w:r>
          </w:p>
        </w:tc>
        <w:tc>
          <w:tcPr>
            <w:tcW w:w="3026" w:type="dxa"/>
            <w:shd w:val="clear" w:color="auto" w:fill="auto"/>
            <w:vAlign w:val="center"/>
          </w:tcPr>
          <w:p w14:paraId="78BAD3C0">
            <w:pPr>
              <w:keepNext w:val="0"/>
              <w:keepLines w:val="0"/>
              <w:pageBreakBefore w:val="0"/>
              <w:widowControl/>
              <w:numPr>
                <w:ilvl w:val="0"/>
                <w:numId w:val="28"/>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支持将数据开发规范、数据标准接入和配置，并在数据开发过程中引用，对命名、代码、数据标准及其他开发规范进行强制校验；</w:t>
            </w:r>
          </w:p>
          <w:p w14:paraId="639F6F4B">
            <w:pPr>
              <w:keepNext w:val="0"/>
              <w:keepLines w:val="0"/>
              <w:pageBreakBefore w:val="0"/>
              <w:widowControl/>
              <w:numPr>
                <w:ilvl w:val="0"/>
                <w:numId w:val="28"/>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支持数据开发任务脚本版本管理，可对历史版本进行版本对比或回溯</w:t>
            </w:r>
            <w:r>
              <w:rPr>
                <w:rFonts w:hint="eastAsia" w:ascii="Times New Roman" w:hAnsi="Times New Roman" w:cs="Times New Roman"/>
                <w:i w:val="0"/>
                <w:iCs w:val="0"/>
                <w:color w:val="auto"/>
                <w:kern w:val="0"/>
                <w:sz w:val="21"/>
                <w:szCs w:val="21"/>
                <w:highlight w:val="none"/>
                <w:u w:val="none"/>
                <w:lang w:val="en-US" w:eastAsia="zh-CN" w:bidi="ar"/>
              </w:rPr>
              <w:t>；</w:t>
            </w:r>
          </w:p>
        </w:tc>
        <w:tc>
          <w:tcPr>
            <w:tcW w:w="732" w:type="dxa"/>
            <w:vMerge w:val="continue"/>
            <w:shd w:val="clear" w:color="auto" w:fill="auto"/>
            <w:vAlign w:val="center"/>
          </w:tcPr>
          <w:p w14:paraId="47247229">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4B0A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4E31C319">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restart"/>
            <w:shd w:val="clear" w:color="auto" w:fill="auto"/>
            <w:vAlign w:val="center"/>
          </w:tcPr>
          <w:p w14:paraId="27F334A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实时开发场景</w:t>
            </w:r>
          </w:p>
        </w:tc>
        <w:tc>
          <w:tcPr>
            <w:tcW w:w="2565" w:type="dxa"/>
            <w:shd w:val="clear" w:color="auto" w:fill="auto"/>
            <w:vAlign w:val="center"/>
          </w:tcPr>
          <w:p w14:paraId="7E2380D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根据比选人提供的具体的实时采集需求，</w:t>
            </w:r>
            <w:r>
              <w:rPr>
                <w:rFonts w:hint="default" w:ascii="Times New Roman" w:hAnsi="Times New Roman" w:eastAsia="宋体" w:cs="Times New Roman"/>
                <w:i w:val="0"/>
                <w:iCs w:val="0"/>
                <w:color w:val="auto"/>
                <w:kern w:val="0"/>
                <w:sz w:val="21"/>
                <w:szCs w:val="21"/>
                <w:highlight w:val="none"/>
                <w:u w:val="none"/>
                <w:lang w:val="en-US" w:eastAsia="zh-CN" w:bidi="ar"/>
              </w:rPr>
              <w:t>对提供的关系型源数据库</w:t>
            </w:r>
            <w:r>
              <w:rPr>
                <w:rFonts w:hint="eastAsia" w:ascii="Times New Roman" w:hAnsi="Times New Roman" w:cs="Times New Roman"/>
                <w:i w:val="0"/>
                <w:iCs w:val="0"/>
                <w:color w:val="auto"/>
                <w:kern w:val="0"/>
                <w:sz w:val="21"/>
                <w:szCs w:val="21"/>
                <w:highlight w:val="none"/>
                <w:u w:val="none"/>
                <w:lang w:val="en-US" w:eastAsia="zh-CN" w:bidi="ar"/>
              </w:rPr>
              <w:t>（Oracle、OceanBase、达梦）</w:t>
            </w:r>
            <w:r>
              <w:rPr>
                <w:rFonts w:hint="default" w:ascii="Times New Roman" w:hAnsi="Times New Roman" w:eastAsia="宋体" w:cs="Times New Roman"/>
                <w:i w:val="0"/>
                <w:iCs w:val="0"/>
                <w:color w:val="auto"/>
                <w:kern w:val="0"/>
                <w:sz w:val="21"/>
                <w:szCs w:val="21"/>
                <w:highlight w:val="none"/>
                <w:u w:val="none"/>
                <w:lang w:val="en-US" w:eastAsia="zh-CN" w:bidi="ar"/>
              </w:rPr>
              <w:t>通过采集数据库日志的方式进行数据的实时采集，并实时写入目标数据库</w:t>
            </w:r>
            <w:r>
              <w:rPr>
                <w:rFonts w:hint="eastAsia" w:ascii="Times New Roman" w:hAnsi="Times New Roman" w:cs="Times New Roman"/>
                <w:i w:val="0"/>
                <w:iCs w:val="0"/>
                <w:color w:val="auto"/>
                <w:kern w:val="0"/>
                <w:sz w:val="21"/>
                <w:szCs w:val="21"/>
                <w:highlight w:val="none"/>
                <w:u w:val="none"/>
                <w:lang w:val="en-US" w:eastAsia="zh-CN" w:bidi="ar"/>
              </w:rPr>
              <w:t>（Oracle、OceanBase、达梦）</w:t>
            </w:r>
            <w:r>
              <w:rPr>
                <w:rFonts w:hint="default" w:ascii="Times New Roman" w:hAnsi="Times New Roman" w:eastAsia="宋体" w:cs="Times New Roman"/>
                <w:i w:val="0"/>
                <w:iCs w:val="0"/>
                <w:color w:val="auto"/>
                <w:kern w:val="0"/>
                <w:sz w:val="21"/>
                <w:szCs w:val="21"/>
                <w:highlight w:val="none"/>
                <w:u w:val="none"/>
                <w:lang w:val="en-US" w:eastAsia="zh-CN" w:bidi="ar"/>
              </w:rPr>
              <w:t>、所选底座数据湖</w:t>
            </w:r>
            <w:r>
              <w:rPr>
                <w:rFonts w:hint="eastAsia" w:ascii="Times New Roman" w:hAnsi="Times New Roman" w:cs="Times New Roman"/>
                <w:i w:val="0"/>
                <w:iCs w:val="0"/>
                <w:color w:val="auto"/>
                <w:kern w:val="0"/>
                <w:sz w:val="21"/>
                <w:szCs w:val="21"/>
                <w:highlight w:val="none"/>
                <w:u w:val="none"/>
                <w:lang w:val="en-US" w:eastAsia="zh-CN" w:bidi="ar"/>
              </w:rPr>
              <w:t>相关</w:t>
            </w:r>
            <w:r>
              <w:rPr>
                <w:rFonts w:hint="default" w:ascii="Times New Roman" w:hAnsi="Times New Roman" w:eastAsia="宋体" w:cs="Times New Roman"/>
                <w:i w:val="0"/>
                <w:iCs w:val="0"/>
                <w:color w:val="auto"/>
                <w:kern w:val="0"/>
                <w:sz w:val="21"/>
                <w:szCs w:val="21"/>
                <w:highlight w:val="none"/>
                <w:u w:val="none"/>
                <w:lang w:val="en-US" w:eastAsia="zh-CN" w:bidi="ar"/>
              </w:rPr>
              <w:t>组件和消息队列</w:t>
            </w:r>
            <w:r>
              <w:rPr>
                <w:rFonts w:hint="eastAsia" w:ascii="Times New Roman" w:hAnsi="Times New Roman" w:cs="Times New Roman"/>
                <w:i w:val="0"/>
                <w:iCs w:val="0"/>
                <w:color w:val="auto"/>
                <w:kern w:val="0"/>
                <w:sz w:val="21"/>
                <w:szCs w:val="21"/>
                <w:highlight w:val="none"/>
                <w:u w:val="none"/>
                <w:lang w:val="en-US" w:eastAsia="zh-CN" w:bidi="ar"/>
              </w:rPr>
              <w:t>（Kafka）</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026" w:type="dxa"/>
            <w:shd w:val="clear" w:color="auto" w:fill="auto"/>
            <w:vAlign w:val="center"/>
          </w:tcPr>
          <w:p w14:paraId="3982E451">
            <w:pPr>
              <w:keepNext w:val="0"/>
              <w:keepLines w:val="0"/>
              <w:pageBreakBefore w:val="0"/>
              <w:widowControl/>
              <w:numPr>
                <w:ilvl w:val="0"/>
                <w:numId w:val="29"/>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针对第三章“1.3.3.2 功能要求”要求中提到需支持的源库和目标库，但本次测试中未测试到的，需提供相关材料证明；</w:t>
            </w:r>
          </w:p>
          <w:p w14:paraId="5FF29C46">
            <w:pPr>
              <w:keepNext w:val="0"/>
              <w:keepLines w:val="0"/>
              <w:pageBreakBefore w:val="0"/>
              <w:widowControl/>
              <w:numPr>
                <w:ilvl w:val="0"/>
                <w:numId w:val="29"/>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实时</w:t>
            </w:r>
            <w:r>
              <w:rPr>
                <w:rFonts w:hint="default" w:ascii="Times New Roman" w:hAnsi="Times New Roman" w:eastAsia="宋体" w:cs="Times New Roman"/>
                <w:i w:val="0"/>
                <w:iCs w:val="0"/>
                <w:color w:val="auto"/>
                <w:kern w:val="0"/>
                <w:sz w:val="21"/>
                <w:szCs w:val="21"/>
                <w:highlight w:val="none"/>
                <w:u w:val="none"/>
                <w:lang w:val="en-US" w:eastAsia="zh-CN" w:bidi="ar"/>
              </w:rPr>
              <w:t>采集过程均通过可视化</w:t>
            </w:r>
            <w:r>
              <w:rPr>
                <w:rFonts w:hint="eastAsia" w:ascii="Times New Roman" w:hAnsi="Times New Roman" w:cs="Times New Roman"/>
                <w:i w:val="0"/>
                <w:iCs w:val="0"/>
                <w:color w:val="auto"/>
                <w:kern w:val="0"/>
                <w:sz w:val="21"/>
                <w:szCs w:val="21"/>
                <w:highlight w:val="none"/>
                <w:u w:val="none"/>
                <w:lang w:val="en-US" w:eastAsia="zh-CN" w:bidi="ar"/>
              </w:rPr>
              <w:t>界面</w:t>
            </w:r>
            <w:r>
              <w:rPr>
                <w:rFonts w:hint="default" w:ascii="Times New Roman" w:hAnsi="Times New Roman" w:eastAsia="宋体" w:cs="Times New Roman"/>
                <w:i w:val="0"/>
                <w:iCs w:val="0"/>
                <w:color w:val="auto"/>
                <w:kern w:val="0"/>
                <w:sz w:val="21"/>
                <w:szCs w:val="21"/>
                <w:highlight w:val="none"/>
                <w:u w:val="none"/>
                <w:lang w:val="en-US" w:eastAsia="zh-CN" w:bidi="ar"/>
              </w:rPr>
              <w:t>的方式进行操作和管理，包括数据源配置、任务配置、参数配置、任务启停、任务监控告警等</w:t>
            </w:r>
            <w:r>
              <w:rPr>
                <w:rFonts w:hint="eastAsia" w:ascii="Times New Roman" w:hAnsi="Times New Roman" w:cs="Times New Roman"/>
                <w:i w:val="0"/>
                <w:iCs w:val="0"/>
                <w:color w:val="auto"/>
                <w:kern w:val="0"/>
                <w:sz w:val="21"/>
                <w:szCs w:val="21"/>
                <w:highlight w:val="none"/>
                <w:u w:val="none"/>
                <w:lang w:val="en-US" w:eastAsia="zh-CN" w:bidi="ar"/>
              </w:rPr>
              <w:t>；</w:t>
            </w:r>
          </w:p>
          <w:p w14:paraId="6A6D7D4E">
            <w:pPr>
              <w:keepNext w:val="0"/>
              <w:keepLines w:val="0"/>
              <w:pageBreakBefore w:val="0"/>
              <w:widowControl/>
              <w:numPr>
                <w:ilvl w:val="0"/>
                <w:numId w:val="29"/>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满足实时数据采集性能、并发吞吐、数据时延的要求</w:t>
            </w:r>
            <w:r>
              <w:rPr>
                <w:rFonts w:hint="eastAsia" w:ascii="Times New Roman" w:hAnsi="Times New Roman" w:cs="Times New Roman"/>
                <w:i w:val="0"/>
                <w:iCs w:val="0"/>
                <w:color w:val="auto"/>
                <w:kern w:val="0"/>
                <w:sz w:val="21"/>
                <w:szCs w:val="21"/>
                <w:highlight w:val="none"/>
                <w:u w:val="none"/>
                <w:lang w:val="en-US" w:eastAsia="zh-CN" w:bidi="ar"/>
              </w:rPr>
              <w:t>。</w:t>
            </w:r>
          </w:p>
        </w:tc>
        <w:tc>
          <w:tcPr>
            <w:tcW w:w="732" w:type="dxa"/>
            <w:vMerge w:val="restart"/>
            <w:shd w:val="clear" w:color="auto" w:fill="auto"/>
            <w:vAlign w:val="center"/>
          </w:tcPr>
          <w:p w14:paraId="20ADB24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12</w:t>
            </w:r>
          </w:p>
        </w:tc>
      </w:tr>
      <w:tr w14:paraId="6C6A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4DB9171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24C9D625">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7D4CDEA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根据比选人提供的具体实时开发需求，</w:t>
            </w:r>
            <w:r>
              <w:rPr>
                <w:rFonts w:hint="default" w:ascii="Times New Roman" w:hAnsi="Times New Roman" w:eastAsia="宋体" w:cs="Times New Roman"/>
                <w:i w:val="0"/>
                <w:iCs w:val="0"/>
                <w:color w:val="auto"/>
                <w:kern w:val="0"/>
                <w:sz w:val="21"/>
                <w:szCs w:val="21"/>
                <w:highlight w:val="none"/>
                <w:u w:val="none"/>
                <w:lang w:val="en-US" w:eastAsia="zh-CN" w:bidi="ar"/>
              </w:rPr>
              <w:t>基于数据作业平台服务实现实时计算任务从开发测试到发布运营的全流程。基于实时采集的数据，分别采用SQL、JAR包两种方式完成相应任务的开发，实现场景指标的实时计算加工（具体指标以详细方案为准），任务中至少注册和引用一个UDF函数，最终将两种类型的任务进行打包，通过平台审批提交至湖仓一体底座服务对应租户中运行，并配置监控告警策略。最终对实时任务开发操作流程、数据、资源使用情况整体进行验证和评价。</w:t>
            </w:r>
          </w:p>
        </w:tc>
        <w:tc>
          <w:tcPr>
            <w:tcW w:w="3026" w:type="dxa"/>
            <w:shd w:val="clear" w:color="auto" w:fill="auto"/>
            <w:vAlign w:val="center"/>
          </w:tcPr>
          <w:p w14:paraId="500F6A9F">
            <w:pPr>
              <w:keepNext w:val="0"/>
              <w:keepLines w:val="0"/>
              <w:pageBreakBefore w:val="0"/>
              <w:widowControl/>
              <w:numPr>
                <w:ilvl w:val="0"/>
                <w:numId w:val="30"/>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支持通过操作体验良好的可视化界面完整实现实时计算任务的开发测试、自定义函数上传注册、任务版本管理、参数配置、任务提交、发布审批、任务监控等实时数据开发运营全流程工作；</w:t>
            </w:r>
          </w:p>
          <w:p w14:paraId="387A66BC">
            <w:pPr>
              <w:keepNext w:val="0"/>
              <w:keepLines w:val="0"/>
              <w:pageBreakBefore w:val="0"/>
              <w:widowControl/>
              <w:numPr>
                <w:ilvl w:val="0"/>
                <w:numId w:val="30"/>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具有完善的审批、监控告警、数据安全控制等机制。</w:t>
            </w:r>
          </w:p>
        </w:tc>
        <w:tc>
          <w:tcPr>
            <w:tcW w:w="732" w:type="dxa"/>
            <w:vMerge w:val="continue"/>
            <w:shd w:val="clear" w:color="auto" w:fill="auto"/>
            <w:vAlign w:val="center"/>
          </w:tcPr>
          <w:p w14:paraId="6F97EE88">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C7B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7D6A85A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restart"/>
            <w:shd w:val="clear" w:color="auto" w:fill="auto"/>
            <w:vAlign w:val="center"/>
          </w:tcPr>
          <w:p w14:paraId="0140E33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数据服务场景</w:t>
            </w:r>
          </w:p>
        </w:tc>
        <w:tc>
          <w:tcPr>
            <w:tcW w:w="2565" w:type="dxa"/>
            <w:shd w:val="clear" w:color="auto" w:fill="auto"/>
            <w:vAlign w:val="center"/>
          </w:tcPr>
          <w:p w14:paraId="43F564B5">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根据比选人提供的具体需求，</w:t>
            </w:r>
            <w:r>
              <w:rPr>
                <w:rFonts w:hint="default" w:ascii="Times New Roman" w:hAnsi="Times New Roman" w:eastAsia="宋体" w:cs="Times New Roman"/>
                <w:i w:val="0"/>
                <w:iCs w:val="0"/>
                <w:color w:val="auto"/>
                <w:kern w:val="0"/>
                <w:sz w:val="21"/>
                <w:szCs w:val="21"/>
                <w:highlight w:val="none"/>
                <w:u w:val="none"/>
                <w:lang w:val="en-US" w:eastAsia="zh-CN" w:bidi="ar"/>
              </w:rPr>
              <w:t>通过可视化界面选择对应源表、字段、目标系统、供数频率等参数后，自动生成相关作业及调度任务，为下游系统提供数据文件。</w:t>
            </w:r>
          </w:p>
        </w:tc>
        <w:tc>
          <w:tcPr>
            <w:tcW w:w="3026" w:type="dxa"/>
            <w:shd w:val="clear" w:color="auto" w:fill="auto"/>
            <w:vAlign w:val="center"/>
          </w:tcPr>
          <w:p w14:paraId="3D8C8B48">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1.数据文件成功卸载，且可指定文件目录、文件名称、分隔符、编码、是否包含表头、是否包含校验文件、校验文件内容格式</w:t>
            </w:r>
            <w:r>
              <w:rPr>
                <w:rFonts w:hint="eastAsia" w:ascii="Times New Roman" w:hAnsi="Times New Roman" w:cs="Times New Roman"/>
                <w:i w:val="0"/>
                <w:iCs w:val="0"/>
                <w:color w:val="auto"/>
                <w:kern w:val="0"/>
                <w:sz w:val="21"/>
                <w:szCs w:val="21"/>
                <w:highlight w:val="none"/>
                <w:u w:val="none"/>
                <w:lang w:val="en-US" w:eastAsia="zh-CN" w:bidi="ar"/>
              </w:rPr>
              <w:t>、自定义脚本</w:t>
            </w:r>
            <w:r>
              <w:rPr>
                <w:rFonts w:hint="default" w:ascii="Times New Roman" w:hAnsi="Times New Roman" w:eastAsia="宋体" w:cs="Times New Roman"/>
                <w:i w:val="0"/>
                <w:iCs w:val="0"/>
                <w:color w:val="auto"/>
                <w:kern w:val="0"/>
                <w:sz w:val="21"/>
                <w:szCs w:val="21"/>
                <w:highlight w:val="none"/>
                <w:u w:val="none"/>
                <w:lang w:val="en-US" w:eastAsia="zh-CN" w:bidi="ar"/>
              </w:rPr>
              <w:t>等参数；</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2.文件内容、条数、格式（日期、数字、编码）一致。</w:t>
            </w:r>
          </w:p>
        </w:tc>
        <w:tc>
          <w:tcPr>
            <w:tcW w:w="732" w:type="dxa"/>
            <w:vMerge w:val="restart"/>
            <w:shd w:val="clear" w:color="auto" w:fill="auto"/>
            <w:vAlign w:val="center"/>
          </w:tcPr>
          <w:p w14:paraId="33956CA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4</w:t>
            </w:r>
          </w:p>
        </w:tc>
      </w:tr>
      <w:tr w14:paraId="660B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67540C9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05551E8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3D17343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根据比选人提供的具体需求，</w:t>
            </w:r>
            <w:r>
              <w:rPr>
                <w:rFonts w:hint="default" w:ascii="Times New Roman" w:hAnsi="Times New Roman" w:eastAsia="宋体" w:cs="Times New Roman"/>
                <w:i w:val="0"/>
                <w:iCs w:val="0"/>
                <w:color w:val="auto"/>
                <w:kern w:val="0"/>
                <w:sz w:val="21"/>
                <w:szCs w:val="21"/>
                <w:highlight w:val="none"/>
                <w:u w:val="none"/>
                <w:lang w:val="en-US" w:eastAsia="zh-CN" w:bidi="ar"/>
              </w:rPr>
              <w:t>通过图形化界面配置为各下游系统提供API服务，且API接口参数可配置化程度高。</w:t>
            </w:r>
          </w:p>
        </w:tc>
        <w:tc>
          <w:tcPr>
            <w:tcW w:w="3026" w:type="dxa"/>
            <w:shd w:val="clear" w:color="auto" w:fill="auto"/>
            <w:vAlign w:val="center"/>
          </w:tcPr>
          <w:p w14:paraId="44D8BFE6">
            <w:pPr>
              <w:keepNext w:val="0"/>
              <w:keepLines w:val="0"/>
              <w:pageBreakBefore w:val="0"/>
              <w:widowControl/>
              <w:numPr>
                <w:ilvl w:val="0"/>
                <w:numId w:val="31"/>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API接口服务支持图形化界面配置</w:t>
            </w:r>
            <w:r>
              <w:rPr>
                <w:rFonts w:hint="eastAsia" w:ascii="Times New Roman" w:hAnsi="Times New Roman" w:cs="Times New Roman"/>
                <w:i w:val="0"/>
                <w:iCs w:val="0"/>
                <w:color w:val="auto"/>
                <w:kern w:val="0"/>
                <w:sz w:val="21"/>
                <w:szCs w:val="21"/>
                <w:highlight w:val="none"/>
                <w:u w:val="none"/>
                <w:lang w:val="en-US" w:eastAsia="zh-CN" w:bidi="ar"/>
              </w:rPr>
              <w:t>且</w:t>
            </w:r>
            <w:r>
              <w:rPr>
                <w:rFonts w:hint="default" w:ascii="Times New Roman" w:hAnsi="Times New Roman" w:eastAsia="宋体" w:cs="Times New Roman"/>
                <w:i w:val="0"/>
                <w:iCs w:val="0"/>
                <w:color w:val="auto"/>
                <w:kern w:val="0"/>
                <w:sz w:val="21"/>
                <w:szCs w:val="21"/>
                <w:highlight w:val="none"/>
                <w:u w:val="none"/>
                <w:lang w:val="en-US" w:eastAsia="zh-CN" w:bidi="ar"/>
              </w:rPr>
              <w:t>参数可配置化程度高；</w:t>
            </w:r>
          </w:p>
          <w:p w14:paraId="71CD85AD">
            <w:pPr>
              <w:keepNext w:val="0"/>
              <w:keepLines w:val="0"/>
              <w:pageBreakBefore w:val="0"/>
              <w:widowControl/>
              <w:numPr>
                <w:ilvl w:val="0"/>
                <w:numId w:val="31"/>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支持实时、异步返回报文或文件；</w:t>
            </w:r>
          </w:p>
        </w:tc>
        <w:tc>
          <w:tcPr>
            <w:tcW w:w="732" w:type="dxa"/>
            <w:vMerge w:val="continue"/>
            <w:shd w:val="clear" w:color="auto" w:fill="auto"/>
            <w:vAlign w:val="center"/>
          </w:tcPr>
          <w:p w14:paraId="0A03F58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2AA0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7FAFB3F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restart"/>
            <w:shd w:val="clear" w:color="auto" w:fill="auto"/>
            <w:vAlign w:val="center"/>
          </w:tcPr>
          <w:p w14:paraId="007133A8">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管理运营场景</w:t>
            </w:r>
          </w:p>
        </w:tc>
        <w:tc>
          <w:tcPr>
            <w:tcW w:w="2565" w:type="dxa"/>
            <w:shd w:val="clear" w:color="auto" w:fill="auto"/>
            <w:vAlign w:val="center"/>
          </w:tcPr>
          <w:p w14:paraId="14185BE6">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整个平台的数据血缘、开发任务血缘、调度任务血缘管理水平。</w:t>
            </w:r>
          </w:p>
        </w:tc>
        <w:tc>
          <w:tcPr>
            <w:tcW w:w="3026" w:type="dxa"/>
            <w:shd w:val="clear" w:color="auto" w:fill="auto"/>
            <w:vAlign w:val="center"/>
          </w:tcPr>
          <w:p w14:paraId="6D36CB8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1.具备良好、完备、清晰的血缘记录</w:t>
            </w:r>
            <w:r>
              <w:rPr>
                <w:rFonts w:hint="eastAsia" w:ascii="Times New Roman" w:hAnsi="Times New Roman" w:cs="Times New Roman"/>
                <w:i w:val="0"/>
                <w:iCs w:val="0"/>
                <w:color w:val="auto"/>
                <w:kern w:val="0"/>
                <w:sz w:val="21"/>
                <w:szCs w:val="21"/>
                <w:highlight w:val="none"/>
                <w:u w:val="none"/>
                <w:lang w:val="en-US" w:eastAsia="zh-CN" w:bidi="ar"/>
              </w:rPr>
              <w:t>，包括表级和字段的血缘关系</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32" w:type="dxa"/>
            <w:vMerge w:val="restart"/>
            <w:shd w:val="clear" w:color="auto" w:fill="auto"/>
            <w:vAlign w:val="center"/>
          </w:tcPr>
          <w:p w14:paraId="62377DC2">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8</w:t>
            </w:r>
          </w:p>
        </w:tc>
      </w:tr>
      <w:tr w14:paraId="752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1500366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292E024B">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5F31FA93">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查看</w:t>
            </w:r>
            <w:r>
              <w:rPr>
                <w:rFonts w:hint="eastAsia" w:ascii="Times New Roman" w:hAnsi="Times New Roman" w:cs="Times New Roman"/>
                <w:i w:val="0"/>
                <w:iCs w:val="0"/>
                <w:color w:val="auto"/>
                <w:kern w:val="0"/>
                <w:sz w:val="21"/>
                <w:szCs w:val="21"/>
                <w:highlight w:val="none"/>
                <w:u w:val="none"/>
                <w:lang w:val="en-US" w:eastAsia="zh-CN" w:bidi="ar"/>
              </w:rPr>
              <w:t>整个平台</w:t>
            </w:r>
            <w:r>
              <w:rPr>
                <w:rFonts w:hint="default" w:ascii="Times New Roman" w:hAnsi="Times New Roman" w:eastAsia="宋体" w:cs="Times New Roman"/>
                <w:i w:val="0"/>
                <w:iCs w:val="0"/>
                <w:color w:val="auto"/>
                <w:kern w:val="0"/>
                <w:sz w:val="21"/>
                <w:szCs w:val="21"/>
                <w:highlight w:val="none"/>
                <w:u w:val="none"/>
                <w:lang w:val="en-US" w:eastAsia="zh-CN" w:bidi="ar"/>
              </w:rPr>
              <w:t>的资源使用情况，如CPU使用情况、内存使用情况等。</w:t>
            </w:r>
          </w:p>
        </w:tc>
        <w:tc>
          <w:tcPr>
            <w:tcW w:w="3026" w:type="dxa"/>
            <w:shd w:val="clear" w:color="auto" w:fill="auto"/>
            <w:vAlign w:val="center"/>
          </w:tcPr>
          <w:p w14:paraId="66262FBD">
            <w:pPr>
              <w:keepNext w:val="0"/>
              <w:keepLines w:val="0"/>
              <w:pageBreakBefore w:val="0"/>
              <w:widowControl/>
              <w:numPr>
                <w:ilvl w:val="0"/>
                <w:numId w:val="32"/>
              </w:numPr>
              <w:suppressLineNumbers w:val="0"/>
              <w:kinsoku/>
              <w:wordWrap/>
              <w:overflowPunct/>
              <w:topLinePunct w:val="0"/>
              <w:bidi w:val="0"/>
              <w:adjustRightInd/>
              <w:snapToGrid/>
              <w:spacing w:line="400" w:lineRule="exact"/>
              <w:ind w:firstLine="0" w:firstLineChars="0"/>
              <w:jc w:val="left"/>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支持自动健康检查和深度巡检</w:t>
            </w:r>
            <w:r>
              <w:rPr>
                <w:rFonts w:hint="eastAsia" w:ascii="Times New Roman" w:hAnsi="Times New Roman" w:cs="Times New Roman"/>
                <w:i w:val="0"/>
                <w:iCs w:val="0"/>
                <w:color w:val="auto"/>
                <w:kern w:val="0"/>
                <w:sz w:val="21"/>
                <w:szCs w:val="21"/>
                <w:highlight w:val="none"/>
                <w:u w:val="none"/>
                <w:lang w:val="en-US" w:eastAsia="zh-CN" w:bidi="ar"/>
              </w:rPr>
              <w:t>；</w:t>
            </w:r>
          </w:p>
          <w:p w14:paraId="61A6CE43">
            <w:pPr>
              <w:keepNext w:val="0"/>
              <w:keepLines w:val="0"/>
              <w:pageBreakBefore w:val="0"/>
              <w:widowControl/>
              <w:numPr>
                <w:ilvl w:val="0"/>
                <w:numId w:val="32"/>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集群节点可通过可视化页面监控各项资源使用情况</w:t>
            </w:r>
            <w:r>
              <w:rPr>
                <w:rFonts w:hint="eastAsia" w:ascii="Times New Roman" w:hAnsi="Times New Roman" w:cs="Times New Roman"/>
                <w:i w:val="0"/>
                <w:iCs w:val="0"/>
                <w:color w:val="auto"/>
                <w:kern w:val="0"/>
                <w:sz w:val="21"/>
                <w:szCs w:val="21"/>
                <w:highlight w:val="none"/>
                <w:u w:val="none"/>
                <w:lang w:val="en-US" w:eastAsia="zh-CN" w:bidi="ar"/>
              </w:rPr>
              <w:t>。</w:t>
            </w:r>
          </w:p>
        </w:tc>
        <w:tc>
          <w:tcPr>
            <w:tcW w:w="732" w:type="dxa"/>
            <w:vMerge w:val="continue"/>
            <w:shd w:val="clear" w:color="auto" w:fill="auto"/>
            <w:vAlign w:val="center"/>
          </w:tcPr>
          <w:p w14:paraId="3CBDC9F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2F9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3049A37A">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04E682A2">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3A4E22EE">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查看</w:t>
            </w:r>
            <w:r>
              <w:rPr>
                <w:rFonts w:hint="eastAsia" w:ascii="Times New Roman" w:hAnsi="Times New Roman" w:cs="Times New Roman"/>
                <w:i w:val="0"/>
                <w:iCs w:val="0"/>
                <w:color w:val="auto"/>
                <w:kern w:val="0"/>
                <w:sz w:val="21"/>
                <w:szCs w:val="21"/>
                <w:highlight w:val="none"/>
                <w:u w:val="none"/>
                <w:lang w:val="en-US" w:eastAsia="zh-CN" w:bidi="ar"/>
              </w:rPr>
              <w:t>整个平台</w:t>
            </w:r>
            <w:r>
              <w:rPr>
                <w:rFonts w:hint="default" w:ascii="Times New Roman" w:hAnsi="Times New Roman" w:eastAsia="宋体" w:cs="Times New Roman"/>
                <w:i w:val="0"/>
                <w:iCs w:val="0"/>
                <w:color w:val="auto"/>
                <w:kern w:val="0"/>
                <w:sz w:val="21"/>
                <w:szCs w:val="21"/>
                <w:highlight w:val="none"/>
                <w:u w:val="none"/>
                <w:lang w:val="en-US" w:eastAsia="zh-CN" w:bidi="ar"/>
              </w:rPr>
              <w:t>数据资产情况，包括数据量、数据表数量、调度任务数量等数据运营情况</w:t>
            </w:r>
            <w:r>
              <w:rPr>
                <w:rFonts w:hint="eastAsia" w:ascii="Times New Roman" w:hAnsi="Times New Roman" w:cs="Times New Roman"/>
                <w:i w:val="0"/>
                <w:iCs w:val="0"/>
                <w:color w:val="auto"/>
                <w:kern w:val="0"/>
                <w:sz w:val="21"/>
                <w:szCs w:val="21"/>
                <w:highlight w:val="none"/>
                <w:u w:val="none"/>
                <w:lang w:val="en-US" w:eastAsia="zh-CN" w:bidi="ar"/>
              </w:rPr>
              <w:t>以及运维相关情况</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026" w:type="dxa"/>
            <w:shd w:val="clear" w:color="auto" w:fill="auto"/>
            <w:vAlign w:val="center"/>
          </w:tcPr>
          <w:p w14:paraId="31AC92C1">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1.可通过可视化页面查看各类数据运营情况</w:t>
            </w:r>
            <w:r>
              <w:rPr>
                <w:rFonts w:hint="eastAsia" w:ascii="Times New Roman" w:hAnsi="Times New Roman" w:cs="Times New Roman"/>
                <w:i w:val="0"/>
                <w:iCs w:val="0"/>
                <w:color w:val="auto"/>
                <w:kern w:val="0"/>
                <w:sz w:val="21"/>
                <w:szCs w:val="21"/>
                <w:highlight w:val="none"/>
                <w:u w:val="none"/>
                <w:lang w:val="en-US" w:eastAsia="zh-CN" w:bidi="ar"/>
              </w:rPr>
              <w:t>且可自定义展示页面内容、顺序等</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Times New Roman" w:hAnsi="Times New Roman" w:cs="Times New Roman"/>
                <w:i w:val="0"/>
                <w:iCs w:val="0"/>
                <w:color w:val="auto"/>
                <w:kern w:val="0"/>
                <w:sz w:val="21"/>
                <w:szCs w:val="21"/>
                <w:highlight w:val="none"/>
                <w:u w:val="none"/>
                <w:lang w:val="en-US" w:eastAsia="zh-CN" w:bidi="ar"/>
              </w:rPr>
              <w:t>支持上线时双人复核功能</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32" w:type="dxa"/>
            <w:vMerge w:val="continue"/>
            <w:shd w:val="clear" w:color="auto" w:fill="auto"/>
            <w:vAlign w:val="center"/>
          </w:tcPr>
          <w:p w14:paraId="3A2EC59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864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6A30183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restart"/>
            <w:shd w:val="clear" w:color="auto" w:fill="auto"/>
            <w:vAlign w:val="center"/>
          </w:tcPr>
          <w:p w14:paraId="55F9254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数据安全场景</w:t>
            </w:r>
          </w:p>
        </w:tc>
        <w:tc>
          <w:tcPr>
            <w:tcW w:w="2565" w:type="dxa"/>
            <w:shd w:val="clear" w:color="auto" w:fill="auto"/>
            <w:vAlign w:val="center"/>
          </w:tcPr>
          <w:p w14:paraId="621C5860">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用户账号安全可配置化程度高。</w:t>
            </w:r>
          </w:p>
        </w:tc>
        <w:tc>
          <w:tcPr>
            <w:tcW w:w="3026" w:type="dxa"/>
            <w:shd w:val="clear" w:color="auto" w:fill="auto"/>
            <w:vAlign w:val="center"/>
          </w:tcPr>
          <w:p w14:paraId="1C7EA8B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1.账号口令可设置复杂度规则</w:t>
            </w:r>
            <w:r>
              <w:rPr>
                <w:rFonts w:hint="eastAsia" w:ascii="Times New Roman" w:hAnsi="Times New Roman" w:cs="Times New Roman"/>
                <w:i w:val="0"/>
                <w:iCs w:val="0"/>
                <w:color w:val="auto"/>
                <w:kern w:val="0"/>
                <w:sz w:val="21"/>
                <w:szCs w:val="21"/>
                <w:highlight w:val="none"/>
                <w:u w:val="none"/>
                <w:lang w:val="en-US" w:eastAsia="zh-CN" w:bidi="ar"/>
              </w:rPr>
              <w:t>且支持设置定期强制更换</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eastAsia" w:ascii="Times New Roman" w:hAnsi="Times New Roman"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.支持账号与IP或IP段或MAC地址绑定</w:t>
            </w:r>
            <w:r>
              <w:rPr>
                <w:rFonts w:hint="eastAsia" w:ascii="Times New Roman" w:hAnsi="Times New Roman" w:cs="Times New Roman"/>
                <w:i w:val="0"/>
                <w:iCs w:val="0"/>
                <w:color w:val="auto"/>
                <w:kern w:val="0"/>
                <w:sz w:val="21"/>
                <w:szCs w:val="21"/>
                <w:highlight w:val="none"/>
                <w:u w:val="none"/>
                <w:lang w:val="en-US" w:eastAsia="zh-CN" w:bidi="ar"/>
              </w:rPr>
              <w:t>。</w:t>
            </w:r>
          </w:p>
        </w:tc>
        <w:tc>
          <w:tcPr>
            <w:tcW w:w="732" w:type="dxa"/>
            <w:vMerge w:val="restart"/>
            <w:shd w:val="clear" w:color="auto" w:fill="auto"/>
            <w:vAlign w:val="center"/>
          </w:tcPr>
          <w:p w14:paraId="69B66E3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5</w:t>
            </w:r>
          </w:p>
        </w:tc>
      </w:tr>
      <w:tr w14:paraId="3AAE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3B885A47">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6B5DE473">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4ADC721B">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日常开发、运营、维护等节点的流程配置的便捷性、灵活性。</w:t>
            </w:r>
          </w:p>
        </w:tc>
        <w:tc>
          <w:tcPr>
            <w:tcW w:w="3026" w:type="dxa"/>
            <w:shd w:val="clear" w:color="auto" w:fill="auto"/>
            <w:vAlign w:val="center"/>
          </w:tcPr>
          <w:p w14:paraId="4CE0B445">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1.具有完善的流程管控机制；</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2.对关键节点、关键操作可设置审批流程管控，可由项目管理员自行灵活配置。</w:t>
            </w:r>
          </w:p>
        </w:tc>
        <w:tc>
          <w:tcPr>
            <w:tcW w:w="732" w:type="dxa"/>
            <w:vMerge w:val="continue"/>
            <w:shd w:val="clear" w:color="auto" w:fill="auto"/>
            <w:vAlign w:val="center"/>
          </w:tcPr>
          <w:p w14:paraId="4BED432C">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40CB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121649EE">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vMerge w:val="continue"/>
            <w:shd w:val="clear" w:color="auto" w:fill="auto"/>
            <w:vAlign w:val="center"/>
          </w:tcPr>
          <w:p w14:paraId="42F119EC">
            <w:pPr>
              <w:keepNext w:val="0"/>
              <w:keepLines w:val="0"/>
              <w:pageBreakBefore w:val="0"/>
              <w:widowControl/>
              <w:kinsoku/>
              <w:wordWrap/>
              <w:overflowPunct/>
              <w:topLinePunct w:val="0"/>
              <w:bidi w:val="0"/>
              <w:adjustRightInd/>
              <w:snapToGrid/>
              <w:spacing w:line="400" w:lineRule="exact"/>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565" w:type="dxa"/>
            <w:shd w:val="clear" w:color="auto" w:fill="auto"/>
            <w:vAlign w:val="center"/>
          </w:tcPr>
          <w:p w14:paraId="4B1A4DAA">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平台</w:t>
            </w:r>
            <w:r>
              <w:rPr>
                <w:rFonts w:hint="eastAsia" w:ascii="Times New Roman" w:hAnsi="Times New Roman" w:cs="Times New Roman"/>
                <w:i w:val="0"/>
                <w:iCs w:val="0"/>
                <w:color w:val="auto"/>
                <w:kern w:val="0"/>
                <w:sz w:val="21"/>
                <w:szCs w:val="21"/>
                <w:highlight w:val="none"/>
                <w:u w:val="none"/>
                <w:lang w:val="en-US" w:eastAsia="zh-CN" w:bidi="ar"/>
              </w:rPr>
              <w:t>数据安全</w:t>
            </w:r>
            <w:r>
              <w:rPr>
                <w:rFonts w:hint="default" w:ascii="Times New Roman" w:hAnsi="Times New Roman" w:eastAsia="宋体" w:cs="Times New Roman"/>
                <w:i w:val="0"/>
                <w:iCs w:val="0"/>
                <w:color w:val="auto"/>
                <w:kern w:val="0"/>
                <w:sz w:val="21"/>
                <w:szCs w:val="21"/>
                <w:highlight w:val="none"/>
                <w:u w:val="none"/>
                <w:lang w:val="en-US" w:eastAsia="zh-CN" w:bidi="ar"/>
              </w:rPr>
              <w:t>管控能力。</w:t>
            </w:r>
          </w:p>
        </w:tc>
        <w:tc>
          <w:tcPr>
            <w:tcW w:w="3026" w:type="dxa"/>
            <w:shd w:val="clear" w:color="auto" w:fill="auto"/>
            <w:vAlign w:val="center"/>
          </w:tcPr>
          <w:p w14:paraId="54927AD1">
            <w:pPr>
              <w:keepNext w:val="0"/>
              <w:keepLines w:val="0"/>
              <w:pageBreakBefore w:val="0"/>
              <w:widowControl/>
              <w:numPr>
                <w:ilvl w:val="0"/>
                <w:numId w:val="33"/>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前台页面查看数据支持掩码遮蔽处理</w:t>
            </w:r>
            <w:r>
              <w:rPr>
                <w:rFonts w:hint="eastAsia" w:ascii="Times New Roman" w:hAnsi="Times New Roman" w:cs="Times New Roman"/>
                <w:i w:val="0"/>
                <w:iCs w:val="0"/>
                <w:color w:val="auto"/>
                <w:kern w:val="0"/>
                <w:sz w:val="21"/>
                <w:szCs w:val="21"/>
                <w:highlight w:val="none"/>
                <w:u w:val="none"/>
                <w:lang w:val="en-US" w:eastAsia="zh-CN" w:bidi="ar"/>
              </w:rPr>
              <w:t>。</w:t>
            </w:r>
          </w:p>
        </w:tc>
        <w:tc>
          <w:tcPr>
            <w:tcW w:w="732" w:type="dxa"/>
            <w:vMerge w:val="continue"/>
            <w:shd w:val="clear" w:color="auto" w:fill="auto"/>
            <w:vAlign w:val="center"/>
          </w:tcPr>
          <w:p w14:paraId="44CF8C3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6859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shd w:val="clear" w:color="auto" w:fill="auto"/>
            <w:vAlign w:val="center"/>
          </w:tcPr>
          <w:p w14:paraId="497C37E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88" w:type="dxa"/>
            <w:shd w:val="clear" w:color="auto" w:fill="auto"/>
            <w:vAlign w:val="center"/>
          </w:tcPr>
          <w:p w14:paraId="1549D1EB">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数据迁移场景</w:t>
            </w:r>
          </w:p>
        </w:tc>
        <w:tc>
          <w:tcPr>
            <w:tcW w:w="2565" w:type="dxa"/>
            <w:shd w:val="clear" w:color="auto" w:fill="auto"/>
            <w:vAlign w:val="center"/>
          </w:tcPr>
          <w:p w14:paraId="0C72A892">
            <w:pPr>
              <w:keepNext w:val="0"/>
              <w:keepLines w:val="0"/>
              <w:pageBreakBefore w:val="0"/>
              <w:widowControl/>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分别将Hive、HBase、Oracle的各5张表迁移至数据湖。</w:t>
            </w:r>
          </w:p>
        </w:tc>
        <w:tc>
          <w:tcPr>
            <w:tcW w:w="3026" w:type="dxa"/>
            <w:shd w:val="clear" w:color="auto" w:fill="auto"/>
            <w:vAlign w:val="center"/>
          </w:tcPr>
          <w:p w14:paraId="0C4BCBDD">
            <w:pPr>
              <w:keepNext w:val="0"/>
              <w:keepLines w:val="0"/>
              <w:pageBreakBefore w:val="0"/>
              <w:widowControl/>
              <w:numPr>
                <w:ilvl w:val="0"/>
                <w:numId w:val="3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通过图形化界面进行数据迁移</w:t>
            </w:r>
            <w:r>
              <w:rPr>
                <w:rFonts w:hint="default" w:ascii="Times New Roman" w:hAnsi="Times New Roman" w:eastAsia="宋体" w:cs="Times New Roman"/>
                <w:i w:val="0"/>
                <w:iCs w:val="0"/>
                <w:color w:val="auto"/>
                <w:kern w:val="0"/>
                <w:sz w:val="21"/>
                <w:szCs w:val="21"/>
                <w:highlight w:val="none"/>
                <w:u w:val="none"/>
                <w:lang w:val="en-US" w:eastAsia="zh-CN" w:bidi="ar"/>
              </w:rPr>
              <w:t>；</w:t>
            </w:r>
          </w:p>
          <w:p w14:paraId="5C8AF786">
            <w:pPr>
              <w:keepNext w:val="0"/>
              <w:keepLines w:val="0"/>
              <w:pageBreakBefore w:val="0"/>
              <w:widowControl/>
              <w:numPr>
                <w:ilvl w:val="0"/>
                <w:numId w:val="3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数据能够高效的迁移至数据湖；</w:t>
            </w:r>
          </w:p>
          <w:p w14:paraId="1629199F">
            <w:pPr>
              <w:keepNext w:val="0"/>
              <w:keepLines w:val="0"/>
              <w:pageBreakBefore w:val="0"/>
              <w:widowControl/>
              <w:numPr>
                <w:ilvl w:val="0"/>
                <w:numId w:val="34"/>
              </w:numPr>
              <w:suppressLineNumbers w:val="0"/>
              <w:kinsoku/>
              <w:wordWrap/>
              <w:overflowPunct/>
              <w:topLinePunct w:val="0"/>
              <w:bidi w:val="0"/>
              <w:adjustRightInd/>
              <w:snapToGrid/>
              <w:spacing w:line="400" w:lineRule="exact"/>
              <w:ind w:firstLine="0" w:firstLineChars="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数据迁移后，数据存储结构和数据压缩合理</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32" w:type="dxa"/>
            <w:shd w:val="clear" w:color="auto" w:fill="auto"/>
            <w:vAlign w:val="center"/>
          </w:tcPr>
          <w:p w14:paraId="60CD318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r>
      <w:tr w14:paraId="0FEB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8" w:type="dxa"/>
            <w:gridSpan w:val="4"/>
            <w:shd w:val="clear" w:color="auto" w:fill="auto"/>
            <w:vAlign w:val="center"/>
          </w:tcPr>
          <w:p w14:paraId="6B350FA3">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合计</w:t>
            </w:r>
          </w:p>
        </w:tc>
        <w:tc>
          <w:tcPr>
            <w:tcW w:w="732" w:type="dxa"/>
            <w:shd w:val="clear" w:color="auto" w:fill="auto"/>
            <w:vAlign w:val="center"/>
          </w:tcPr>
          <w:p w14:paraId="4F7231D9">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r>
      <w:bookmarkEnd w:id="75"/>
    </w:tbl>
    <w:p w14:paraId="33534E3F">
      <w:pPr>
        <w:pStyle w:val="4"/>
        <w:keepNext w:val="0"/>
        <w:keepLines w:val="0"/>
        <w:pageBreakBefore w:val="0"/>
        <w:widowControl w:val="0"/>
        <w:numPr>
          <w:ilvl w:val="0"/>
          <w:numId w:val="18"/>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POC评分规则</w:t>
      </w:r>
    </w:p>
    <w:p w14:paraId="60782405">
      <w:pPr>
        <w:keepNext w:val="0"/>
        <w:keepLines w:val="0"/>
        <w:pageBreakBefore w:val="0"/>
        <w:widowControl w:val="0"/>
        <w:kinsoku/>
        <w:wordWrap/>
        <w:overflowPunct/>
        <w:topLinePunct w:val="0"/>
        <w:autoSpaceDE w:val="0"/>
        <w:autoSpaceDN w:val="0"/>
        <w:bidi w:val="0"/>
        <w:adjustRightInd/>
        <w:snapToGrid/>
        <w:spacing w:after="157" w:afterLines="5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比选人将根据参选人的测试情况综合评定各场景得分。参选人测试总得分由各场景得分相加（保留两位小数，4舍5入），具体的评分规则为：各场景得分=各场景标准分值*评分系数。具体的测试结果与评分系数对照关系如下表所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5211"/>
      </w:tblGrid>
      <w:tr w14:paraId="7426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dxa"/>
            <w:shd w:val="clear" w:color="auto" w:fill="BEBEBE" w:themeFill="background1" w:themeFillShade="BF"/>
            <w:vAlign w:val="center"/>
          </w:tcPr>
          <w:p w14:paraId="283892A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测试结果</w:t>
            </w:r>
          </w:p>
        </w:tc>
        <w:tc>
          <w:tcPr>
            <w:tcW w:w="5211" w:type="dxa"/>
            <w:shd w:val="clear" w:color="auto" w:fill="BEBEBE" w:themeFill="background1" w:themeFillShade="BF"/>
            <w:vAlign w:val="center"/>
          </w:tcPr>
          <w:p w14:paraId="48A6820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评分系数</w:t>
            </w:r>
          </w:p>
        </w:tc>
      </w:tr>
      <w:tr w14:paraId="19FE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dxa"/>
            <w:vAlign w:val="center"/>
          </w:tcPr>
          <w:p w14:paraId="4689AC3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满足</w:t>
            </w:r>
          </w:p>
        </w:tc>
        <w:tc>
          <w:tcPr>
            <w:tcW w:w="5211" w:type="dxa"/>
            <w:vAlign w:val="center"/>
          </w:tcPr>
          <w:p w14:paraId="22BFB75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1.0</w:t>
            </w:r>
          </w:p>
        </w:tc>
      </w:tr>
      <w:tr w14:paraId="3C8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dxa"/>
            <w:vAlign w:val="center"/>
          </w:tcPr>
          <w:p w14:paraId="66D7ECE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部分满足</w:t>
            </w:r>
          </w:p>
        </w:tc>
        <w:tc>
          <w:tcPr>
            <w:tcW w:w="5211" w:type="dxa"/>
            <w:vAlign w:val="center"/>
          </w:tcPr>
          <w:p w14:paraId="7C2E504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0.1-0.9（根据测试情况综合评定）</w:t>
            </w:r>
          </w:p>
        </w:tc>
      </w:tr>
      <w:tr w14:paraId="58B7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dxa"/>
            <w:vAlign w:val="center"/>
          </w:tcPr>
          <w:p w14:paraId="0E48453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不满足</w:t>
            </w:r>
          </w:p>
        </w:tc>
        <w:tc>
          <w:tcPr>
            <w:tcW w:w="5211" w:type="dxa"/>
            <w:vAlign w:val="center"/>
          </w:tcPr>
          <w:p w14:paraId="55DDBF8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0</w:t>
            </w:r>
          </w:p>
        </w:tc>
      </w:tr>
    </w:tbl>
    <w:p w14:paraId="79FBBDAB">
      <w:pPr>
        <w:rPr>
          <w:rFonts w:hint="eastAsia" w:ascii="Times New Roman" w:hAnsi="Times New Roman" w:cs="Times New Roman"/>
          <w:color w:val="auto"/>
          <w:sz w:val="44"/>
          <w:szCs w:val="44"/>
          <w:highlight w:val="none"/>
          <w:lang w:val="en-US" w:eastAsia="zh-CN"/>
        </w:rPr>
      </w:pPr>
      <w:r>
        <w:rPr>
          <w:rFonts w:hint="eastAsia" w:ascii="Times New Roman" w:hAnsi="Times New Roman" w:cs="Times New Roman"/>
          <w:color w:val="auto"/>
          <w:sz w:val="44"/>
          <w:szCs w:val="44"/>
          <w:highlight w:val="none"/>
          <w:lang w:val="en-US" w:eastAsia="zh-CN"/>
        </w:rPr>
        <w:br w:type="page"/>
      </w:r>
    </w:p>
    <w:p w14:paraId="17D268F9">
      <w:pPr>
        <w:pStyle w:val="3"/>
        <w:rPr>
          <w:rFonts w:hint="eastAsia"/>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8186B7F">
      <w:pPr>
        <w:pStyle w:val="3"/>
        <w:keepNext w:val="0"/>
        <w:keepLines w:val="0"/>
        <w:pageBreakBefore w:val="0"/>
        <w:widowControl w:val="0"/>
        <w:tabs>
          <w:tab w:val="left" w:pos="3360"/>
        </w:tabs>
        <w:kinsoku/>
        <w:wordWrap/>
        <w:overflowPunct/>
        <w:topLinePunct w:val="0"/>
        <w:autoSpaceDE w:val="0"/>
        <w:autoSpaceDN w:val="0"/>
        <w:bidi w:val="0"/>
        <w:adjustRightInd/>
        <w:snapToGrid w:val="0"/>
        <w:jc w:val="left"/>
        <w:textAlignment w:val="auto"/>
        <w:outlineLvl w:val="1"/>
        <w:rPr>
          <w:rFonts w:hint="default" w:ascii="Times New Roman" w:hAnsi="Times New Roman" w:cs="Times New Roman"/>
          <w:color w:val="auto"/>
          <w:sz w:val="44"/>
          <w:szCs w:val="44"/>
          <w:highlight w:val="none"/>
          <w:lang w:val="en-US" w:eastAsia="zh-CN"/>
        </w:rPr>
      </w:pPr>
      <w:r>
        <w:rPr>
          <w:rFonts w:hint="eastAsia" w:ascii="Times New Roman" w:hAnsi="Times New Roman" w:cs="Times New Roman"/>
          <w:color w:val="auto"/>
          <w:sz w:val="44"/>
          <w:szCs w:val="44"/>
          <w:highlight w:val="none"/>
          <w:lang w:val="en-US" w:eastAsia="zh-CN"/>
        </w:rPr>
        <w:t>附件三</w:t>
      </w:r>
    </w:p>
    <w:p w14:paraId="439036C8">
      <w:pPr>
        <w:rPr>
          <w:rFonts w:hint="eastAsia" w:ascii="Times New Roman" w:hAnsi="Times New Roman" w:cs="Times New Roman"/>
          <w:color w:val="auto"/>
          <w:highlight w:val="none"/>
          <w:lang w:val="en-US" w:eastAsia="zh-CN"/>
        </w:rPr>
      </w:pPr>
    </w:p>
    <w:p w14:paraId="5577E537">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rFonts w:hint="default" w:ascii="Times New Roman" w:hAnsi="Times New Roman" w:eastAsia="宋体" w:cs="Times New Roman"/>
          <w:b/>
          <w:bCs/>
          <w:color w:val="auto"/>
          <w:sz w:val="48"/>
          <w:szCs w:val="48"/>
          <w:highlight w:val="none"/>
        </w:rPr>
        <w:t>重庆三峡银行</w:t>
      </w:r>
    </w:p>
    <w:p w14:paraId="6BE302EA">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lang w:val="en-US" w:eastAsia="zh-CN"/>
        </w:rPr>
      </w:pPr>
      <w:r>
        <w:rPr>
          <w:rFonts w:hint="default" w:ascii="Times New Roman" w:hAnsi="Times New Roman" w:eastAsia="宋体" w:cs="Times New Roman"/>
          <w:b/>
          <w:bCs/>
          <w:color w:val="auto"/>
          <w:sz w:val="48"/>
          <w:szCs w:val="48"/>
          <w:highlight w:val="none"/>
          <w:lang w:val="en-US" w:eastAsia="zh-CN"/>
        </w:rPr>
        <w:t>新一代数据中台项目（一期）</w:t>
      </w:r>
    </w:p>
    <w:p w14:paraId="38C2B506">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rFonts w:hint="eastAsia" w:ascii="Times New Roman" w:hAnsi="Times New Roman" w:cs="Times New Roman"/>
          <w:b/>
          <w:bCs/>
          <w:color w:val="auto"/>
          <w:sz w:val="48"/>
          <w:szCs w:val="48"/>
          <w:highlight w:val="none"/>
          <w:lang w:val="en-US" w:eastAsia="zh-CN"/>
        </w:rPr>
        <w:t>验收标准</w:t>
      </w:r>
    </w:p>
    <w:p w14:paraId="47D8996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default" w:ascii="Times New Roman" w:hAnsi="Times New Roman" w:eastAsia="宋体" w:cs="Times New Roman"/>
          <w:b/>
          <w:bCs/>
          <w:color w:val="auto"/>
          <w:sz w:val="48"/>
          <w:szCs w:val="48"/>
          <w:highlight w:val="none"/>
        </w:rPr>
      </w:pPr>
    </w:p>
    <w:p w14:paraId="6CEB831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default" w:ascii="Times New Roman" w:hAnsi="Times New Roman" w:eastAsia="宋体" w:cs="Times New Roman"/>
          <w:b/>
          <w:bCs/>
          <w:color w:val="auto"/>
          <w:sz w:val="48"/>
          <w:szCs w:val="48"/>
          <w:highlight w:val="none"/>
        </w:rPr>
      </w:pPr>
      <w:r>
        <w:rPr>
          <w:color w:val="auto"/>
          <w:highlight w:val="none"/>
        </w:rPr>
        <w:drawing>
          <wp:anchor distT="0" distB="0" distL="114300" distR="114300" simplePos="0" relativeHeight="251661312" behindDoc="0" locked="0" layoutInCell="1" allowOverlap="1">
            <wp:simplePos x="0" y="0"/>
            <wp:positionH relativeFrom="column">
              <wp:posOffset>1241425</wp:posOffset>
            </wp:positionH>
            <wp:positionV relativeFrom="paragraph">
              <wp:posOffset>90170</wp:posOffset>
            </wp:positionV>
            <wp:extent cx="2680970" cy="541655"/>
            <wp:effectExtent l="0" t="0" r="6985" b="0"/>
            <wp:wrapTopAndBottom/>
            <wp:docPr id="5" name="Picture 2" descr="https://www.ccqtgb.com/upload/cn/image/2021-08/col70/162830447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www.ccqtgb.com/upload/cn/image/2021-08/col70/1628304472124.png"/>
                    <pic:cNvPicPr>
                      <a:picLocks noChangeAspect="1" noChangeArrowheads="1"/>
                    </pic:cNvPicPr>
                  </pic:nvPicPr>
                  <pic:blipFill>
                    <a:blip r:embed="rId12">
                      <a:extLst>
                        <a:ext uri="{28A0092B-C50C-407E-A947-70E740481C1C}">
                          <a14:useLocalDpi xmlns:a14="http://schemas.microsoft.com/office/drawing/2010/main" val="0"/>
                        </a:ext>
                      </a:extLst>
                    </a:blip>
                    <a:srcRect r="31570" b="-7312"/>
                    <a:stretch>
                      <a:fillRect/>
                    </a:stretch>
                  </pic:blipFill>
                  <pic:spPr>
                    <a:xfrm>
                      <a:off x="0" y="0"/>
                      <a:ext cx="2680970" cy="541655"/>
                    </a:xfrm>
                    <a:prstGeom prst="rect">
                      <a:avLst/>
                    </a:prstGeom>
                    <a:noFill/>
                  </pic:spPr>
                </pic:pic>
              </a:graphicData>
            </a:graphic>
          </wp:anchor>
        </w:drawing>
      </w:r>
    </w:p>
    <w:p w14:paraId="7CDB81C3">
      <w:pPr>
        <w:keepNext w:val="0"/>
        <w:keepLines w:val="0"/>
        <w:pageBreakBefore w:val="0"/>
        <w:widowControl w:val="0"/>
        <w:kinsoku/>
        <w:wordWrap/>
        <w:overflowPunct/>
        <w:topLinePunct w:val="0"/>
        <w:autoSpaceDE w:val="0"/>
        <w:autoSpaceDN w:val="0"/>
        <w:bidi w:val="0"/>
        <w:adjustRightInd/>
        <w:snapToGrid/>
        <w:ind w:left="0" w:firstLine="0" w:firstLineChars="0"/>
        <w:jc w:val="center"/>
        <w:textAlignment w:val="auto"/>
        <w:rPr>
          <w:rFonts w:hint="default" w:ascii="Times New Roman" w:hAnsi="Times New Roman" w:eastAsia="宋体" w:cs="Times New Roman"/>
          <w:b/>
          <w:bCs/>
          <w:color w:val="auto"/>
          <w:sz w:val="48"/>
          <w:szCs w:val="4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D394C2F">
      <w:pPr>
        <w:pStyle w:val="4"/>
        <w:keepNext w:val="0"/>
        <w:keepLines w:val="0"/>
        <w:pageBreakBefore w:val="0"/>
        <w:widowControl w:val="0"/>
        <w:numPr>
          <w:ilvl w:val="0"/>
          <w:numId w:val="35"/>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验收总体要求</w:t>
      </w:r>
    </w:p>
    <w:p w14:paraId="48E7FC77">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将按照产品服务和项目实施两个方面分项及整体情况进行评估，并按照合同约定和SLA（以合同为准）的要求进行验收和结算；验收考核指标分为定性和定量两种，定量要求需要指标不低于相关要求，定性要求将结合整体情况进行综合评估考核，根据总体情况确认验收结果。</w:t>
      </w:r>
    </w:p>
    <w:p w14:paraId="3376F797">
      <w:pPr>
        <w:pStyle w:val="4"/>
        <w:keepNext w:val="0"/>
        <w:keepLines w:val="0"/>
        <w:pageBreakBefore w:val="0"/>
        <w:widowControl w:val="0"/>
        <w:numPr>
          <w:ilvl w:val="0"/>
          <w:numId w:val="35"/>
        </w:numPr>
        <w:kinsoku/>
        <w:wordWrap/>
        <w:overflowPunct/>
        <w:topLinePunct w:val="0"/>
        <w:autoSpaceDE w:val="0"/>
        <w:autoSpaceDN w:val="0"/>
        <w:bidi w:val="0"/>
        <w:adjustRightInd/>
        <w:snapToGrid/>
        <w:ind w:left="363" w:leftChars="0" w:hanging="363" w:firstLineChars="0"/>
        <w:textAlignment w:val="auto"/>
        <w:outlineLvl w:val="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具体验收要求</w:t>
      </w:r>
    </w:p>
    <w:tbl>
      <w:tblPr>
        <w:tblStyle w:val="22"/>
        <w:tblW w:w="8399" w:type="dxa"/>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314"/>
        <w:gridCol w:w="1529"/>
        <w:gridCol w:w="5556"/>
      </w:tblGrid>
      <w:tr w14:paraId="70AA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0" w:hRule="atLeast"/>
        </w:trPr>
        <w:tc>
          <w:tcPr>
            <w:tcW w:w="1314" w:type="dxa"/>
            <w:tcBorders>
              <w:tl2br w:val="nil"/>
              <w:tr2bl w:val="nil"/>
            </w:tcBorders>
            <w:shd w:val="clear" w:color="auto" w:fill="A4A4A4" w:themeFill="background1" w:themeFillShade="A5"/>
            <w:vAlign w:val="center"/>
          </w:tcPr>
          <w:p w14:paraId="70FEAFF4">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sz w:val="21"/>
                <w:szCs w:val="21"/>
                <w:highlight w:val="none"/>
                <w:u w:val="none"/>
              </w:rPr>
              <w:t>验收子项目</w:t>
            </w:r>
          </w:p>
        </w:tc>
        <w:tc>
          <w:tcPr>
            <w:tcW w:w="1529" w:type="dxa"/>
            <w:tcBorders>
              <w:tl2br w:val="nil"/>
              <w:tr2bl w:val="nil"/>
            </w:tcBorders>
            <w:shd w:val="clear" w:color="auto" w:fill="A4A4A4" w:themeFill="background1" w:themeFillShade="A5"/>
            <w:vAlign w:val="center"/>
          </w:tcPr>
          <w:p w14:paraId="7A8EB39D">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验收要求分类</w:t>
            </w:r>
          </w:p>
        </w:tc>
        <w:tc>
          <w:tcPr>
            <w:tcW w:w="5556" w:type="dxa"/>
            <w:tcBorders>
              <w:tl2br w:val="nil"/>
              <w:tr2bl w:val="nil"/>
            </w:tcBorders>
            <w:shd w:val="clear" w:color="auto" w:fill="A4A4A4" w:themeFill="background1" w:themeFillShade="A5"/>
            <w:vAlign w:val="center"/>
          </w:tcPr>
          <w:p w14:paraId="6A9280A7">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具体验收要求</w:t>
            </w:r>
          </w:p>
        </w:tc>
      </w:tr>
      <w:tr w14:paraId="53AC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restart"/>
            <w:tcBorders>
              <w:tl2br w:val="nil"/>
              <w:tr2bl w:val="nil"/>
            </w:tcBorders>
            <w:shd w:val="clear" w:color="auto" w:fill="auto"/>
            <w:vAlign w:val="center"/>
          </w:tcPr>
          <w:p w14:paraId="42FBEB27">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湖仓一体底座</w:t>
            </w:r>
          </w:p>
        </w:tc>
        <w:tc>
          <w:tcPr>
            <w:tcW w:w="1529" w:type="dxa"/>
            <w:vMerge w:val="restart"/>
            <w:tcBorders>
              <w:tl2br w:val="nil"/>
              <w:tr2bl w:val="nil"/>
            </w:tcBorders>
            <w:shd w:val="clear" w:color="auto" w:fill="auto"/>
            <w:vAlign w:val="center"/>
          </w:tcPr>
          <w:p w14:paraId="34F05C55">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功能要求</w:t>
            </w:r>
          </w:p>
        </w:tc>
        <w:tc>
          <w:tcPr>
            <w:tcW w:w="5556" w:type="dxa"/>
            <w:tcBorders>
              <w:tl2br w:val="nil"/>
              <w:tr2bl w:val="nil"/>
            </w:tcBorders>
            <w:shd w:val="clear" w:color="auto" w:fill="auto"/>
            <w:vAlign w:val="center"/>
          </w:tcPr>
          <w:p w14:paraId="08CC5C8A">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基础能力</w:t>
            </w:r>
            <w:r>
              <w:rPr>
                <w:rFonts w:hint="eastAsia" w:ascii="Times New Roman" w:hAnsi="Times New Roman" w:cs="Times New Roman"/>
                <w:b w:val="0"/>
                <w:bCs w:val="0"/>
                <w:i w:val="0"/>
                <w:iCs w:val="0"/>
                <w:color w:val="auto"/>
                <w:kern w:val="0"/>
                <w:sz w:val="21"/>
                <w:szCs w:val="21"/>
                <w:highlight w:val="none"/>
                <w:u w:val="none"/>
                <w:lang w:val="en-US" w:eastAsia="zh-CN" w:bidi="ar"/>
              </w:rPr>
              <w:t>，</w:t>
            </w:r>
            <w:r>
              <w:rPr>
                <w:rFonts w:hint="default" w:ascii="Times New Roman" w:hAnsi="Times New Roman" w:cs="Times New Roman"/>
                <w:color w:val="auto"/>
                <w:sz w:val="21"/>
                <w:szCs w:val="21"/>
                <w:highlight w:val="none"/>
                <w:vertAlign w:val="baseline"/>
                <w:lang w:val="en-US" w:eastAsia="zh-CN"/>
              </w:rPr>
              <w:t>以</w:t>
            </w:r>
            <w:r>
              <w:rPr>
                <w:rFonts w:hint="eastAsia" w:ascii="Times New Roman" w:hAnsi="Times New Roman" w:cs="Times New Roman"/>
                <w:color w:val="auto"/>
                <w:sz w:val="21"/>
                <w:szCs w:val="21"/>
                <w:highlight w:val="none"/>
                <w:vertAlign w:val="baseline"/>
                <w:lang w:val="en-US" w:eastAsia="zh-CN"/>
              </w:rPr>
              <w:t>分布式大数据技术体系</w:t>
            </w:r>
            <w:r>
              <w:rPr>
                <w:rFonts w:hint="default" w:ascii="Times New Roman" w:hAnsi="Times New Roman" w:cs="Times New Roman"/>
                <w:color w:val="auto"/>
                <w:sz w:val="21"/>
                <w:szCs w:val="21"/>
                <w:highlight w:val="none"/>
                <w:vertAlign w:val="baseline"/>
                <w:lang w:val="en-US" w:eastAsia="zh-CN"/>
              </w:rPr>
              <w:t>为主，湖仓一体、批流融合为核心架构，满足各场景对数据处理和数据时效性的要求；</w:t>
            </w:r>
          </w:p>
        </w:tc>
      </w:tr>
      <w:tr w14:paraId="3C2C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1906" w:hRule="atLeast"/>
        </w:trPr>
        <w:tc>
          <w:tcPr>
            <w:tcW w:w="1314" w:type="dxa"/>
            <w:vMerge w:val="continue"/>
            <w:tcBorders>
              <w:tl2br w:val="nil"/>
              <w:tr2bl w:val="nil"/>
            </w:tcBorders>
            <w:shd w:val="clear" w:color="auto" w:fill="auto"/>
            <w:vAlign w:val="center"/>
          </w:tcPr>
          <w:p w14:paraId="2999D16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86734C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70C5D90">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24"/>
                <w:rFonts w:hint="default" w:ascii="Times New Roman" w:hAnsi="Times New Roman" w:eastAsia="宋体" w:cs="Times New Roman"/>
                <w:b w:val="0"/>
                <w:bCs w:val="0"/>
                <w:color w:val="auto"/>
                <w:kern w:val="0"/>
                <w:sz w:val="21"/>
                <w:szCs w:val="21"/>
                <w:highlight w:val="none"/>
                <w:u w:val="none"/>
                <w:lang w:val="en-US" w:eastAsia="zh-CN" w:bidi="ar"/>
              </w:rPr>
              <w:t>组件能力</w:t>
            </w:r>
            <w:r>
              <w:rPr>
                <w:rStyle w:val="24"/>
                <w:rFonts w:hint="default" w:ascii="Times New Roman" w:hAnsi="Times New Roman" w:cs="Times New Roman"/>
                <w:b w:val="0"/>
                <w:bCs w:val="0"/>
                <w:color w:val="auto"/>
                <w:kern w:val="0"/>
                <w:sz w:val="21"/>
                <w:szCs w:val="21"/>
                <w:highlight w:val="none"/>
                <w:u w:val="none"/>
                <w:lang w:val="en-US" w:eastAsia="zh-CN" w:bidi="ar"/>
              </w:rPr>
              <w:t>，</w:t>
            </w:r>
            <w:r>
              <w:rPr>
                <w:rFonts w:hint="default" w:ascii="Times New Roman" w:hAnsi="Times New Roman" w:cs="Times New Roman"/>
                <w:b w:val="0"/>
                <w:i w:val="0"/>
                <w:color w:val="auto"/>
                <w:kern w:val="0"/>
                <w:sz w:val="21"/>
                <w:szCs w:val="21"/>
                <w:highlight w:val="none"/>
                <w:u w:val="none"/>
                <w:lang w:bidi="ar"/>
              </w:rPr>
              <w:t>具有完备的分布式大数据技术体系组件服务，并纳入统一管理、维护和运营。提供的组件服务包括但不限于HDFS、HIVE、HBASE、RANGER、KUDU、SOLR、SPARK、IMPALA、HUDI/ICEBERG、PRESTO/TRINO、CLICKHOUSE/DORIS、KAFKA、ELASTICSEARCH等或支持同等能力的组件服务，支持多种数据存储格式，满足湖仓一体、批流一体的应用场景；</w:t>
            </w:r>
          </w:p>
        </w:tc>
      </w:tr>
      <w:tr w14:paraId="160B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C9F50B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42263E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DF1C97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具备支撑数据分析、即席查询等场景的功能服务，保障多表关联复杂查询的可用性、查询效率和性能要求（秒级）等，支持查询结果数据导出；</w:t>
            </w:r>
          </w:p>
        </w:tc>
      </w:tr>
      <w:tr w14:paraId="6BAB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2359A6D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2F5637F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F76918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支持良好的账号权限统一管理认证能力，包括用户管理、功能模块、库表权限管控、密码强度校验、定期修改密码、找回密码等账号安全管控机制；</w:t>
            </w:r>
          </w:p>
        </w:tc>
      </w:tr>
      <w:tr w14:paraId="1353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E2885A2">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26CFE420">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CC32C8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支撑完善的数据安全管控服务，包括库表权限、访问控制等，保护数据资产的安全。</w:t>
            </w:r>
          </w:p>
        </w:tc>
      </w:tr>
      <w:tr w14:paraId="30EE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1926FB0F">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B0D1CE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ABBEC5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支持通过可视化管理台的方式对集群服务管理，包括但不限于集群创建、删除、扩缩容集群，服务启停、配置修改、运维管控、用户及租户体系管理等；</w:t>
            </w:r>
          </w:p>
        </w:tc>
      </w:tr>
      <w:tr w14:paraId="591C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314" w:type="dxa"/>
            <w:vMerge w:val="continue"/>
            <w:tcBorders>
              <w:tl2br w:val="nil"/>
              <w:tr2bl w:val="nil"/>
            </w:tcBorders>
            <w:shd w:val="clear" w:color="auto" w:fill="auto"/>
            <w:vAlign w:val="center"/>
          </w:tcPr>
          <w:p w14:paraId="4503BC3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E34B35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EFD2B31">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支持租户创建及管理、资源（含数据存储和计算）分配和隔离、数据权限配置及生命周期管理；支持租户</w:t>
            </w:r>
            <w:r>
              <w:rPr>
                <w:rStyle w:val="51"/>
                <w:rFonts w:hint="default" w:ascii="Times New Roman" w:hAnsi="Times New Roman" w:eastAsia="宋体" w:cs="Times New Roman"/>
                <w:b w:val="0"/>
                <w:bCs w:val="0"/>
                <w:color w:val="auto"/>
                <w:sz w:val="21"/>
                <w:szCs w:val="21"/>
                <w:highlight w:val="none"/>
                <w:lang w:val="en-US" w:eastAsia="zh-CN" w:bidi="ar"/>
              </w:rPr>
              <w:t>/</w:t>
            </w:r>
            <w:r>
              <w:rPr>
                <w:rStyle w:val="39"/>
                <w:rFonts w:hint="default" w:ascii="Times New Roman" w:hAnsi="Times New Roman" w:eastAsia="宋体" w:cs="Times New Roman"/>
                <w:b w:val="0"/>
                <w:bCs w:val="0"/>
                <w:color w:val="auto"/>
                <w:sz w:val="21"/>
                <w:szCs w:val="21"/>
                <w:highlight w:val="none"/>
                <w:lang w:val="en-US" w:eastAsia="zh-CN" w:bidi="ar"/>
              </w:rPr>
              <w:t>项目间的数据权限访问控制和数据同步；可动态设置数据同步的安全控制机制，如数据库、表、字段权限按租户、项目、用户进行控制。</w:t>
            </w:r>
          </w:p>
        </w:tc>
      </w:tr>
      <w:tr w14:paraId="0642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131F6BD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D33A7E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3D00AF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支持主备集群容灾、单集群跨</w:t>
            </w:r>
            <w:r>
              <w:rPr>
                <w:rStyle w:val="48"/>
                <w:rFonts w:hint="default" w:ascii="Times New Roman" w:hAnsi="Times New Roman" w:eastAsia="宋体" w:cs="Times New Roman"/>
                <w:b w:val="0"/>
                <w:bCs w:val="0"/>
                <w:color w:val="auto"/>
                <w:sz w:val="21"/>
                <w:szCs w:val="21"/>
                <w:highlight w:val="none"/>
                <w:lang w:val="en-US" w:eastAsia="zh-CN" w:bidi="ar"/>
              </w:rPr>
              <w:t>AZ</w:t>
            </w:r>
            <w:r>
              <w:rPr>
                <w:rStyle w:val="39"/>
                <w:rFonts w:hint="default" w:ascii="Times New Roman" w:hAnsi="Times New Roman" w:eastAsia="宋体" w:cs="Times New Roman"/>
                <w:b w:val="0"/>
                <w:bCs w:val="0"/>
                <w:color w:val="auto"/>
                <w:sz w:val="21"/>
                <w:szCs w:val="21"/>
                <w:highlight w:val="none"/>
                <w:lang w:val="en-US" w:eastAsia="zh-CN" w:bidi="ar"/>
              </w:rPr>
              <w:t>部署等高容灾服务建设平台能力（根据拟定的灾备方案进行验证测试）；</w:t>
            </w:r>
          </w:p>
        </w:tc>
      </w:tr>
      <w:tr w14:paraId="464F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75BDE3A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14D030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7FFA6BF0">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支持可视化、便捷的集群管理监控告警、预警机制，可动态配置告警级别、告警方式和告知对象;告警支持对外发送告警通知，支持包括短信、日志、消息推送等多种方式；</w:t>
            </w:r>
          </w:p>
        </w:tc>
      </w:tr>
      <w:tr w14:paraId="33E9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8256A8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65AB12E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E278FC9">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平台服务节点、存储、计算服务资源满足各项数据处理需求且不低于合同的资源授权最低要求；</w:t>
            </w:r>
          </w:p>
        </w:tc>
      </w:tr>
      <w:tr w14:paraId="5618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0" w:hRule="atLeast"/>
        </w:trPr>
        <w:tc>
          <w:tcPr>
            <w:tcW w:w="1314" w:type="dxa"/>
            <w:vMerge w:val="continue"/>
            <w:tcBorders>
              <w:tl2br w:val="nil"/>
              <w:tr2bl w:val="nil"/>
            </w:tcBorders>
            <w:shd w:val="clear" w:color="auto" w:fill="auto"/>
            <w:vAlign w:val="center"/>
          </w:tcPr>
          <w:p w14:paraId="1466EA3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60A633C2">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稳定性、安全性要求</w:t>
            </w:r>
          </w:p>
        </w:tc>
        <w:tc>
          <w:tcPr>
            <w:tcW w:w="5556" w:type="dxa"/>
            <w:tcBorders>
              <w:tl2br w:val="nil"/>
              <w:tr2bl w:val="nil"/>
            </w:tcBorders>
            <w:shd w:val="clear" w:color="auto" w:fill="auto"/>
            <w:vAlign w:val="center"/>
          </w:tcPr>
          <w:p w14:paraId="21FC908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具有良好的高可用和扩展性，无单点故障等架构设计缺陷；</w:t>
            </w:r>
          </w:p>
        </w:tc>
      </w:tr>
      <w:tr w14:paraId="0639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AF02F7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3231CBB">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BCD3047">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稳定性方面，稳定运行时间7*24小时，成功率&gt;=99.9%，满足整体RPO/RTO要求；</w:t>
            </w:r>
          </w:p>
        </w:tc>
      </w:tr>
      <w:tr w14:paraId="720E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168312BF">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1E954C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602744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试运行期间无发生重大系统异常导致业务中断，如发生将纳入最终项目</w:t>
            </w:r>
            <w:r>
              <w:rPr>
                <w:rStyle w:val="48"/>
                <w:rFonts w:hint="default" w:ascii="Times New Roman" w:hAnsi="Times New Roman" w:eastAsia="宋体" w:cs="Times New Roman"/>
                <w:b w:val="0"/>
                <w:bCs w:val="0"/>
                <w:color w:val="auto"/>
                <w:sz w:val="21"/>
                <w:szCs w:val="21"/>
                <w:highlight w:val="none"/>
                <w:lang w:val="en-US" w:eastAsia="zh-CN" w:bidi="ar"/>
              </w:rPr>
              <w:t>SLA</w:t>
            </w:r>
            <w:r>
              <w:rPr>
                <w:rStyle w:val="39"/>
                <w:rFonts w:hint="default" w:ascii="Times New Roman" w:hAnsi="Times New Roman" w:eastAsia="宋体" w:cs="Times New Roman"/>
                <w:b w:val="0"/>
                <w:bCs w:val="0"/>
                <w:color w:val="auto"/>
                <w:sz w:val="21"/>
                <w:szCs w:val="21"/>
                <w:highlight w:val="none"/>
                <w:lang w:val="en-US" w:eastAsia="zh-CN" w:bidi="ar"/>
              </w:rPr>
              <w:t>考核，并按照</w:t>
            </w:r>
            <w:r>
              <w:rPr>
                <w:rStyle w:val="48"/>
                <w:rFonts w:hint="default" w:ascii="Times New Roman" w:hAnsi="Times New Roman" w:eastAsia="宋体" w:cs="Times New Roman"/>
                <w:b w:val="0"/>
                <w:bCs w:val="0"/>
                <w:color w:val="auto"/>
                <w:sz w:val="21"/>
                <w:szCs w:val="21"/>
                <w:highlight w:val="none"/>
                <w:lang w:val="en-US" w:eastAsia="zh-CN" w:bidi="ar"/>
              </w:rPr>
              <w:t>SLA</w:t>
            </w:r>
            <w:r>
              <w:rPr>
                <w:rStyle w:val="39"/>
                <w:rFonts w:hint="default" w:ascii="Times New Roman" w:hAnsi="Times New Roman" w:eastAsia="宋体" w:cs="Times New Roman"/>
                <w:b w:val="0"/>
                <w:bCs w:val="0"/>
                <w:color w:val="auto"/>
                <w:sz w:val="21"/>
                <w:szCs w:val="21"/>
                <w:highlight w:val="none"/>
                <w:lang w:val="en-US" w:eastAsia="zh-CN" w:bidi="ar"/>
              </w:rPr>
              <w:t>要求进行执行，同时试运行时间将顺延；</w:t>
            </w:r>
          </w:p>
        </w:tc>
      </w:tr>
      <w:tr w14:paraId="7EB2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DFC4CC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4BA52B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6EC59B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按照我行信息系统管理的相关要求，对平台服务进行安全和漏洞扫描检查，验收时满足安全漏洞验收标准；</w:t>
            </w:r>
          </w:p>
        </w:tc>
      </w:tr>
      <w:tr w14:paraId="48ED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CF3F0D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9C122F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11D62C2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湖仓一体底座产品服务验收时，缺陷率为0，包括但不限于设计缺陷、功能缺陷、兼容性缺陷；</w:t>
            </w:r>
          </w:p>
        </w:tc>
      </w:tr>
      <w:tr w14:paraId="2DC4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0F0389C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E355BB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1772598">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满足国产软硬件适配和稳定性、兼容性要求；包括但不限于服务器、中间件、操作系统、数据库；</w:t>
            </w:r>
          </w:p>
        </w:tc>
      </w:tr>
      <w:tr w14:paraId="6A2A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A96D7E2">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132C1BD6">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性能及效率要求</w:t>
            </w:r>
          </w:p>
        </w:tc>
        <w:tc>
          <w:tcPr>
            <w:tcW w:w="5556" w:type="dxa"/>
            <w:tcBorders>
              <w:tl2br w:val="nil"/>
              <w:tr2bl w:val="nil"/>
            </w:tcBorders>
            <w:shd w:val="clear" w:color="auto" w:fill="auto"/>
            <w:vAlign w:val="center"/>
          </w:tcPr>
          <w:p w14:paraId="527A596A">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离线数仓除特殊批量（如绩效第二批次等）外，其余每日批量任务必须在营业前（每日8:00）完成；</w:t>
            </w:r>
          </w:p>
        </w:tc>
      </w:tr>
      <w:tr w14:paraId="038E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70C2D05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9AE29E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15CDA42">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满足湖仓一体、流批融合的批量和实时数据计算加工性能要求，具有良好的大数据量数据处理能力和数据处理性能；平台需能够支撑每日3万个以上批量任务，200个以上实时计算任务；</w:t>
            </w:r>
          </w:p>
        </w:tc>
      </w:tr>
      <w:tr w14:paraId="3460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182E2E1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5B4834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118E11F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数据分析即时查询场景的多表关联复杂查询秒级响应；</w:t>
            </w:r>
          </w:p>
        </w:tc>
      </w:tr>
      <w:tr w14:paraId="3077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3135A27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9359D8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78BC2461">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对小文件合并具有良好的优化，满足亿级小文件的存储及合并、处理能力；</w:t>
            </w:r>
          </w:p>
        </w:tc>
      </w:tr>
      <w:tr w14:paraId="5A85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FD91CB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F3E4D8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B368E25">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负载方面，系统处理TPS&gt;=1000笔/秒，QPS&gt;=3000次/秒；平均响应时间，实时类场景&lt;=1秒，统计分析类&lt;=5秒;交易成功率&gt;=99.9%；</w:t>
            </w:r>
          </w:p>
        </w:tc>
      </w:tr>
      <w:tr w14:paraId="117C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6BDEAF2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702C9D0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1511D28">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资源利用方面，系统服务资源占用高峰（夜间批量、各类高频场景使用期间）满足CPU使用率&lt;=70%,磁盘繁忙率&lt;=70%,内存使用率&lt;=70%</w:t>
            </w:r>
            <w:r>
              <w:rPr>
                <w:rFonts w:hint="eastAsia" w:ascii="Times New Roman" w:hAnsi="Times New Roman" w:cs="Times New Roman"/>
                <w:b w:val="0"/>
                <w:bCs w:val="0"/>
                <w:i w:val="0"/>
                <w:iCs w:val="0"/>
                <w:color w:val="auto"/>
                <w:kern w:val="0"/>
                <w:sz w:val="21"/>
                <w:szCs w:val="21"/>
                <w:highlight w:val="none"/>
                <w:u w:val="none"/>
                <w:lang w:val="en-US" w:eastAsia="zh-CN" w:bidi="ar"/>
              </w:rPr>
              <w:t>；</w:t>
            </w:r>
          </w:p>
        </w:tc>
      </w:tr>
      <w:tr w14:paraId="11EA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314" w:type="dxa"/>
            <w:vMerge w:val="restart"/>
            <w:tcBorders>
              <w:tl2br w:val="nil"/>
              <w:tr2bl w:val="nil"/>
            </w:tcBorders>
            <w:shd w:val="clear" w:color="auto" w:fill="auto"/>
            <w:vAlign w:val="center"/>
          </w:tcPr>
          <w:p w14:paraId="1ED6CFE6">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数据作业平台</w:t>
            </w:r>
          </w:p>
        </w:tc>
        <w:tc>
          <w:tcPr>
            <w:tcW w:w="1529" w:type="dxa"/>
            <w:vMerge w:val="restart"/>
            <w:tcBorders>
              <w:tl2br w:val="nil"/>
              <w:tr2bl w:val="nil"/>
            </w:tcBorders>
            <w:shd w:val="clear" w:color="auto" w:fill="auto"/>
            <w:vAlign w:val="center"/>
          </w:tcPr>
          <w:p w14:paraId="3E5262A6">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功能要求</w:t>
            </w:r>
          </w:p>
        </w:tc>
        <w:tc>
          <w:tcPr>
            <w:tcW w:w="5556" w:type="dxa"/>
            <w:tcBorders>
              <w:tl2br w:val="nil"/>
              <w:tr2bl w:val="nil"/>
            </w:tcBorders>
            <w:shd w:val="clear" w:color="auto" w:fill="auto"/>
            <w:vAlign w:val="center"/>
          </w:tcPr>
          <w:p w14:paraId="7C0AD8B9">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批量数据采集：支持集成主流信创及非信创关系型数据库、大数据组件存储、文件系统、消息队列等多种数据源，包括但不限于OceanBase、达梦、TDSQL、Oracle、Mysql、SqlServer、Hive、ClickHouse、Kafka、Hbase、ElasticSearch、Csv、Excel、Txt、API等；</w:t>
            </w:r>
          </w:p>
        </w:tc>
      </w:tr>
      <w:tr w14:paraId="1402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1314" w:type="dxa"/>
            <w:vMerge w:val="continue"/>
            <w:tcBorders>
              <w:tl2br w:val="nil"/>
              <w:tr2bl w:val="nil"/>
            </w:tcBorders>
            <w:shd w:val="clear" w:color="auto" w:fill="auto"/>
            <w:vAlign w:val="center"/>
          </w:tcPr>
          <w:p w14:paraId="1566A09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12C5EE2">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7F0767BC">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实时数据采集：支持采集关系型数据库日志实现实时采集，如binlog/归档日志等，数据库类型包括但不限于达梦、Oracle、Mysql、OceanBase、TDSQL；支持多种数据目标源，包括但不限于Hive、ClickHouse、Hbase、Kafka、ElasticSearch、Hudi等；</w:t>
            </w:r>
          </w:p>
        </w:tc>
      </w:tr>
      <w:tr w14:paraId="55DF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1278" w:hRule="atLeast"/>
        </w:trPr>
        <w:tc>
          <w:tcPr>
            <w:tcW w:w="1314" w:type="dxa"/>
            <w:vMerge w:val="continue"/>
            <w:tcBorders>
              <w:tl2br w:val="nil"/>
              <w:tr2bl w:val="nil"/>
            </w:tcBorders>
            <w:shd w:val="clear" w:color="auto" w:fill="auto"/>
            <w:vAlign w:val="center"/>
          </w:tcPr>
          <w:p w14:paraId="2779946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71242D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72FAF81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建模：支持通过可视化、图形化的方式进行在线数据模型设计、标准引用、对标检核等，并可选择不同的数据库自动化生成对应的物理模型及对应的数据库DDL脚本；数据库类型，包括但不限于Oracle、Hive、Impala、OceanBase、ClickHouse、TDSQL、达梦、MySQL等</w:t>
            </w:r>
            <w:r>
              <w:rPr>
                <w:rFonts w:hint="eastAsia" w:ascii="Times New Roman" w:hAnsi="Times New Roman" w:cs="Times New Roman"/>
                <w:b w:val="0"/>
                <w:bCs w:val="0"/>
                <w:i w:val="0"/>
                <w:iCs w:val="0"/>
                <w:color w:val="auto"/>
                <w:kern w:val="0"/>
                <w:sz w:val="21"/>
                <w:szCs w:val="21"/>
                <w:highlight w:val="none"/>
                <w:u w:val="none"/>
                <w:lang w:val="en-US" w:eastAsia="zh-CN" w:bidi="ar"/>
              </w:rPr>
              <w:t>，且必须支持底座选型</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14:paraId="5AC4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47ED758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6C744DE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1DBC397F">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数据开发：支持通过操作体验良好的可视化界面进行数据即席查询分析、实时数据开发、批量数据开发，完善的版本管理和流程，性能和开发效率满足要求；</w:t>
            </w:r>
          </w:p>
        </w:tc>
      </w:tr>
      <w:tr w14:paraId="0BA8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314" w:type="dxa"/>
            <w:vMerge w:val="continue"/>
            <w:tcBorders>
              <w:tl2br w:val="nil"/>
              <w:tr2bl w:val="nil"/>
            </w:tcBorders>
            <w:shd w:val="clear" w:color="auto" w:fill="auto"/>
            <w:vAlign w:val="center"/>
          </w:tcPr>
          <w:p w14:paraId="48112D3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BC2D08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47AB05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统一调度：支持多种调度策略，包括但不限于循环作业调度、微批调度、实时调度、事件触发调度、定时调度及手动调度，支持多种任务类型，包括但不限于</w:t>
            </w:r>
            <w:r>
              <w:rPr>
                <w:rStyle w:val="48"/>
                <w:rFonts w:hint="default" w:ascii="Times New Roman" w:hAnsi="Times New Roman" w:eastAsia="宋体" w:cs="Times New Roman"/>
                <w:b w:val="0"/>
                <w:bCs w:val="0"/>
                <w:color w:val="auto"/>
                <w:sz w:val="21"/>
                <w:szCs w:val="21"/>
                <w:highlight w:val="none"/>
                <w:lang w:val="en-US" w:eastAsia="zh-CN" w:bidi="ar"/>
              </w:rPr>
              <w:t>SQL</w:t>
            </w:r>
            <w:r>
              <w:rPr>
                <w:rStyle w:val="39"/>
                <w:rFonts w:hint="default" w:ascii="Times New Roman" w:hAnsi="Times New Roman" w:eastAsia="宋体" w:cs="Times New Roman"/>
                <w:b w:val="0"/>
                <w:bCs w:val="0"/>
                <w:color w:val="auto"/>
                <w:sz w:val="21"/>
                <w:szCs w:val="21"/>
                <w:highlight w:val="none"/>
                <w:lang w:val="en-US" w:eastAsia="zh-CN" w:bidi="ar"/>
              </w:rPr>
              <w:t>脚本类（</w:t>
            </w:r>
            <w:r>
              <w:rPr>
                <w:rStyle w:val="48"/>
                <w:rFonts w:hint="default" w:ascii="Times New Roman" w:hAnsi="Times New Roman" w:eastAsia="宋体" w:cs="Times New Roman"/>
                <w:b w:val="0"/>
                <w:bCs w:val="0"/>
                <w:color w:val="auto"/>
                <w:sz w:val="21"/>
                <w:szCs w:val="21"/>
                <w:highlight w:val="none"/>
                <w:lang w:val="en-US" w:eastAsia="zh-CN" w:bidi="ar"/>
              </w:rPr>
              <w:t>ORACLE SQL</w:t>
            </w:r>
            <w:r>
              <w:rPr>
                <w:rStyle w:val="39"/>
                <w:rFonts w:hint="default" w:ascii="Times New Roman" w:hAnsi="Times New Roman" w:eastAsia="宋体" w:cs="Times New Roman"/>
                <w:b w:val="0"/>
                <w:bCs w:val="0"/>
                <w:color w:val="auto"/>
                <w:sz w:val="21"/>
                <w:szCs w:val="21"/>
                <w:highlight w:val="none"/>
                <w:lang w:val="en-US" w:eastAsia="zh-CN" w:bidi="ar"/>
              </w:rPr>
              <w:t>、</w:t>
            </w:r>
            <w:r>
              <w:rPr>
                <w:rStyle w:val="48"/>
                <w:rFonts w:hint="default" w:ascii="Times New Roman" w:hAnsi="Times New Roman" w:eastAsia="宋体" w:cs="Times New Roman"/>
                <w:b w:val="0"/>
                <w:bCs w:val="0"/>
                <w:color w:val="auto"/>
                <w:sz w:val="21"/>
                <w:szCs w:val="21"/>
                <w:highlight w:val="none"/>
                <w:lang w:val="en-US" w:eastAsia="zh-CN" w:bidi="ar"/>
              </w:rPr>
              <w:t>SPARK SQL</w:t>
            </w:r>
            <w:r>
              <w:rPr>
                <w:rStyle w:val="39"/>
                <w:rFonts w:hint="default" w:ascii="Times New Roman" w:hAnsi="Times New Roman" w:eastAsia="宋体" w:cs="Times New Roman"/>
                <w:b w:val="0"/>
                <w:bCs w:val="0"/>
                <w:color w:val="auto"/>
                <w:sz w:val="21"/>
                <w:szCs w:val="21"/>
                <w:highlight w:val="none"/>
                <w:lang w:val="en-US" w:eastAsia="zh-CN" w:bidi="ar"/>
              </w:rPr>
              <w:t>、</w:t>
            </w:r>
            <w:r>
              <w:rPr>
                <w:rStyle w:val="48"/>
                <w:rFonts w:hint="default" w:ascii="Times New Roman" w:hAnsi="Times New Roman" w:eastAsia="宋体" w:cs="Times New Roman"/>
                <w:b w:val="0"/>
                <w:bCs w:val="0"/>
                <w:color w:val="auto"/>
                <w:sz w:val="21"/>
                <w:szCs w:val="21"/>
                <w:highlight w:val="none"/>
                <w:lang w:val="en-US" w:eastAsia="zh-CN" w:bidi="ar"/>
              </w:rPr>
              <w:t>HIVE SQL</w:t>
            </w:r>
            <w:r>
              <w:rPr>
                <w:rStyle w:val="39"/>
                <w:rFonts w:hint="default" w:ascii="Times New Roman" w:hAnsi="Times New Roman" w:eastAsia="宋体" w:cs="Times New Roman"/>
                <w:b w:val="0"/>
                <w:bCs w:val="0"/>
                <w:color w:val="auto"/>
                <w:sz w:val="21"/>
                <w:szCs w:val="21"/>
                <w:highlight w:val="none"/>
                <w:lang w:val="en-US" w:eastAsia="zh-CN" w:bidi="ar"/>
              </w:rPr>
              <w:t>等）、</w:t>
            </w:r>
            <w:r>
              <w:rPr>
                <w:rStyle w:val="48"/>
                <w:rFonts w:hint="default" w:ascii="Times New Roman" w:hAnsi="Times New Roman" w:eastAsia="宋体" w:cs="Times New Roman"/>
                <w:b w:val="0"/>
                <w:bCs w:val="0"/>
                <w:color w:val="auto"/>
                <w:sz w:val="21"/>
                <w:szCs w:val="21"/>
                <w:highlight w:val="none"/>
                <w:lang w:val="en-US" w:eastAsia="zh-CN" w:bidi="ar"/>
              </w:rPr>
              <w:t>JAR</w:t>
            </w:r>
            <w:r>
              <w:rPr>
                <w:rStyle w:val="39"/>
                <w:rFonts w:hint="default" w:ascii="Times New Roman" w:hAnsi="Times New Roman" w:eastAsia="宋体" w:cs="Times New Roman"/>
                <w:b w:val="0"/>
                <w:bCs w:val="0"/>
                <w:color w:val="auto"/>
                <w:sz w:val="21"/>
                <w:szCs w:val="21"/>
                <w:highlight w:val="none"/>
                <w:lang w:val="en-US" w:eastAsia="zh-CN" w:bidi="ar"/>
              </w:rPr>
              <w:t>、</w:t>
            </w:r>
            <w:r>
              <w:rPr>
                <w:rStyle w:val="48"/>
                <w:rFonts w:hint="default" w:ascii="Times New Roman" w:hAnsi="Times New Roman" w:eastAsia="宋体" w:cs="Times New Roman"/>
                <w:b w:val="0"/>
                <w:bCs w:val="0"/>
                <w:color w:val="auto"/>
                <w:sz w:val="21"/>
                <w:szCs w:val="21"/>
                <w:highlight w:val="none"/>
                <w:lang w:val="en-US" w:eastAsia="zh-CN" w:bidi="ar"/>
              </w:rPr>
              <w:t>PYTHON</w:t>
            </w:r>
            <w:r>
              <w:rPr>
                <w:rStyle w:val="39"/>
                <w:rFonts w:hint="default" w:ascii="Times New Roman" w:hAnsi="Times New Roman" w:eastAsia="宋体" w:cs="Times New Roman"/>
                <w:b w:val="0"/>
                <w:bCs w:val="0"/>
                <w:color w:val="auto"/>
                <w:sz w:val="21"/>
                <w:szCs w:val="21"/>
                <w:highlight w:val="none"/>
                <w:lang w:val="en-US" w:eastAsia="zh-CN" w:bidi="ar"/>
              </w:rPr>
              <w:t>、</w:t>
            </w:r>
            <w:r>
              <w:rPr>
                <w:rStyle w:val="48"/>
                <w:rFonts w:hint="default" w:ascii="Times New Roman" w:hAnsi="Times New Roman" w:eastAsia="宋体" w:cs="Times New Roman"/>
                <w:b w:val="0"/>
                <w:bCs w:val="0"/>
                <w:color w:val="auto"/>
                <w:sz w:val="21"/>
                <w:szCs w:val="21"/>
                <w:highlight w:val="none"/>
                <w:lang w:val="en-US" w:eastAsia="zh-CN" w:bidi="ar"/>
              </w:rPr>
              <w:t>PERL</w:t>
            </w:r>
            <w:r>
              <w:rPr>
                <w:rStyle w:val="39"/>
                <w:rFonts w:hint="default" w:ascii="Times New Roman" w:hAnsi="Times New Roman" w:eastAsia="宋体" w:cs="Times New Roman"/>
                <w:b w:val="0"/>
                <w:bCs w:val="0"/>
                <w:color w:val="auto"/>
                <w:sz w:val="21"/>
                <w:szCs w:val="21"/>
                <w:highlight w:val="none"/>
                <w:lang w:val="en-US" w:eastAsia="zh-CN" w:bidi="ar"/>
              </w:rPr>
              <w:t>、</w:t>
            </w:r>
            <w:r>
              <w:rPr>
                <w:rStyle w:val="48"/>
                <w:rFonts w:hint="default" w:ascii="Times New Roman" w:hAnsi="Times New Roman" w:eastAsia="宋体" w:cs="Times New Roman"/>
                <w:b w:val="0"/>
                <w:bCs w:val="0"/>
                <w:color w:val="auto"/>
                <w:sz w:val="21"/>
                <w:szCs w:val="21"/>
                <w:highlight w:val="none"/>
                <w:lang w:val="en-US" w:eastAsia="zh-CN" w:bidi="ar"/>
              </w:rPr>
              <w:t>SHELL</w:t>
            </w:r>
            <w:r>
              <w:rPr>
                <w:rStyle w:val="39"/>
                <w:rFonts w:hint="default" w:ascii="Times New Roman" w:hAnsi="Times New Roman" w:eastAsia="宋体" w:cs="Times New Roman"/>
                <w:b w:val="0"/>
                <w:bCs w:val="0"/>
                <w:color w:val="auto"/>
                <w:sz w:val="21"/>
                <w:szCs w:val="21"/>
                <w:highlight w:val="none"/>
                <w:lang w:val="en-US" w:eastAsia="zh-CN" w:bidi="ar"/>
              </w:rPr>
              <w:t>等；</w:t>
            </w:r>
          </w:p>
        </w:tc>
      </w:tr>
      <w:tr w14:paraId="5256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7FAA632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84652D0">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A4BA0B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数据服务：支持可视化、配置化、低代码、零代码等多种方式快速将物理表、复杂逻辑发布成数据服务，形式包括但不限于API接口、文件接口、消息队列等服务；</w:t>
            </w:r>
          </w:p>
        </w:tc>
      </w:tr>
      <w:tr w14:paraId="6D91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0D97371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552947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7AD1A10">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平台管理：支持租户及项目管理、流程与权限管控、数据安全管控、监控运营服务；</w:t>
            </w:r>
          </w:p>
        </w:tc>
      </w:tr>
      <w:tr w14:paraId="3C37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3F50C20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7AC365B">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14F6E35">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数据管理：具备完善的系统元数据、业务元数据、血缘关系的完整记录；支持元数据检索、数据分级安全管理；</w:t>
            </w:r>
          </w:p>
        </w:tc>
      </w:tr>
      <w:tr w14:paraId="395F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trPr>
        <w:tc>
          <w:tcPr>
            <w:tcW w:w="1314" w:type="dxa"/>
            <w:vMerge w:val="continue"/>
            <w:tcBorders>
              <w:tl2br w:val="nil"/>
              <w:tr2bl w:val="nil"/>
            </w:tcBorders>
            <w:shd w:val="clear" w:color="auto" w:fill="auto"/>
            <w:vAlign w:val="center"/>
          </w:tcPr>
          <w:p w14:paraId="658E0BB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5F5FEF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BC39DA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客制化功能：完成全部客制化功能需求的开发、集成、测试和试运行；包括但不限于定制化功能、第三方产品服务集成，具有良好的适配性和性能；</w:t>
            </w:r>
          </w:p>
        </w:tc>
      </w:tr>
      <w:tr w14:paraId="08CC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3BE8465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474985F">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ED4F73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平台服务节点、存储、计算服务资源满足各项数据处理需求且不低于合同的资源授权最低要求；</w:t>
            </w:r>
          </w:p>
        </w:tc>
      </w:tr>
      <w:tr w14:paraId="314E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7F3D353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3AB44E02">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稳定性、安全性要求</w:t>
            </w:r>
          </w:p>
        </w:tc>
        <w:tc>
          <w:tcPr>
            <w:tcW w:w="5556" w:type="dxa"/>
            <w:tcBorders>
              <w:tl2br w:val="nil"/>
              <w:tr2bl w:val="nil"/>
            </w:tcBorders>
            <w:shd w:val="clear" w:color="auto" w:fill="auto"/>
            <w:vAlign w:val="center"/>
          </w:tcPr>
          <w:p w14:paraId="01C95952">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具有良好的高可用和扩展性，无单点故障等架构设计缺陷；</w:t>
            </w:r>
          </w:p>
        </w:tc>
      </w:tr>
      <w:tr w14:paraId="4F81F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46E1D9A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E66174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09C64C36">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稳定性方面，稳定运行时间7*24小时，成功率&gt;=99.9%，满足整体RPO/RTO要求；</w:t>
            </w:r>
          </w:p>
        </w:tc>
      </w:tr>
      <w:tr w14:paraId="236D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7384D18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EED5C5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7C4E47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试运行期间无发生重大系统异常导致业务中断，如发生将纳入最终项目SLA考核，并按照SLA要求进行执行，同时试运行时间将顺延；</w:t>
            </w:r>
          </w:p>
        </w:tc>
      </w:tr>
      <w:tr w14:paraId="24F1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4FBB9E4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5FC25D0">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4243673C">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按照我行信息系统管理的相关要求，对平台服务进行安全和漏洞扫描，验收时满足验收标准；</w:t>
            </w:r>
          </w:p>
        </w:tc>
      </w:tr>
      <w:tr w14:paraId="1237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6F7A44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9F9B2F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7377F4C6">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数据作业平台服务验收时，已知缺陷率为</w:t>
            </w:r>
            <w:r>
              <w:rPr>
                <w:rStyle w:val="48"/>
                <w:rFonts w:hint="default" w:ascii="Times New Roman" w:hAnsi="Times New Roman" w:eastAsia="宋体" w:cs="Times New Roman"/>
                <w:b w:val="0"/>
                <w:bCs w:val="0"/>
                <w:color w:val="auto"/>
                <w:sz w:val="21"/>
                <w:szCs w:val="21"/>
                <w:highlight w:val="none"/>
                <w:lang w:val="en-US" w:eastAsia="zh-CN" w:bidi="ar"/>
              </w:rPr>
              <w:t>0</w:t>
            </w:r>
            <w:r>
              <w:rPr>
                <w:rStyle w:val="39"/>
                <w:rFonts w:hint="default" w:ascii="Times New Roman" w:hAnsi="Times New Roman" w:eastAsia="宋体" w:cs="Times New Roman"/>
                <w:b w:val="0"/>
                <w:bCs w:val="0"/>
                <w:color w:val="auto"/>
                <w:sz w:val="21"/>
                <w:szCs w:val="21"/>
                <w:highlight w:val="none"/>
                <w:lang w:val="en-US" w:eastAsia="zh-CN" w:bidi="ar"/>
              </w:rPr>
              <w:t>，包括但不限于设计缺陷、功能缺陷、兼容性缺陷；</w:t>
            </w:r>
          </w:p>
        </w:tc>
      </w:tr>
      <w:tr w14:paraId="4947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7FDBDEE4">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4F9690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9DDE7C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满足国产软硬件适配和稳定性、兼容性要求；包括但不限于服务器、中间件、操作系统、数据库；</w:t>
            </w:r>
          </w:p>
        </w:tc>
      </w:tr>
      <w:tr w14:paraId="1EF7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62AF7F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73C17443">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性能及效率要求</w:t>
            </w:r>
          </w:p>
        </w:tc>
        <w:tc>
          <w:tcPr>
            <w:tcW w:w="5556" w:type="dxa"/>
            <w:tcBorders>
              <w:tl2br w:val="nil"/>
              <w:tr2bl w:val="nil"/>
            </w:tcBorders>
            <w:shd w:val="clear" w:color="auto" w:fill="auto"/>
            <w:vAlign w:val="center"/>
          </w:tcPr>
          <w:p w14:paraId="4FA8E2EB">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离线数仓除特殊批量（如绩效第二批次等）外，其余每日批量任务必须在营业前</w:t>
            </w:r>
            <w:r>
              <w:rPr>
                <w:rStyle w:val="52"/>
                <w:rFonts w:hint="default" w:ascii="Times New Roman" w:hAnsi="Times New Roman" w:eastAsia="宋体" w:cs="Times New Roman"/>
                <w:b w:val="0"/>
                <w:bCs w:val="0"/>
                <w:color w:val="auto"/>
                <w:sz w:val="21"/>
                <w:szCs w:val="21"/>
                <w:highlight w:val="none"/>
                <w:lang w:val="en-US" w:eastAsia="zh-CN" w:bidi="ar"/>
              </w:rPr>
              <w:t>（每日8:00）</w:t>
            </w:r>
            <w:r>
              <w:rPr>
                <w:rStyle w:val="39"/>
                <w:rFonts w:hint="default" w:ascii="Times New Roman" w:hAnsi="Times New Roman" w:eastAsia="宋体" w:cs="Times New Roman"/>
                <w:b w:val="0"/>
                <w:bCs w:val="0"/>
                <w:color w:val="auto"/>
                <w:sz w:val="21"/>
                <w:szCs w:val="21"/>
                <w:highlight w:val="none"/>
                <w:lang w:val="en-US" w:eastAsia="zh-CN" w:bidi="ar"/>
              </w:rPr>
              <w:t>完成；</w:t>
            </w:r>
          </w:p>
        </w:tc>
      </w:tr>
      <w:tr w14:paraId="7D24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49730C0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6568C5B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8A26257">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负载方面，系统处理TPS&gt;=1000笔/秒，QPS&gt;=3000次/秒，能够支撑每日50000以上调度任务；</w:t>
            </w:r>
          </w:p>
        </w:tc>
      </w:tr>
      <w:tr w14:paraId="7137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trPr>
        <w:tc>
          <w:tcPr>
            <w:tcW w:w="1314" w:type="dxa"/>
            <w:vMerge w:val="continue"/>
            <w:tcBorders>
              <w:tl2br w:val="nil"/>
              <w:tr2bl w:val="nil"/>
            </w:tcBorders>
            <w:shd w:val="clear" w:color="auto" w:fill="auto"/>
            <w:vAlign w:val="center"/>
          </w:tcPr>
          <w:p w14:paraId="67128AC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4121EC9F">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42977303">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资源利用方面，系统服务资源占用高峰（夜间批量、各类高频场景使用期间）满足CPU使用率&lt;=70%,磁盘繁忙率&lt;=70%,内存使用率&lt;=70%;</w:t>
            </w:r>
          </w:p>
        </w:tc>
      </w:tr>
      <w:tr w14:paraId="7257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restart"/>
            <w:tcBorders>
              <w:tl2br w:val="nil"/>
              <w:tr2bl w:val="nil"/>
            </w:tcBorders>
            <w:shd w:val="clear" w:color="auto" w:fill="auto"/>
            <w:vAlign w:val="center"/>
          </w:tcPr>
          <w:p w14:paraId="49995624">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数据中台实施与迁移</w:t>
            </w:r>
          </w:p>
        </w:tc>
        <w:tc>
          <w:tcPr>
            <w:tcW w:w="1529" w:type="dxa"/>
            <w:vMerge w:val="restart"/>
            <w:tcBorders>
              <w:tl2br w:val="nil"/>
              <w:tr2bl w:val="nil"/>
            </w:tcBorders>
            <w:shd w:val="clear" w:color="auto" w:fill="auto"/>
            <w:vAlign w:val="center"/>
          </w:tcPr>
          <w:p w14:paraId="6FB60C9C">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数据中台服务体系建设要求</w:t>
            </w:r>
          </w:p>
        </w:tc>
        <w:tc>
          <w:tcPr>
            <w:tcW w:w="5556" w:type="dxa"/>
            <w:tcBorders>
              <w:tl2br w:val="nil"/>
              <w:tr2bl w:val="nil"/>
            </w:tcBorders>
            <w:shd w:val="clear" w:color="auto" w:fill="auto"/>
            <w:vAlign w:val="center"/>
          </w:tcPr>
          <w:p w14:paraId="18ED4606">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完成我行数据服务体系现状分析调研，形成项目整体建设规划，包括但不限于数据中台架构设计、实施和迁移方案制定；</w:t>
            </w:r>
          </w:p>
        </w:tc>
      </w:tr>
      <w:tr w14:paraId="51ED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39" w:hRule="atLeast"/>
        </w:trPr>
        <w:tc>
          <w:tcPr>
            <w:tcW w:w="1314" w:type="dxa"/>
            <w:vMerge w:val="continue"/>
            <w:tcBorders>
              <w:tl2br w:val="nil"/>
              <w:tr2bl w:val="nil"/>
            </w:tcBorders>
            <w:shd w:val="clear" w:color="auto" w:fill="auto"/>
            <w:vAlign w:val="center"/>
          </w:tcPr>
          <w:p w14:paraId="1A61A388">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7F143B1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8707018">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完成数据管理与运营体系规划，并从管理规范、规章制度、流程制度、组织保障方面执行，根据最终</w:t>
            </w:r>
            <w:r>
              <w:rPr>
                <w:rStyle w:val="52"/>
                <w:rFonts w:hint="default" w:ascii="Times New Roman" w:hAnsi="Times New Roman" w:eastAsia="宋体" w:cs="Times New Roman"/>
                <w:b w:val="0"/>
                <w:bCs w:val="0"/>
                <w:color w:val="auto"/>
                <w:sz w:val="21"/>
                <w:szCs w:val="21"/>
                <w:highlight w:val="none"/>
                <w:lang w:val="en-US" w:eastAsia="zh-CN" w:bidi="ar"/>
              </w:rPr>
              <w:t>执行情况综合</w:t>
            </w:r>
            <w:r>
              <w:rPr>
                <w:rStyle w:val="39"/>
                <w:rFonts w:hint="default" w:ascii="Times New Roman" w:hAnsi="Times New Roman" w:eastAsia="宋体" w:cs="Times New Roman"/>
                <w:b w:val="0"/>
                <w:bCs w:val="0"/>
                <w:color w:val="auto"/>
                <w:sz w:val="21"/>
                <w:szCs w:val="21"/>
                <w:highlight w:val="none"/>
                <w:lang w:val="en-US" w:eastAsia="zh-CN" w:bidi="ar"/>
              </w:rPr>
              <w:t>评估；</w:t>
            </w:r>
          </w:p>
        </w:tc>
      </w:tr>
      <w:tr w14:paraId="2265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2103ADD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5E858852">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项目建设内容要求</w:t>
            </w:r>
          </w:p>
        </w:tc>
        <w:tc>
          <w:tcPr>
            <w:tcW w:w="5556" w:type="dxa"/>
            <w:tcBorders>
              <w:tl2br w:val="nil"/>
              <w:tr2bl w:val="nil"/>
            </w:tcBorders>
            <w:shd w:val="clear" w:color="auto" w:fill="auto"/>
            <w:vAlign w:val="center"/>
          </w:tcPr>
          <w:p w14:paraId="20CC7785">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完成数据湖、批量数仓、实时数仓、数据实验区、数据探索区、灾备服务建设，满足相关规范和要求；</w:t>
            </w:r>
          </w:p>
        </w:tc>
      </w:tr>
      <w:tr w14:paraId="2A74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6906652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2967CE0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noWrap/>
            <w:vAlign w:val="center"/>
          </w:tcPr>
          <w:p w14:paraId="171B06B5">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完成主题模型建设，满足准确、标准、可扩展、性能等规范和要求；</w:t>
            </w:r>
          </w:p>
        </w:tc>
      </w:tr>
      <w:tr w14:paraId="413D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2AD1024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E8B856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noWrap/>
            <w:vAlign w:val="center"/>
          </w:tcPr>
          <w:p w14:paraId="7EB1734C">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完成现有数据平台（数据仓库、大数据平台）数据、报表、接口服务等在新的数据中台服务中的建设，符合新的标准和规范，并通过业务验收；</w:t>
            </w:r>
          </w:p>
        </w:tc>
      </w:tr>
      <w:tr w14:paraId="4D56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314" w:type="dxa"/>
            <w:vMerge w:val="continue"/>
            <w:tcBorders>
              <w:tl2br w:val="nil"/>
              <w:tr2bl w:val="nil"/>
            </w:tcBorders>
            <w:shd w:val="clear" w:color="auto" w:fill="auto"/>
            <w:vAlign w:val="center"/>
          </w:tcPr>
          <w:p w14:paraId="370F690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3D6E56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49E9169">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完成驾驶舱集市、报表集市、零售客户营销集市、对公客户营销集市、商户客户营销集市、操作风险集市、</w:t>
            </w:r>
            <w:r>
              <w:rPr>
                <w:rFonts w:hint="eastAsia" w:ascii="Times New Roman" w:hAnsi="Times New Roman" w:cs="Times New Roman"/>
                <w:b w:val="0"/>
                <w:bCs w:val="0"/>
                <w:i w:val="0"/>
                <w:iCs w:val="0"/>
                <w:color w:val="auto"/>
                <w:kern w:val="0"/>
                <w:sz w:val="21"/>
                <w:szCs w:val="21"/>
                <w:highlight w:val="none"/>
                <w:u w:val="none"/>
                <w:lang w:val="en-US" w:eastAsia="zh-CN" w:bidi="ar"/>
              </w:rPr>
              <w:t>大数据风控</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集市、</w:t>
            </w:r>
            <w:r>
              <w:rPr>
                <w:rFonts w:hint="eastAsia" w:ascii="Times New Roman" w:hAnsi="Times New Roman" w:cs="Times New Roman"/>
                <w:b w:val="0"/>
                <w:bCs w:val="0"/>
                <w:i w:val="0"/>
                <w:iCs w:val="0"/>
                <w:color w:val="auto"/>
                <w:kern w:val="0"/>
                <w:sz w:val="21"/>
                <w:szCs w:val="21"/>
                <w:highlight w:val="none"/>
                <w:u w:val="none"/>
                <w:lang w:val="en-US" w:eastAsia="zh-CN" w:bidi="ar"/>
              </w:rPr>
              <w:t>结算</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运营集市、产品运营集市、普惠金融集市、绿色金融集市、稽核审计集市、财务管理集市、国际结算集市、</w:t>
            </w:r>
            <w:r>
              <w:rPr>
                <w:rFonts w:hint="eastAsia" w:ascii="Times New Roman" w:hAnsi="Times New Roman" w:cs="Times New Roman"/>
                <w:b w:val="0"/>
                <w:bCs w:val="0"/>
                <w:i w:val="0"/>
                <w:iCs w:val="0"/>
                <w:color w:val="auto"/>
                <w:kern w:val="0"/>
                <w:sz w:val="21"/>
                <w:szCs w:val="21"/>
                <w:highlight w:val="none"/>
                <w:u w:val="none"/>
                <w:lang w:val="en-US" w:eastAsia="zh-CN" w:bidi="ar"/>
              </w:rPr>
              <w:t>监管集市、</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下游供数相关集市等建设，并通过业务验收；</w:t>
            </w:r>
          </w:p>
        </w:tc>
      </w:tr>
      <w:tr w14:paraId="7715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0323A81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55B346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39864A7">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完成新建不少于10个实时业务应用场景，实施内容包括但不限于实时数据接入、实时指标标签开发、实时数据服务开发等，通过业务验收；</w:t>
            </w:r>
          </w:p>
        </w:tc>
      </w:tr>
      <w:tr w14:paraId="54B1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7AE7F1A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0D1D25AF">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noWrap/>
            <w:vAlign w:val="center"/>
          </w:tcPr>
          <w:p w14:paraId="7B50EBE1">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完成在新的报表平台，迁移和新增开发报表张数不少于450张（其中实时报表不得少于10张），并通过业务验收；</w:t>
            </w:r>
          </w:p>
        </w:tc>
      </w:tr>
      <w:tr w14:paraId="10D1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6E6BE86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2CB921A0">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C49EA3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完成产品服务、数据任务性能评估和调优，并提交评估报告和调优方案；</w:t>
            </w:r>
          </w:p>
        </w:tc>
      </w:tr>
      <w:tr w14:paraId="1FC6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3CC2EE1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37BAA3F1">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资源及效率要求</w:t>
            </w:r>
          </w:p>
        </w:tc>
        <w:tc>
          <w:tcPr>
            <w:tcW w:w="5556" w:type="dxa"/>
            <w:tcBorders>
              <w:tl2br w:val="nil"/>
              <w:tr2bl w:val="nil"/>
            </w:tcBorders>
            <w:shd w:val="clear" w:color="auto" w:fill="auto"/>
            <w:vAlign w:val="center"/>
          </w:tcPr>
          <w:p w14:paraId="233D3883">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项目涉及的各类产品服务资源满足既定要求，包括但不限于系统服务节点数、资源量；</w:t>
            </w:r>
          </w:p>
        </w:tc>
      </w:tr>
      <w:tr w14:paraId="5015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46" w:hRule="atLeast"/>
        </w:trPr>
        <w:tc>
          <w:tcPr>
            <w:tcW w:w="1314" w:type="dxa"/>
            <w:vMerge w:val="continue"/>
            <w:tcBorders>
              <w:tl2br w:val="nil"/>
              <w:tr2bl w:val="nil"/>
            </w:tcBorders>
            <w:shd w:val="clear" w:color="auto" w:fill="auto"/>
            <w:vAlign w:val="center"/>
          </w:tcPr>
          <w:p w14:paraId="762B639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36A40C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5985D993">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根据制定的数据采集、数据建模、数据开发、数据服务、数据治理、数据安全的全流程和标准规范，将整个机制流程应用</w:t>
            </w:r>
            <w:r>
              <w:rPr>
                <w:rFonts w:hint="eastAsia" w:ascii="Times New Roman" w:hAnsi="Times New Roman" w:cs="Times New Roman"/>
                <w:b w:val="0"/>
                <w:bCs w:val="0"/>
                <w:i w:val="0"/>
                <w:iCs w:val="0"/>
                <w:color w:val="auto"/>
                <w:kern w:val="0"/>
                <w:sz w:val="21"/>
                <w:szCs w:val="21"/>
                <w:highlight w:val="none"/>
                <w:u w:val="none"/>
                <w:lang w:val="en-US" w:eastAsia="zh-CN" w:bidi="ar"/>
              </w:rPr>
              <w:t>于</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整个数据中台运营管理工作中，按照整体落地执行情况进行评估；</w:t>
            </w:r>
          </w:p>
        </w:tc>
      </w:tr>
      <w:tr w14:paraId="5170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5E79881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E180FEB">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6F2B7A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按照敏捷开发、服务交付的要求，对整个数据研发、治理、运营、质量和安全管控，服务交付进行整体评估，达到既定目标和要求</w:t>
            </w:r>
          </w:p>
        </w:tc>
      </w:tr>
      <w:tr w14:paraId="2B99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96" w:hRule="atLeast"/>
        </w:trPr>
        <w:tc>
          <w:tcPr>
            <w:tcW w:w="1314" w:type="dxa"/>
            <w:vMerge w:val="continue"/>
            <w:tcBorders>
              <w:tl2br w:val="nil"/>
              <w:tr2bl w:val="nil"/>
            </w:tcBorders>
            <w:shd w:val="clear" w:color="auto" w:fill="auto"/>
            <w:vAlign w:val="center"/>
          </w:tcPr>
          <w:p w14:paraId="774DC21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35460771">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6AB42C0">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批量处理效率。充分利用系统资源，优化数据加工链路，合理配置数据作业调度任务，满足日终批量处理时间要求，严格按照时间要求提供批量数据处理结果。</w:t>
            </w:r>
          </w:p>
        </w:tc>
      </w:tr>
      <w:tr w14:paraId="3B6D5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802" w:hRule="atLeast"/>
        </w:trPr>
        <w:tc>
          <w:tcPr>
            <w:tcW w:w="1314" w:type="dxa"/>
            <w:vMerge w:val="continue"/>
            <w:tcBorders>
              <w:tl2br w:val="nil"/>
              <w:tr2bl w:val="nil"/>
            </w:tcBorders>
            <w:shd w:val="clear" w:color="auto" w:fill="auto"/>
            <w:vAlign w:val="center"/>
          </w:tcPr>
          <w:p w14:paraId="2161FED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60DE87B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2A372E7B">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数据采集时效性，支撑秒级数据采集或统计场景为业务营销、风险防控、内部运营等领域提供更及时的数据支持，满足业务对数据的快速响应需求。</w:t>
            </w:r>
          </w:p>
        </w:tc>
      </w:tr>
      <w:tr w14:paraId="1B25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1314" w:type="dxa"/>
            <w:vMerge w:val="continue"/>
            <w:tcBorders>
              <w:tl2br w:val="nil"/>
              <w:tr2bl w:val="nil"/>
            </w:tcBorders>
            <w:shd w:val="clear" w:color="auto" w:fill="auto"/>
            <w:vAlign w:val="center"/>
          </w:tcPr>
          <w:p w14:paraId="74FBC13D">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2740EAD6">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交付质量要求</w:t>
            </w:r>
          </w:p>
        </w:tc>
        <w:tc>
          <w:tcPr>
            <w:tcW w:w="5556" w:type="dxa"/>
            <w:tcBorders>
              <w:tl2br w:val="nil"/>
              <w:tr2bl w:val="nil"/>
            </w:tcBorders>
            <w:shd w:val="clear" w:color="auto" w:fill="auto"/>
            <w:vAlign w:val="center"/>
          </w:tcPr>
          <w:p w14:paraId="27FCBCC8">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落实数据治理的整体要求，数据湖仓中的标准层及以上的数据贯标率不得低于98%；</w:t>
            </w:r>
          </w:p>
        </w:tc>
      </w:tr>
      <w:tr w14:paraId="28EC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46" w:hRule="atLeast"/>
        </w:trPr>
        <w:tc>
          <w:tcPr>
            <w:tcW w:w="1314" w:type="dxa"/>
            <w:vMerge w:val="continue"/>
            <w:tcBorders>
              <w:tl2br w:val="nil"/>
              <w:tr2bl w:val="nil"/>
            </w:tcBorders>
            <w:shd w:val="clear" w:color="auto" w:fill="auto"/>
            <w:vAlign w:val="center"/>
          </w:tcPr>
          <w:p w14:paraId="59E8011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767C838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8EBEE5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Style w:val="39"/>
                <w:rFonts w:hint="default" w:ascii="Times New Roman" w:hAnsi="Times New Roman" w:eastAsia="宋体" w:cs="Times New Roman"/>
                <w:b w:val="0"/>
                <w:bCs w:val="0"/>
                <w:color w:val="auto"/>
                <w:sz w:val="21"/>
                <w:szCs w:val="21"/>
                <w:highlight w:val="none"/>
                <w:lang w:val="en-US" w:eastAsia="zh-CN" w:bidi="ar"/>
              </w:rPr>
              <w:t>落实从数据采集到应用全流程的事前、事中、事后数据质量检核机制，保障湖仓数据的准确性、一致性、完整性、及时性，数据质量问题解决率不得低于</w:t>
            </w:r>
            <w:r>
              <w:rPr>
                <w:rStyle w:val="52"/>
                <w:rFonts w:hint="default" w:ascii="Times New Roman" w:hAnsi="Times New Roman" w:eastAsia="宋体" w:cs="Times New Roman"/>
                <w:b w:val="0"/>
                <w:bCs w:val="0"/>
                <w:color w:val="auto"/>
                <w:sz w:val="21"/>
                <w:szCs w:val="21"/>
                <w:highlight w:val="none"/>
                <w:lang w:val="en-US" w:eastAsia="zh-CN" w:bidi="ar"/>
              </w:rPr>
              <w:t>98%</w:t>
            </w:r>
            <w:r>
              <w:rPr>
                <w:rStyle w:val="39"/>
                <w:rFonts w:hint="default" w:ascii="Times New Roman" w:hAnsi="Times New Roman" w:eastAsia="宋体" w:cs="Times New Roman"/>
                <w:b w:val="0"/>
                <w:bCs w:val="0"/>
                <w:color w:val="auto"/>
                <w:sz w:val="21"/>
                <w:szCs w:val="21"/>
                <w:highlight w:val="none"/>
                <w:lang w:val="en-US" w:eastAsia="zh-CN" w:bidi="ar"/>
              </w:rPr>
              <w:t>（因客观、外部原因无法解决的</w:t>
            </w:r>
            <w:r>
              <w:rPr>
                <w:rStyle w:val="52"/>
                <w:rFonts w:hint="default" w:ascii="Times New Roman" w:hAnsi="Times New Roman" w:eastAsia="宋体" w:cs="Times New Roman"/>
                <w:b w:val="0"/>
                <w:bCs w:val="0"/>
                <w:color w:val="auto"/>
                <w:sz w:val="21"/>
                <w:szCs w:val="21"/>
                <w:highlight w:val="none"/>
                <w:lang w:val="en-US" w:eastAsia="zh-CN" w:bidi="ar"/>
              </w:rPr>
              <w:t>进行记录</w:t>
            </w:r>
            <w:r>
              <w:rPr>
                <w:rStyle w:val="39"/>
                <w:rFonts w:hint="default" w:ascii="Times New Roman" w:hAnsi="Times New Roman" w:eastAsia="宋体" w:cs="Times New Roman"/>
                <w:b w:val="0"/>
                <w:bCs w:val="0"/>
                <w:color w:val="auto"/>
                <w:sz w:val="21"/>
                <w:szCs w:val="21"/>
                <w:highlight w:val="none"/>
                <w:lang w:val="en-US" w:eastAsia="zh-CN" w:bidi="ar"/>
              </w:rPr>
              <w:t>但不纳入考核范围）</w:t>
            </w:r>
          </w:p>
        </w:tc>
      </w:tr>
      <w:tr w14:paraId="15AB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2D49C56E">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195925B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B699BD4">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落实数据采集到应用全流程的数据安全管控要求，包括但不限于法律法规、监管要求、国家标准、行业标准等;</w:t>
            </w:r>
          </w:p>
        </w:tc>
      </w:tr>
      <w:tr w14:paraId="02EF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55" w:hRule="atLeast"/>
        </w:trPr>
        <w:tc>
          <w:tcPr>
            <w:tcW w:w="1314" w:type="dxa"/>
            <w:vMerge w:val="continue"/>
            <w:tcBorders>
              <w:tl2br w:val="nil"/>
              <w:tr2bl w:val="nil"/>
            </w:tcBorders>
            <w:shd w:val="clear" w:color="auto" w:fill="auto"/>
            <w:vAlign w:val="center"/>
          </w:tcPr>
          <w:p w14:paraId="1B73F7C2">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5AA743BB">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5DF62D3">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实施需求交付达到100%，无发生重大服务系统性崩溃、上线重大质量缺陷，通过技术和业务验收；</w:t>
            </w:r>
          </w:p>
        </w:tc>
      </w:tr>
      <w:tr w14:paraId="5140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82" w:hRule="atLeast"/>
        </w:trPr>
        <w:tc>
          <w:tcPr>
            <w:tcW w:w="1314" w:type="dxa"/>
            <w:vMerge w:val="continue"/>
            <w:tcBorders>
              <w:tl2br w:val="nil"/>
              <w:tr2bl w:val="nil"/>
            </w:tcBorders>
            <w:shd w:val="clear" w:color="auto" w:fill="auto"/>
            <w:vAlign w:val="center"/>
          </w:tcPr>
          <w:p w14:paraId="37225AD5">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5FF40C94">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服务质量要求</w:t>
            </w:r>
          </w:p>
        </w:tc>
        <w:tc>
          <w:tcPr>
            <w:tcW w:w="5556" w:type="dxa"/>
            <w:tcBorders>
              <w:tl2br w:val="nil"/>
              <w:tr2bl w:val="nil"/>
            </w:tcBorders>
            <w:shd w:val="clear" w:color="auto" w:fill="auto"/>
            <w:vAlign w:val="center"/>
          </w:tcPr>
          <w:p w14:paraId="3EF4F82E">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现场服务达到项目质量考核要求，包括人员资质严格按照既定要求，人员服务时间满足约定，人员变动比例不得高于</w:t>
            </w:r>
            <w:r>
              <w:rPr>
                <w:rFonts w:hint="eastAsia" w:ascii="Times New Roman" w:hAnsi="Times New Roman" w:cs="Times New Roman"/>
                <w:b w:val="0"/>
                <w:bCs w:val="0"/>
                <w:i w:val="0"/>
                <w:iCs w:val="0"/>
                <w:color w:val="auto"/>
                <w:kern w:val="0"/>
                <w:sz w:val="21"/>
                <w:szCs w:val="21"/>
                <w:highlight w:val="none"/>
                <w:u w:val="none"/>
                <w:lang w:val="en-US" w:eastAsia="zh-CN" w:bidi="ar"/>
              </w:rPr>
              <w:t>3</w:t>
            </w:r>
            <w:r>
              <w:rPr>
                <w:rStyle w:val="53"/>
                <w:rFonts w:hint="default" w:ascii="Times New Roman" w:hAnsi="Times New Roman" w:eastAsia="宋体" w:cs="Times New Roman"/>
                <w:b w:val="0"/>
                <w:bCs w:val="0"/>
                <w:color w:val="auto"/>
                <w:sz w:val="21"/>
                <w:szCs w:val="21"/>
                <w:highlight w:val="none"/>
                <w:lang w:val="en-US" w:eastAsia="zh-CN" w:bidi="ar"/>
              </w:rPr>
              <w:t>0%且非比选人要求中途不得随意更换；</w:t>
            </w:r>
          </w:p>
        </w:tc>
      </w:tr>
      <w:tr w14:paraId="2E59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rPr>
        <w:tc>
          <w:tcPr>
            <w:tcW w:w="1314" w:type="dxa"/>
            <w:vMerge w:val="continue"/>
            <w:tcBorders>
              <w:tl2br w:val="nil"/>
              <w:tr2bl w:val="nil"/>
            </w:tcBorders>
            <w:shd w:val="clear" w:color="auto" w:fill="auto"/>
            <w:vAlign w:val="center"/>
          </w:tcPr>
          <w:p w14:paraId="6FB8F55A">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72A075A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1D79DA8">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风险管理符合项目质量考核要求，包括但不限于人员纪律、外包安全风险事件等；</w:t>
            </w:r>
          </w:p>
        </w:tc>
      </w:tr>
      <w:tr w14:paraId="2EFFD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trPr>
        <w:tc>
          <w:tcPr>
            <w:tcW w:w="1314" w:type="dxa"/>
            <w:vMerge w:val="continue"/>
            <w:tcBorders>
              <w:tl2br w:val="nil"/>
              <w:tr2bl w:val="nil"/>
            </w:tcBorders>
            <w:shd w:val="clear" w:color="auto" w:fill="auto"/>
            <w:vAlign w:val="center"/>
          </w:tcPr>
          <w:p w14:paraId="537E861C">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695339A6">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5B34987">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目整体进度控制达到项目进度考核要求，项目实施方协同行方在项目建设初期对整个项目的方案、范围、目标进行系统性整体评估，明确项目实施周期和重要里程碑，按照各个时间阶段、里程碑进行项目进度考核，结合项目质量和建设周期进行整体考核评价；</w:t>
            </w:r>
          </w:p>
        </w:tc>
      </w:tr>
      <w:tr w14:paraId="1C7C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1278" w:hRule="atLeast"/>
        </w:trPr>
        <w:tc>
          <w:tcPr>
            <w:tcW w:w="1314" w:type="dxa"/>
            <w:vMerge w:val="continue"/>
            <w:tcBorders>
              <w:tl2br w:val="nil"/>
              <w:tr2bl w:val="nil"/>
            </w:tcBorders>
            <w:shd w:val="clear" w:color="auto" w:fill="auto"/>
            <w:vAlign w:val="center"/>
          </w:tcPr>
          <w:p w14:paraId="5D4B3F89">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restart"/>
            <w:tcBorders>
              <w:tl2br w:val="nil"/>
              <w:tr2bl w:val="nil"/>
            </w:tcBorders>
            <w:shd w:val="clear" w:color="auto" w:fill="auto"/>
            <w:vAlign w:val="center"/>
          </w:tcPr>
          <w:p w14:paraId="3E4B789F">
            <w:pPr>
              <w:keepNext w:val="0"/>
              <w:keepLines w:val="0"/>
              <w:widowControl/>
              <w:suppressLineNumbers w:val="0"/>
              <w:autoSpaceDE/>
              <w:autoSpaceDN/>
              <w:spacing w:line="400" w:lineRule="exact"/>
              <w:ind w:firstLine="0" w:firstLine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项目交付与培训</w:t>
            </w:r>
          </w:p>
        </w:tc>
        <w:tc>
          <w:tcPr>
            <w:tcW w:w="5556" w:type="dxa"/>
            <w:tcBorders>
              <w:tl2br w:val="nil"/>
              <w:tr2bl w:val="nil"/>
            </w:tcBorders>
            <w:shd w:val="clear" w:color="auto" w:fill="auto"/>
            <w:vAlign w:val="center"/>
          </w:tcPr>
          <w:p w14:paraId="5968D196">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项目建设实施过程物料交付，包括但不限于项目建设实施方案、规范文档，流程制度文档、数据标准文档、设计文档、部署文档、运维文档等文档材料，产品源代码、客制化源代码、系统平台源代码及第三方产品源代码，底层架构和通讯层的源代码,物料符合完整性和准确性要求；</w:t>
            </w:r>
          </w:p>
        </w:tc>
      </w:tr>
      <w:tr w14:paraId="71CD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trPr>
        <w:tc>
          <w:tcPr>
            <w:tcW w:w="1314" w:type="dxa"/>
            <w:vMerge w:val="continue"/>
            <w:tcBorders>
              <w:tl2br w:val="nil"/>
              <w:tr2bl w:val="nil"/>
            </w:tcBorders>
            <w:shd w:val="clear" w:color="auto" w:fill="auto"/>
            <w:vAlign w:val="center"/>
          </w:tcPr>
          <w:p w14:paraId="0FC94377">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1529" w:type="dxa"/>
            <w:vMerge w:val="continue"/>
            <w:tcBorders>
              <w:tl2br w:val="nil"/>
              <w:tr2bl w:val="nil"/>
            </w:tcBorders>
            <w:shd w:val="clear" w:color="auto" w:fill="auto"/>
            <w:vAlign w:val="center"/>
          </w:tcPr>
          <w:p w14:paraId="22200163">
            <w:pPr>
              <w:autoSpaceDE/>
              <w:autoSpaceDN/>
              <w:spacing w:line="400" w:lineRule="exact"/>
              <w:ind w:firstLine="0" w:firstLineChars="0"/>
              <w:jc w:val="center"/>
              <w:rPr>
                <w:rFonts w:hint="default" w:ascii="Times New Roman" w:hAnsi="Times New Roman" w:eastAsia="宋体" w:cs="Times New Roman"/>
                <w:b w:val="0"/>
                <w:bCs w:val="0"/>
                <w:i w:val="0"/>
                <w:iCs w:val="0"/>
                <w:color w:val="auto"/>
                <w:sz w:val="21"/>
                <w:szCs w:val="21"/>
                <w:highlight w:val="none"/>
                <w:u w:val="none"/>
              </w:rPr>
            </w:pPr>
          </w:p>
        </w:tc>
        <w:tc>
          <w:tcPr>
            <w:tcW w:w="5556" w:type="dxa"/>
            <w:tcBorders>
              <w:tl2br w:val="nil"/>
              <w:tr2bl w:val="nil"/>
            </w:tcBorders>
            <w:shd w:val="clear" w:color="auto" w:fill="auto"/>
            <w:vAlign w:val="center"/>
          </w:tcPr>
          <w:p w14:paraId="6ADE1F4D">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完成包含业务、管理、技术和运营运维等相关培训和知识转移，培训内容包括但不限于数据架构培训、湖仓技术组件使用及调优培训等。培训方式包括线下培训、线上课程培训，其中线下培训时间不少于50小时；</w:t>
            </w:r>
          </w:p>
        </w:tc>
      </w:tr>
      <w:tr w14:paraId="7C69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78" w:hRule="atLeast"/>
        </w:trPr>
        <w:tc>
          <w:tcPr>
            <w:tcW w:w="8399" w:type="dxa"/>
            <w:gridSpan w:val="3"/>
            <w:tcBorders>
              <w:tl2br w:val="nil"/>
              <w:tr2bl w:val="nil"/>
            </w:tcBorders>
            <w:shd w:val="clear" w:color="auto" w:fill="auto"/>
            <w:vAlign w:val="center"/>
          </w:tcPr>
          <w:p w14:paraId="31F5CEB7">
            <w:pPr>
              <w:keepNext w:val="0"/>
              <w:keepLines w:val="0"/>
              <w:widowControl/>
              <w:suppressLineNumbers w:val="0"/>
              <w:autoSpaceDE/>
              <w:autoSpaceDN/>
              <w:spacing w:line="400" w:lineRule="exact"/>
              <w:ind w:firstLine="0" w:firstLineChars="0"/>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注：当前验收标准是按照</w:t>
            </w:r>
            <w:r>
              <w:rPr>
                <w:rFonts w:hint="eastAsia" w:ascii="Times New Roman" w:hAnsi="Times New Roman" w:cs="Times New Roman"/>
                <w:b w:val="0"/>
                <w:bCs w:val="0"/>
                <w:i w:val="0"/>
                <w:iCs w:val="0"/>
                <w:color w:val="auto"/>
                <w:kern w:val="0"/>
                <w:sz w:val="21"/>
                <w:szCs w:val="21"/>
                <w:highlight w:val="none"/>
                <w:u w:val="none"/>
                <w:lang w:val="en-US" w:eastAsia="zh-CN" w:bidi="ar"/>
              </w:rPr>
              <w:t>比选</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内容和要求拟定，最终验收细项</w:t>
            </w:r>
            <w:r>
              <w:rPr>
                <w:rFonts w:hint="eastAsia" w:ascii="Times New Roman" w:hAnsi="Times New Roman" w:cs="Times New Roman"/>
                <w:b w:val="0"/>
                <w:bCs w:val="0"/>
                <w:i w:val="0"/>
                <w:iCs w:val="0"/>
                <w:color w:val="auto"/>
                <w:kern w:val="0"/>
                <w:sz w:val="21"/>
                <w:szCs w:val="21"/>
                <w:highlight w:val="none"/>
                <w:u w:val="none"/>
                <w:lang w:val="en-US" w:eastAsia="zh-CN" w:bidi="ar"/>
              </w:rPr>
              <w:t>以项目合同为准</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bl>
    <w:p w14:paraId="13F4F4A2">
      <w:pPr>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br w:type="page"/>
      </w:r>
    </w:p>
    <w:p w14:paraId="4A0DE8ED">
      <w:pPr>
        <w:pStyle w:val="2"/>
        <w:rPr>
          <w:rFonts w:hint="default" w:ascii="Times New Roman" w:hAnsi="Times New Roman" w:cs="Times New Roman"/>
          <w:color w:val="auto"/>
          <w:highlight w:val="none"/>
        </w:rPr>
      </w:pPr>
      <w:bookmarkStart w:id="76" w:name="_Toc11504"/>
      <w:bookmarkStart w:id="77" w:name="_Toc20600"/>
      <w:r>
        <w:rPr>
          <w:rFonts w:hint="default" w:ascii="Times New Roman" w:hAnsi="Times New Roman" w:cs="Times New Roman"/>
          <w:color w:val="auto"/>
          <w:highlight w:val="none"/>
        </w:rPr>
        <w:t>第四章 评审办法（综合评估法）</w:t>
      </w:r>
      <w:bookmarkEnd w:id="74"/>
      <w:bookmarkEnd w:id="76"/>
      <w:bookmarkEnd w:id="77"/>
    </w:p>
    <w:p w14:paraId="17DD02D4">
      <w:pPr>
        <w:rPr>
          <w:rFonts w:hint="default" w:ascii="Times New Roman" w:hAnsi="Times New Roman" w:cs="Times New Roman"/>
          <w:b/>
          <w:bCs/>
          <w:color w:val="auto"/>
          <w:highlight w:val="none"/>
        </w:rPr>
      </w:pPr>
      <w:bookmarkStart w:id="78" w:name="_Toc11471"/>
      <w:bookmarkStart w:id="79" w:name="_Toc2028"/>
      <w:bookmarkStart w:id="80" w:name="_Toc14810"/>
      <w:bookmarkStart w:id="81" w:name="_Toc27076"/>
      <w:r>
        <w:rPr>
          <w:rFonts w:hint="default" w:ascii="Times New Roman" w:hAnsi="Times New Roman" w:cs="Times New Roman"/>
          <w:b/>
          <w:bCs/>
          <w:color w:val="auto"/>
          <w:highlight w:val="none"/>
        </w:rPr>
        <w:t>评审办法前附表</w:t>
      </w:r>
      <w:bookmarkEnd w:id="78"/>
      <w:bookmarkEnd w:id="79"/>
      <w:bookmarkEnd w:id="80"/>
      <w:bookmarkEnd w:id="81"/>
    </w:p>
    <w:p w14:paraId="46007778">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若评审办法前附表与正文不一致的地方，以评审办法前附表为准。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1E8F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653F348">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
                <w:color w:val="auto"/>
                <w:kern w:val="0"/>
                <w:sz w:val="21"/>
                <w:szCs w:val="21"/>
                <w:highlight w:val="none"/>
              </w:rPr>
            </w:pPr>
            <w:bookmarkStart w:id="82" w:name="CQZH1_07"/>
            <w:r>
              <w:rPr>
                <w:rFonts w:hint="default" w:ascii="Times New Roman" w:hAnsi="Times New Roman" w:cs="Times New Roman"/>
                <w:b/>
                <w:color w:val="auto"/>
                <w:kern w:val="0"/>
                <w:sz w:val="21"/>
                <w:szCs w:val="21"/>
                <w:highlight w:val="none"/>
              </w:rPr>
              <w:t>条款号</w:t>
            </w:r>
          </w:p>
        </w:tc>
        <w:tc>
          <w:tcPr>
            <w:tcW w:w="1482" w:type="dxa"/>
            <w:vAlign w:val="center"/>
          </w:tcPr>
          <w:p w14:paraId="77884660">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评审因素</w:t>
            </w:r>
          </w:p>
        </w:tc>
        <w:tc>
          <w:tcPr>
            <w:tcW w:w="7162" w:type="dxa"/>
            <w:gridSpan w:val="3"/>
            <w:vAlign w:val="center"/>
          </w:tcPr>
          <w:p w14:paraId="593200DE">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评审标准</w:t>
            </w:r>
          </w:p>
        </w:tc>
      </w:tr>
      <w:tr w14:paraId="3D5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92E75CC">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Cs/>
                <w:color w:val="auto"/>
                <w:kern w:val="0"/>
                <w:sz w:val="21"/>
                <w:szCs w:val="21"/>
                <w:highlight w:val="none"/>
              </w:rPr>
            </w:pPr>
            <w:r>
              <w:rPr>
                <w:rFonts w:hint="default" w:ascii="Times New Roman" w:hAnsi="Times New Roman" w:cs="Times New Roman"/>
                <w:bCs/>
                <w:color w:val="auto"/>
                <w:kern w:val="0"/>
                <w:sz w:val="21"/>
                <w:szCs w:val="21"/>
                <w:highlight w:val="none"/>
              </w:rPr>
              <w:t>1</w:t>
            </w:r>
          </w:p>
        </w:tc>
        <w:tc>
          <w:tcPr>
            <w:tcW w:w="1482" w:type="dxa"/>
            <w:tcBorders>
              <w:left w:val="single" w:color="auto" w:sz="4" w:space="0"/>
            </w:tcBorders>
            <w:vAlign w:val="center"/>
          </w:tcPr>
          <w:p w14:paraId="564DE9E5">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color w:val="auto"/>
                <w:sz w:val="21"/>
                <w:szCs w:val="21"/>
                <w:highlight w:val="none"/>
              </w:rPr>
              <w:t>评审办法</w:t>
            </w:r>
          </w:p>
        </w:tc>
        <w:tc>
          <w:tcPr>
            <w:tcW w:w="7162" w:type="dxa"/>
            <w:gridSpan w:val="3"/>
            <w:tcBorders>
              <w:left w:val="single" w:color="auto" w:sz="4" w:space="0"/>
            </w:tcBorders>
            <w:vAlign w:val="center"/>
          </w:tcPr>
          <w:p w14:paraId="4CE0A835">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b/>
                <w:color w:val="auto"/>
                <w:kern w:val="0"/>
                <w:sz w:val="21"/>
                <w:szCs w:val="21"/>
                <w:highlight w:val="none"/>
              </w:rPr>
            </w:pPr>
            <w:r>
              <w:rPr>
                <w:rFonts w:hint="default" w:ascii="Times New Roman" w:hAnsi="Times New Roman" w:eastAsia="宋体" w:cs="Times New Roman"/>
                <w:color w:val="auto"/>
                <w:kern w:val="0"/>
                <w:sz w:val="21"/>
                <w:szCs w:val="21"/>
                <w:highlight w:val="none"/>
              </w:rPr>
              <w:t>本次评审采用综合评估法。评审委员会按照评审办法前附表第2.</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条规定的标准进行</w:t>
            </w:r>
            <w:r>
              <w:rPr>
                <w:rFonts w:hint="default" w:ascii="Times New Roman" w:hAnsi="Times New Roman" w:eastAsia="宋体" w:cs="Times New Roman"/>
                <w:color w:val="auto"/>
                <w:sz w:val="21"/>
                <w:szCs w:val="21"/>
                <w:highlight w:val="none"/>
              </w:rPr>
              <w:t>初步评审，初步评审合格的参选人评审委员会按照评审办法前附表第2.2</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条规定的评分标准进行打分</w:t>
            </w:r>
            <w:r>
              <w:rPr>
                <w:rFonts w:hint="default" w:ascii="Times New Roman" w:hAnsi="Times New Roman" w:eastAsia="宋体" w:cs="Times New Roman"/>
                <w:color w:val="auto"/>
                <w:kern w:val="0"/>
                <w:sz w:val="21"/>
                <w:szCs w:val="21"/>
                <w:highlight w:val="none"/>
              </w:rPr>
              <w:t>，按得分由高到低顺序推荐</w:t>
            </w: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kern w:val="0"/>
                <w:sz w:val="21"/>
                <w:szCs w:val="21"/>
                <w:highlight w:val="none"/>
              </w:rPr>
              <w:t>3名中选候选人</w:t>
            </w:r>
            <w:r>
              <w:rPr>
                <w:rFonts w:hint="default" w:ascii="Times New Roman" w:hAnsi="Times New Roman" w:cs="Times New Roman"/>
                <w:color w:val="auto"/>
                <w:kern w:val="0"/>
                <w:sz w:val="21"/>
                <w:szCs w:val="24"/>
                <w:highlight w:val="none"/>
              </w:rPr>
              <w:t>，但参选报价低于其成本的除外。综合评分相等时，以参选报价低的优先；参选报价也相等的，由评审委员会按照</w:t>
            </w:r>
            <w:r>
              <w:rPr>
                <w:rFonts w:hint="default" w:ascii="Times New Roman" w:hAnsi="Times New Roman" w:cs="Times New Roman"/>
                <w:color w:val="auto"/>
                <w:kern w:val="0"/>
                <w:sz w:val="21"/>
                <w:szCs w:val="24"/>
                <w:highlight w:val="none"/>
                <w:lang w:val="en-US" w:eastAsia="zh-CN"/>
              </w:rPr>
              <w:t>项目</w:t>
            </w:r>
            <w:r>
              <w:rPr>
                <w:rFonts w:hint="eastAsia" w:ascii="Times New Roman" w:hAnsi="Times New Roman" w:cs="Times New Roman"/>
                <w:color w:val="auto"/>
                <w:kern w:val="0"/>
                <w:sz w:val="21"/>
                <w:szCs w:val="24"/>
                <w:highlight w:val="none"/>
                <w:lang w:val="en-US" w:eastAsia="zh-CN"/>
              </w:rPr>
              <w:t>实施</w:t>
            </w:r>
            <w:r>
              <w:rPr>
                <w:rFonts w:hint="default" w:ascii="Times New Roman" w:hAnsi="Times New Roman" w:cs="Times New Roman"/>
                <w:color w:val="auto"/>
                <w:kern w:val="0"/>
                <w:sz w:val="21"/>
                <w:szCs w:val="24"/>
                <w:highlight w:val="none"/>
                <w:lang w:val="en-US" w:eastAsia="zh-CN"/>
              </w:rPr>
              <w:t>方案得分由高到低</w:t>
            </w:r>
            <w:r>
              <w:rPr>
                <w:rFonts w:hint="default" w:ascii="Times New Roman" w:hAnsi="Times New Roman" w:cs="Times New Roman"/>
                <w:color w:val="auto"/>
                <w:kern w:val="0"/>
                <w:sz w:val="21"/>
                <w:szCs w:val="24"/>
                <w:highlight w:val="none"/>
              </w:rPr>
              <w:t>原则排序</w:t>
            </w:r>
          </w:p>
        </w:tc>
      </w:tr>
      <w:tr w14:paraId="42FC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9C10A08">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Cs/>
                <w:color w:val="auto"/>
                <w:kern w:val="0"/>
                <w:sz w:val="21"/>
                <w:szCs w:val="21"/>
                <w:highlight w:val="none"/>
              </w:rPr>
            </w:pPr>
            <w:r>
              <w:rPr>
                <w:rFonts w:hint="default" w:ascii="Times New Roman" w:hAnsi="Times New Roman" w:cs="Times New Roman"/>
                <w:bCs/>
                <w:color w:val="auto"/>
                <w:kern w:val="0"/>
                <w:sz w:val="21"/>
                <w:szCs w:val="21"/>
                <w:highlight w:val="none"/>
              </w:rPr>
              <w:t>2.1</w:t>
            </w:r>
          </w:p>
        </w:tc>
        <w:tc>
          <w:tcPr>
            <w:tcW w:w="1482" w:type="dxa"/>
            <w:tcBorders>
              <w:left w:val="single" w:color="auto" w:sz="4" w:space="0"/>
            </w:tcBorders>
            <w:vAlign w:val="center"/>
          </w:tcPr>
          <w:p w14:paraId="35D03FEB">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4"/>
                <w:highlight w:val="none"/>
              </w:rPr>
              <w:t>初步评审标准</w:t>
            </w:r>
          </w:p>
        </w:tc>
        <w:tc>
          <w:tcPr>
            <w:tcW w:w="7162" w:type="dxa"/>
            <w:gridSpan w:val="3"/>
            <w:tcBorders>
              <w:left w:val="single" w:color="auto" w:sz="4" w:space="0"/>
            </w:tcBorders>
            <w:vAlign w:val="center"/>
          </w:tcPr>
          <w:p w14:paraId="4FC35DB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4"/>
                <w:highlight w:val="none"/>
              </w:rPr>
              <w:t>所有参选单位</w:t>
            </w:r>
            <w:r>
              <w:rPr>
                <w:rFonts w:hint="default" w:ascii="Times New Roman" w:hAnsi="Times New Roman" w:cs="Times New Roman"/>
                <w:color w:val="auto"/>
                <w:spacing w:val="4"/>
                <w:kern w:val="0"/>
                <w:sz w:val="21"/>
                <w:szCs w:val="21"/>
                <w:highlight w:val="none"/>
              </w:rPr>
              <w:t>进行</w:t>
            </w:r>
            <w:r>
              <w:rPr>
                <w:rFonts w:hint="default" w:ascii="Times New Roman" w:hAnsi="Times New Roman" w:cs="Times New Roman"/>
                <w:color w:val="auto"/>
                <w:kern w:val="0"/>
                <w:sz w:val="21"/>
                <w:szCs w:val="24"/>
                <w:highlight w:val="none"/>
              </w:rPr>
              <w:t>初步评审</w:t>
            </w:r>
            <w:r>
              <w:rPr>
                <w:rFonts w:hint="default" w:ascii="Times New Roman" w:hAnsi="Times New Roman" w:cs="Times New Roman"/>
                <w:color w:val="auto"/>
                <w:spacing w:val="4"/>
                <w:kern w:val="0"/>
                <w:sz w:val="21"/>
                <w:szCs w:val="21"/>
                <w:highlight w:val="none"/>
              </w:rPr>
              <w:t>。</w:t>
            </w:r>
            <w:r>
              <w:rPr>
                <w:rFonts w:hint="default" w:ascii="Times New Roman" w:hAnsi="Times New Roman" w:cs="Times New Roman"/>
                <w:color w:val="auto"/>
                <w:kern w:val="0"/>
                <w:sz w:val="21"/>
                <w:szCs w:val="24"/>
                <w:highlight w:val="none"/>
              </w:rPr>
              <w:t>初步评审</w:t>
            </w:r>
            <w:r>
              <w:rPr>
                <w:rFonts w:hint="default" w:ascii="Times New Roman" w:hAnsi="Times New Roman" w:cs="Times New Roman"/>
                <w:color w:val="auto"/>
                <w:spacing w:val="4"/>
                <w:kern w:val="0"/>
                <w:sz w:val="21"/>
                <w:szCs w:val="21"/>
                <w:highlight w:val="none"/>
              </w:rPr>
              <w:t>内容：资格评审、形式评审、响应性评审。</w:t>
            </w:r>
          </w:p>
        </w:tc>
      </w:tr>
      <w:tr w14:paraId="32A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5521512">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bCs/>
                <w:color w:val="auto"/>
                <w:kern w:val="0"/>
                <w:sz w:val="21"/>
                <w:szCs w:val="21"/>
                <w:highlight w:val="none"/>
              </w:rPr>
            </w:pPr>
            <w:r>
              <w:rPr>
                <w:rFonts w:hint="default" w:ascii="Times New Roman" w:hAnsi="Times New Roman" w:cs="Times New Roman"/>
                <w:color w:val="auto"/>
                <w:kern w:val="0"/>
                <w:sz w:val="21"/>
                <w:szCs w:val="21"/>
                <w:highlight w:val="none"/>
              </w:rPr>
              <w:t>2.1.1</w:t>
            </w:r>
          </w:p>
        </w:tc>
        <w:tc>
          <w:tcPr>
            <w:tcW w:w="1482" w:type="dxa"/>
            <w:tcBorders>
              <w:left w:val="single" w:color="auto" w:sz="4" w:space="0"/>
            </w:tcBorders>
            <w:vAlign w:val="center"/>
          </w:tcPr>
          <w:p w14:paraId="42D48EBC">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1"/>
                <w:highlight w:val="none"/>
              </w:rPr>
              <w:t>资格评审标准</w:t>
            </w:r>
          </w:p>
        </w:tc>
        <w:tc>
          <w:tcPr>
            <w:tcW w:w="1686" w:type="dxa"/>
            <w:gridSpan w:val="2"/>
            <w:tcBorders>
              <w:left w:val="single" w:color="auto" w:sz="4" w:space="0"/>
            </w:tcBorders>
            <w:vAlign w:val="center"/>
          </w:tcPr>
          <w:p w14:paraId="74F933DC">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1"/>
                <w:highlight w:val="none"/>
              </w:rPr>
              <w:t>资格条件要求</w:t>
            </w:r>
          </w:p>
        </w:tc>
        <w:tc>
          <w:tcPr>
            <w:tcW w:w="5476" w:type="dxa"/>
            <w:tcBorders>
              <w:left w:val="single" w:color="auto" w:sz="4" w:space="0"/>
            </w:tcBorders>
            <w:vAlign w:val="center"/>
          </w:tcPr>
          <w:p w14:paraId="2A3B5EF7">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1"/>
                <w:highlight w:val="none"/>
              </w:rPr>
              <w:t>符合第一章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2. 参选人资格要求</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规定</w:t>
            </w:r>
          </w:p>
        </w:tc>
      </w:tr>
      <w:tr w14:paraId="637D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6703471">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2.1.2</w:t>
            </w:r>
          </w:p>
        </w:tc>
        <w:tc>
          <w:tcPr>
            <w:tcW w:w="1482" w:type="dxa"/>
            <w:vMerge w:val="restart"/>
            <w:tcBorders>
              <w:left w:val="single" w:color="auto" w:sz="4" w:space="0"/>
            </w:tcBorders>
            <w:vAlign w:val="center"/>
          </w:tcPr>
          <w:p w14:paraId="65ED5B57">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4"/>
                <w:highlight w:val="none"/>
              </w:rPr>
            </w:pPr>
            <w:r>
              <w:rPr>
                <w:rFonts w:hint="default" w:ascii="Times New Roman" w:hAnsi="Times New Roman" w:cs="Times New Roman"/>
                <w:color w:val="auto"/>
                <w:kern w:val="0"/>
                <w:sz w:val="21"/>
                <w:szCs w:val="24"/>
                <w:highlight w:val="none"/>
              </w:rPr>
              <w:t>形式评审标准</w:t>
            </w:r>
          </w:p>
        </w:tc>
        <w:tc>
          <w:tcPr>
            <w:tcW w:w="1686" w:type="dxa"/>
            <w:gridSpan w:val="2"/>
            <w:tcBorders>
              <w:left w:val="single" w:color="auto" w:sz="4" w:space="0"/>
            </w:tcBorders>
            <w:vAlign w:val="center"/>
          </w:tcPr>
          <w:p w14:paraId="3F25B90A">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参选人名称</w:t>
            </w:r>
          </w:p>
        </w:tc>
        <w:tc>
          <w:tcPr>
            <w:tcW w:w="5476" w:type="dxa"/>
            <w:tcBorders>
              <w:left w:val="single" w:color="auto" w:sz="4" w:space="0"/>
            </w:tcBorders>
            <w:vAlign w:val="center"/>
          </w:tcPr>
          <w:p w14:paraId="5122CC5B">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与营业执照、资格证明材料一致</w:t>
            </w:r>
          </w:p>
        </w:tc>
      </w:tr>
      <w:tr w14:paraId="6C3D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E98664B">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extDirection w:val="tbRlV"/>
            <w:vAlign w:val="center"/>
          </w:tcPr>
          <w:p w14:paraId="0505071E">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1DDA1449">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参选文件的签字盖章</w:t>
            </w:r>
          </w:p>
        </w:tc>
        <w:tc>
          <w:tcPr>
            <w:tcW w:w="5476" w:type="dxa"/>
            <w:tcBorders>
              <w:left w:val="single" w:color="auto" w:sz="4" w:space="0"/>
            </w:tcBorders>
            <w:vAlign w:val="center"/>
          </w:tcPr>
          <w:p w14:paraId="7326026F">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4.5 条规定</w:t>
            </w:r>
          </w:p>
        </w:tc>
      </w:tr>
      <w:tr w14:paraId="6E20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84BE249">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extDirection w:val="tbRlV"/>
            <w:vAlign w:val="center"/>
          </w:tcPr>
          <w:p w14:paraId="0CE5C273">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38D1AD9E">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参选文件的密封</w:t>
            </w:r>
          </w:p>
        </w:tc>
        <w:tc>
          <w:tcPr>
            <w:tcW w:w="5476" w:type="dxa"/>
            <w:tcBorders>
              <w:left w:val="single" w:color="auto" w:sz="4" w:space="0"/>
            </w:tcBorders>
            <w:vAlign w:val="center"/>
          </w:tcPr>
          <w:p w14:paraId="4512D8E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4.6 条规定</w:t>
            </w:r>
          </w:p>
        </w:tc>
      </w:tr>
      <w:tr w14:paraId="5994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DC3AD8B">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extDirection w:val="tbRlV"/>
            <w:vAlign w:val="center"/>
          </w:tcPr>
          <w:p w14:paraId="5F838BF2">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2E6435EF">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参选文件格式</w:t>
            </w:r>
          </w:p>
        </w:tc>
        <w:tc>
          <w:tcPr>
            <w:tcW w:w="5476" w:type="dxa"/>
            <w:tcBorders>
              <w:left w:val="single" w:color="auto" w:sz="4" w:space="0"/>
            </w:tcBorders>
            <w:vAlign w:val="center"/>
          </w:tcPr>
          <w:p w14:paraId="103EACBC">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符合第六章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参选文件格式</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的要求</w:t>
            </w:r>
          </w:p>
        </w:tc>
      </w:tr>
      <w:tr w14:paraId="6AA8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96C94D4">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extDirection w:val="tbRlV"/>
            <w:vAlign w:val="center"/>
          </w:tcPr>
          <w:p w14:paraId="2FF8F605">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490D3452">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参选文件组成</w:t>
            </w:r>
          </w:p>
        </w:tc>
        <w:tc>
          <w:tcPr>
            <w:tcW w:w="5476" w:type="dxa"/>
            <w:tcBorders>
              <w:left w:val="single" w:color="auto" w:sz="4" w:space="0"/>
            </w:tcBorders>
            <w:vAlign w:val="center"/>
          </w:tcPr>
          <w:p w14:paraId="1C7E6474">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4.1 条规定，</w:t>
            </w:r>
            <w:r>
              <w:rPr>
                <w:rFonts w:hint="default" w:ascii="Times New Roman" w:hAnsi="Times New Roman" w:cs="Times New Roman"/>
                <w:color w:val="auto"/>
                <w:kern w:val="0"/>
                <w:sz w:val="20"/>
                <w:highlight w:val="none"/>
              </w:rPr>
              <w:t>内容齐全、无遗漏</w:t>
            </w:r>
          </w:p>
        </w:tc>
      </w:tr>
      <w:tr w14:paraId="7F87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E79D6C7">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extDirection w:val="tbRlV"/>
            <w:vAlign w:val="center"/>
          </w:tcPr>
          <w:p w14:paraId="6C4590E9">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6E634ACE">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联合体参选</w:t>
            </w:r>
          </w:p>
        </w:tc>
        <w:tc>
          <w:tcPr>
            <w:tcW w:w="5476" w:type="dxa"/>
            <w:tcBorders>
              <w:left w:val="single" w:color="auto" w:sz="4" w:space="0"/>
            </w:tcBorders>
            <w:vAlign w:val="center"/>
          </w:tcPr>
          <w:p w14:paraId="66099CC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符合第一章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2. 参选人资格要求</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2.8 条的要求</w:t>
            </w:r>
          </w:p>
        </w:tc>
      </w:tr>
      <w:tr w14:paraId="2A50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5540616">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2.1.3</w:t>
            </w:r>
          </w:p>
        </w:tc>
        <w:tc>
          <w:tcPr>
            <w:tcW w:w="1482" w:type="dxa"/>
            <w:vMerge w:val="restart"/>
            <w:tcBorders>
              <w:left w:val="single" w:color="auto" w:sz="4" w:space="0"/>
            </w:tcBorders>
            <w:vAlign w:val="center"/>
          </w:tcPr>
          <w:p w14:paraId="75794B11">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响应性评审标准</w:t>
            </w:r>
          </w:p>
        </w:tc>
        <w:tc>
          <w:tcPr>
            <w:tcW w:w="1686" w:type="dxa"/>
            <w:gridSpan w:val="2"/>
            <w:tcBorders>
              <w:left w:val="single" w:color="auto" w:sz="4" w:space="0"/>
            </w:tcBorders>
            <w:vAlign w:val="center"/>
          </w:tcPr>
          <w:p w14:paraId="6CE28CAA">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参选内容</w:t>
            </w:r>
          </w:p>
        </w:tc>
        <w:tc>
          <w:tcPr>
            <w:tcW w:w="5476" w:type="dxa"/>
            <w:tcBorders>
              <w:left w:val="single" w:color="auto" w:sz="4" w:space="0"/>
            </w:tcBorders>
            <w:vAlign w:val="center"/>
          </w:tcPr>
          <w:p w14:paraId="30899CE2">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 在响应承诺函中对第三章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项目要求</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内容做出整体承诺；</w:t>
            </w:r>
          </w:p>
          <w:p w14:paraId="45B216BF">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 根据第一章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2. 参选人资格要求</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和第三章</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项目要求</w:t>
            </w: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的要求规定，提供</w:t>
            </w:r>
            <w:r>
              <w:rPr>
                <w:rFonts w:hint="eastAsia" w:ascii="Times New Roman" w:hAnsi="Times New Roman" w:cs="Times New Roman"/>
                <w:color w:val="auto"/>
                <w:kern w:val="0"/>
                <w:sz w:val="21"/>
                <w:szCs w:val="21"/>
                <w:highlight w:val="none"/>
                <w:lang w:val="en-US" w:eastAsia="zh-CN"/>
              </w:rPr>
              <w:t>材料</w:t>
            </w:r>
            <w:r>
              <w:rPr>
                <w:rFonts w:hint="default" w:ascii="Times New Roman" w:hAnsi="Times New Roman" w:cs="Times New Roman"/>
                <w:color w:val="auto"/>
                <w:kern w:val="0"/>
                <w:sz w:val="21"/>
                <w:szCs w:val="21"/>
                <w:highlight w:val="none"/>
              </w:rPr>
              <w:t>，内容齐全、无遗漏。</w:t>
            </w:r>
          </w:p>
        </w:tc>
      </w:tr>
      <w:tr w14:paraId="2F18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451D062">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cPr>
          <w:p w14:paraId="2CD0F2DB">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1E62DB25">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参选文件份数</w:t>
            </w:r>
          </w:p>
        </w:tc>
        <w:tc>
          <w:tcPr>
            <w:tcW w:w="5476" w:type="dxa"/>
            <w:tcBorders>
              <w:left w:val="single" w:color="auto" w:sz="4" w:space="0"/>
            </w:tcBorders>
            <w:vAlign w:val="center"/>
          </w:tcPr>
          <w:p w14:paraId="1ECBFC4E">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4.5 条规定</w:t>
            </w:r>
          </w:p>
        </w:tc>
      </w:tr>
      <w:tr w14:paraId="6455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8DFA2B3">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cPr>
          <w:p w14:paraId="17F57145">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1F5A33D4">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参选方案唯一</w:t>
            </w:r>
          </w:p>
        </w:tc>
        <w:tc>
          <w:tcPr>
            <w:tcW w:w="5476" w:type="dxa"/>
            <w:tcBorders>
              <w:left w:val="single" w:color="auto" w:sz="4" w:space="0"/>
            </w:tcBorders>
            <w:vAlign w:val="center"/>
          </w:tcPr>
          <w:p w14:paraId="360143A8">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只能有一个方案参选。</w:t>
            </w:r>
          </w:p>
        </w:tc>
      </w:tr>
      <w:tr w14:paraId="2EFE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6686EA5">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cPr>
          <w:p w14:paraId="1813D906">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4FE96F47">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参选报价</w:t>
            </w:r>
          </w:p>
        </w:tc>
        <w:tc>
          <w:tcPr>
            <w:tcW w:w="5476" w:type="dxa"/>
            <w:tcBorders>
              <w:left w:val="single" w:color="auto" w:sz="4" w:space="0"/>
            </w:tcBorders>
            <w:vAlign w:val="center"/>
          </w:tcPr>
          <w:p w14:paraId="22A3407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4.7 条规定</w:t>
            </w:r>
          </w:p>
        </w:tc>
      </w:tr>
      <w:tr w14:paraId="1154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D97950B">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cPr>
          <w:p w14:paraId="441B589E">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09A886A5">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参选有效期</w:t>
            </w:r>
          </w:p>
        </w:tc>
        <w:tc>
          <w:tcPr>
            <w:tcW w:w="5476" w:type="dxa"/>
            <w:tcBorders>
              <w:left w:val="single" w:color="auto" w:sz="4" w:space="0"/>
            </w:tcBorders>
          </w:tcPr>
          <w:p w14:paraId="5C08E50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4.3 条规定</w:t>
            </w:r>
          </w:p>
        </w:tc>
      </w:tr>
      <w:tr w14:paraId="5A65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A7B97C">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tcPr>
          <w:p w14:paraId="78BB4DC2">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tcBorders>
              <w:left w:val="single" w:color="auto" w:sz="4" w:space="0"/>
            </w:tcBorders>
            <w:vAlign w:val="center"/>
          </w:tcPr>
          <w:p w14:paraId="0BB6BE95">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参选保证金</w:t>
            </w:r>
          </w:p>
        </w:tc>
        <w:tc>
          <w:tcPr>
            <w:tcW w:w="5476" w:type="dxa"/>
            <w:tcBorders>
              <w:left w:val="single" w:color="auto" w:sz="4" w:space="0"/>
            </w:tcBorders>
          </w:tcPr>
          <w:p w14:paraId="1CEE7703">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符合第二章</w:t>
            </w:r>
            <w:r>
              <w:rPr>
                <w:rFonts w:hint="eastAsia" w:ascii="Times New Roman" w:hAnsi="Times New Roman" w:cs="Times New Roman"/>
                <w:color w:val="auto"/>
                <w:kern w:val="0"/>
                <w:sz w:val="21"/>
                <w:szCs w:val="21"/>
                <w:highlight w:val="none"/>
                <w:lang w:eastAsia="zh-CN"/>
              </w:rPr>
              <w:t>“参选人须知”</w:t>
            </w:r>
            <w:r>
              <w:rPr>
                <w:rFonts w:hint="default" w:ascii="Times New Roman" w:hAnsi="Times New Roman" w:cs="Times New Roman"/>
                <w:color w:val="auto"/>
                <w:kern w:val="0"/>
                <w:sz w:val="21"/>
                <w:szCs w:val="21"/>
                <w:highlight w:val="none"/>
              </w:rPr>
              <w:t>4.4 条规定</w:t>
            </w:r>
          </w:p>
        </w:tc>
      </w:tr>
      <w:tr w14:paraId="1F99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412692E6">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2.2</w:t>
            </w:r>
          </w:p>
        </w:tc>
        <w:tc>
          <w:tcPr>
            <w:tcW w:w="1482" w:type="dxa"/>
            <w:vMerge w:val="restart"/>
            <w:tcBorders>
              <w:left w:val="single" w:color="auto" w:sz="4" w:space="0"/>
            </w:tcBorders>
            <w:vAlign w:val="center"/>
          </w:tcPr>
          <w:p w14:paraId="10C34991">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详细评审</w:t>
            </w:r>
          </w:p>
        </w:tc>
        <w:tc>
          <w:tcPr>
            <w:tcW w:w="1686" w:type="dxa"/>
            <w:gridSpan w:val="2"/>
            <w:vMerge w:val="restart"/>
            <w:tcBorders>
              <w:left w:val="single" w:color="auto" w:sz="4" w:space="0"/>
            </w:tcBorders>
            <w:vAlign w:val="center"/>
          </w:tcPr>
          <w:p w14:paraId="477ECF55">
            <w:pPr>
              <w:keepNext w:val="0"/>
              <w:keepLines w:val="0"/>
              <w:pageBreakBefore w:val="0"/>
              <w:widowControl w:val="0"/>
              <w:tabs>
                <w:tab w:val="left" w:pos="1875"/>
              </w:tabs>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分值构成与评分标准</w:t>
            </w:r>
          </w:p>
          <w:p w14:paraId="425CA703">
            <w:pPr>
              <w:keepNext w:val="0"/>
              <w:keepLines w:val="0"/>
              <w:pageBreakBefore w:val="0"/>
              <w:widowControl w:val="0"/>
              <w:tabs>
                <w:tab w:val="left" w:pos="1875"/>
              </w:tabs>
              <w:kinsoku/>
              <w:wordWrap/>
              <w:overflowPunct/>
              <w:topLinePunct w:val="0"/>
              <w:autoSpaceDE w:val="0"/>
              <w:autoSpaceDN w:val="0"/>
              <w:bidi w:val="0"/>
              <w:spacing w:line="400" w:lineRule="exact"/>
              <w:ind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总分100分</w:t>
            </w:r>
            <w:r>
              <w:rPr>
                <w:rFonts w:hint="eastAsia" w:ascii="Times New Roman" w:hAnsi="Times New Roman" w:cs="Times New Roman"/>
                <w:color w:val="auto"/>
                <w:kern w:val="0"/>
                <w:sz w:val="21"/>
                <w:szCs w:val="21"/>
                <w:highlight w:val="none"/>
                <w:lang w:eastAsia="zh-CN"/>
              </w:rPr>
              <w:t>）</w:t>
            </w:r>
          </w:p>
        </w:tc>
        <w:tc>
          <w:tcPr>
            <w:tcW w:w="5476" w:type="dxa"/>
            <w:tcBorders>
              <w:left w:val="single" w:color="auto" w:sz="4" w:space="0"/>
            </w:tcBorders>
            <w:vAlign w:val="center"/>
          </w:tcPr>
          <w:p w14:paraId="3BB3AD4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0"/>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lang w:val="en-US" w:eastAsia="zh-CN"/>
              </w:rPr>
              <w:t>一、参选报价</w:t>
            </w:r>
            <w:r>
              <w:rPr>
                <w:rFonts w:hint="eastAsia" w:ascii="Times New Roman" w:hAnsi="Times New Roman" w:cs="Times New Roman"/>
                <w:color w:val="auto"/>
                <w:kern w:val="0"/>
                <w:sz w:val="21"/>
                <w:szCs w:val="21"/>
                <w:highlight w:val="none"/>
                <w:shd w:val="clear" w:color="auto" w:fill="auto"/>
                <w:lang w:val="en-US" w:eastAsia="zh-CN"/>
              </w:rPr>
              <w:t>（不含税）</w:t>
            </w:r>
            <w:r>
              <w:rPr>
                <w:rFonts w:hint="default" w:ascii="Times New Roman" w:hAnsi="Times New Roman" w:eastAsia="宋体" w:cs="Times New Roman"/>
                <w:color w:val="auto"/>
                <w:kern w:val="0"/>
                <w:sz w:val="21"/>
                <w:szCs w:val="21"/>
                <w:highlight w:val="none"/>
                <w:shd w:val="clear" w:color="auto" w:fill="auto"/>
                <w:lang w:val="en-US" w:eastAsia="zh-CN"/>
              </w:rPr>
              <w:t>评分规则（分值：35分）</w:t>
            </w:r>
          </w:p>
          <w:p w14:paraId="5EF4575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一）</w:t>
            </w:r>
            <w:r>
              <w:rPr>
                <w:rFonts w:hint="default" w:ascii="Times New Roman" w:hAnsi="Times New Roman" w:eastAsia="宋体" w:cs="Times New Roman"/>
                <w:color w:val="auto"/>
                <w:kern w:val="0"/>
                <w:sz w:val="21"/>
                <w:szCs w:val="21"/>
                <w:highlight w:val="none"/>
                <w:lang w:val="en-US" w:eastAsia="zh-CN"/>
              </w:rPr>
              <w:t>以各有效报价的平均价格作为评标基准价</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cs="宋体"/>
                <w:color w:val="auto"/>
                <w:kern w:val="0"/>
                <w:sz w:val="21"/>
                <w:szCs w:val="21"/>
                <w:highlight w:val="none"/>
                <w:lang w:val="en-US" w:eastAsia="zh-CN"/>
              </w:rPr>
              <w:t>保留两位小数，4舍5入</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，基准分为35分；</w:t>
            </w:r>
          </w:p>
          <w:p w14:paraId="2EBC2F8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（二）</w:t>
            </w:r>
            <w:r>
              <w:rPr>
                <w:rFonts w:hint="default" w:ascii="Times New Roman" w:hAnsi="Times New Roman" w:eastAsia="宋体" w:cs="Times New Roman"/>
                <w:color w:val="auto"/>
                <w:kern w:val="0"/>
                <w:sz w:val="21"/>
                <w:szCs w:val="21"/>
                <w:highlight w:val="none"/>
                <w:lang w:val="en-US" w:eastAsia="zh-CN"/>
              </w:rPr>
              <w:t>计算各</w:t>
            </w:r>
            <w:r>
              <w:rPr>
                <w:rFonts w:hint="eastAsia" w:ascii="Times New Roman" w:hAnsi="Times New Roman" w:cs="Times New Roman"/>
                <w:color w:val="auto"/>
                <w:kern w:val="0"/>
                <w:sz w:val="21"/>
                <w:szCs w:val="21"/>
                <w:highlight w:val="none"/>
                <w:lang w:val="en-US" w:eastAsia="zh-CN"/>
              </w:rPr>
              <w:t>参选人</w:t>
            </w:r>
            <w:r>
              <w:rPr>
                <w:rFonts w:hint="default" w:ascii="Times New Roman" w:hAnsi="Times New Roman" w:eastAsia="宋体" w:cs="Times New Roman"/>
                <w:color w:val="auto"/>
                <w:kern w:val="0"/>
                <w:sz w:val="21"/>
                <w:szCs w:val="21"/>
                <w:highlight w:val="none"/>
                <w:lang w:val="en-US" w:eastAsia="zh-CN"/>
              </w:rPr>
              <w:t>报价与评标基准价的偏离度。偏离度=（有效报价/评标基准价-1）*100%；</w:t>
            </w:r>
          </w:p>
          <w:p w14:paraId="56751E3A">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（三）</w:t>
            </w:r>
            <w:r>
              <w:rPr>
                <w:rFonts w:hint="default" w:ascii="Times New Roman" w:hAnsi="Times New Roman" w:eastAsia="宋体" w:cs="Times New Roman"/>
                <w:color w:val="auto"/>
                <w:kern w:val="0"/>
                <w:sz w:val="21"/>
                <w:szCs w:val="21"/>
                <w:highlight w:val="none"/>
                <w:lang w:val="en-US" w:eastAsia="zh-CN"/>
              </w:rPr>
              <w:t>报价每</w:t>
            </w:r>
            <w:r>
              <w:rPr>
                <w:rFonts w:hint="eastAsia" w:ascii="Times New Roman" w:hAnsi="Times New Roman" w:cs="Times New Roman"/>
                <w:color w:val="auto"/>
                <w:kern w:val="0"/>
                <w:sz w:val="21"/>
                <w:szCs w:val="21"/>
                <w:highlight w:val="none"/>
                <w:lang w:val="en-US" w:eastAsia="zh-CN"/>
              </w:rPr>
              <w:t>向上</w:t>
            </w:r>
            <w:r>
              <w:rPr>
                <w:rFonts w:hint="default" w:ascii="Times New Roman" w:hAnsi="Times New Roman" w:eastAsia="宋体" w:cs="Times New Roman"/>
                <w:color w:val="auto"/>
                <w:kern w:val="0"/>
                <w:sz w:val="21"/>
                <w:szCs w:val="21"/>
                <w:highlight w:val="none"/>
                <w:lang w:val="en-US" w:eastAsia="zh-CN"/>
              </w:rPr>
              <w:t>偏离基准价的1%扣</w:t>
            </w:r>
            <w:r>
              <w:rPr>
                <w:rFonts w:hint="eastAsia" w:ascii="Times New Roman" w:hAnsi="Times New Roman" w:cs="Times New Roman"/>
                <w:color w:val="auto"/>
                <w:kern w:val="0"/>
                <w:sz w:val="21"/>
                <w:szCs w:val="21"/>
                <w:highlight w:val="none"/>
                <w:lang w:val="en-US" w:eastAsia="zh-CN"/>
              </w:rPr>
              <w:t>0.5</w:t>
            </w:r>
            <w:r>
              <w:rPr>
                <w:rFonts w:hint="default" w:ascii="Times New Roman" w:hAnsi="Times New Roman" w:eastAsia="宋体" w:cs="Times New Roman"/>
                <w:color w:val="auto"/>
                <w:kern w:val="0"/>
                <w:sz w:val="21"/>
                <w:szCs w:val="21"/>
                <w:highlight w:val="none"/>
                <w:lang w:val="en-US" w:eastAsia="zh-CN"/>
              </w:rPr>
              <w:t>分</w:t>
            </w:r>
            <w:r>
              <w:rPr>
                <w:rFonts w:hint="eastAsia" w:ascii="Times New Roman" w:hAnsi="Times New Roman" w:cs="Times New Roman"/>
                <w:color w:val="auto"/>
                <w:kern w:val="0"/>
                <w:sz w:val="21"/>
                <w:szCs w:val="21"/>
                <w:highlight w:val="none"/>
                <w:lang w:val="en-US" w:eastAsia="zh-CN"/>
              </w:rPr>
              <w:t>，每向下偏离基准价的1%扣0.3分</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CN"/>
              </w:rPr>
              <w:t>扣完为止，</w:t>
            </w:r>
            <w:r>
              <w:rPr>
                <w:rFonts w:hint="default" w:ascii="Times New Roman" w:hAnsi="Times New Roman" w:eastAsia="宋体" w:cs="Times New Roman"/>
                <w:color w:val="auto"/>
                <w:kern w:val="0"/>
                <w:sz w:val="21"/>
                <w:szCs w:val="21"/>
                <w:highlight w:val="none"/>
                <w:lang w:val="en-US" w:eastAsia="zh-CN"/>
              </w:rPr>
              <w:t>不足1%的不予扣减。</w:t>
            </w:r>
          </w:p>
          <w:p w14:paraId="1B428FE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注：</w:t>
            </w:r>
          </w:p>
          <w:p w14:paraId="2F6318E5">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价格使用</w:t>
            </w:r>
            <w:r>
              <w:rPr>
                <w:rFonts w:hint="eastAsia" w:ascii="Times New Roman" w:hAnsi="Times New Roman" w:cs="Times New Roman"/>
                <w:b w:val="0"/>
                <w:color w:val="auto"/>
                <w:spacing w:val="0"/>
                <w:sz w:val="21"/>
                <w:szCs w:val="21"/>
                <w:highlight w:val="none"/>
                <w:lang w:val="en-US" w:eastAsia="zh-CN"/>
              </w:rPr>
              <w:t>不</w:t>
            </w:r>
            <w:r>
              <w:rPr>
                <w:rFonts w:hint="default" w:ascii="Times New Roman" w:hAnsi="Times New Roman" w:eastAsia="宋体" w:cs="Times New Roman"/>
                <w:b w:val="0"/>
                <w:color w:val="auto"/>
                <w:spacing w:val="0"/>
                <w:sz w:val="21"/>
                <w:szCs w:val="21"/>
                <w:highlight w:val="none"/>
              </w:rPr>
              <w:t>含税</w:t>
            </w:r>
            <w:r>
              <w:rPr>
                <w:rFonts w:hint="default" w:ascii="Times New Roman" w:hAnsi="Times New Roman" w:eastAsia="宋体" w:cs="Times New Roman"/>
                <w:b w:val="0"/>
                <w:color w:val="auto"/>
                <w:spacing w:val="0"/>
                <w:sz w:val="21"/>
                <w:szCs w:val="21"/>
                <w:highlight w:val="none"/>
                <w:lang w:val="en-US" w:eastAsia="zh-CN"/>
              </w:rPr>
              <w:t>参选报价</w:t>
            </w:r>
            <w:r>
              <w:rPr>
                <w:rFonts w:hint="eastAsia" w:ascii="Times New Roman" w:hAnsi="Times New Roman" w:cs="Times New Roman"/>
                <w:b w:val="0"/>
                <w:color w:val="auto"/>
                <w:spacing w:val="0"/>
                <w:sz w:val="21"/>
                <w:szCs w:val="21"/>
                <w:highlight w:val="none"/>
                <w:lang w:val="en-US" w:eastAsia="zh-CN"/>
              </w:rPr>
              <w:t>进行统计；</w:t>
            </w:r>
          </w:p>
          <w:p w14:paraId="3B3FC0EC">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eastAsia="宋体" w:cs="Times New Roman"/>
                <w:b w:val="0"/>
                <w:color w:val="auto"/>
                <w:spacing w:val="0"/>
                <w:sz w:val="21"/>
                <w:szCs w:val="21"/>
                <w:highlight w:val="none"/>
                <w:lang w:val="en-US" w:eastAsia="zh-CN"/>
              </w:rPr>
              <w:t>平均价格 = 有效报价之和 / 有效报价</w:t>
            </w:r>
            <w:r>
              <w:rPr>
                <w:rFonts w:hint="default" w:ascii="Times New Roman" w:hAnsi="Times New Roman" w:cs="Times New Roman"/>
                <w:b w:val="0"/>
                <w:bCs w:val="0"/>
                <w:color w:val="auto"/>
                <w:kern w:val="0"/>
                <w:sz w:val="21"/>
                <w:szCs w:val="21"/>
                <w:highlight w:val="none"/>
                <w:lang w:val="en-US" w:eastAsia="zh-CN"/>
              </w:rPr>
              <w:t>家</w:t>
            </w:r>
            <w:r>
              <w:rPr>
                <w:rFonts w:hint="eastAsia" w:ascii="Times New Roman" w:hAnsi="Times New Roman" w:eastAsia="宋体" w:cs="Times New Roman"/>
                <w:b w:val="0"/>
                <w:color w:val="auto"/>
                <w:spacing w:val="0"/>
                <w:sz w:val="21"/>
                <w:szCs w:val="21"/>
                <w:highlight w:val="none"/>
                <w:lang w:val="en-US" w:eastAsia="zh-CN"/>
              </w:rPr>
              <w:t>数；</w:t>
            </w:r>
          </w:p>
          <w:p w14:paraId="71A7CF1E">
            <w:pPr>
              <w:keepNext w:val="0"/>
              <w:keepLines w:val="0"/>
              <w:pageBreakBefore w:val="0"/>
              <w:widowControl w:val="0"/>
              <w:numPr>
                <w:ilvl w:val="0"/>
                <w:numId w:val="36"/>
              </w:numPr>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eastAsia="宋体" w:cs="Times New Roman"/>
                <w:b w:val="0"/>
                <w:color w:val="auto"/>
                <w:spacing w:val="0"/>
                <w:sz w:val="21"/>
                <w:szCs w:val="21"/>
                <w:highlight w:val="none"/>
                <w:lang w:val="en-US" w:eastAsia="zh-CN"/>
              </w:rPr>
              <w:t>有效报价和有效报价</w:t>
            </w:r>
            <w:r>
              <w:rPr>
                <w:rFonts w:hint="default" w:ascii="Times New Roman" w:hAnsi="Times New Roman" w:cs="Times New Roman"/>
                <w:color w:val="auto"/>
                <w:kern w:val="0"/>
                <w:sz w:val="21"/>
                <w:szCs w:val="21"/>
                <w:highlight w:val="none"/>
                <w:lang w:val="en-US" w:eastAsia="zh-CN"/>
              </w:rPr>
              <w:t>家</w:t>
            </w:r>
            <w:r>
              <w:rPr>
                <w:rFonts w:hint="eastAsia" w:ascii="Times New Roman" w:hAnsi="Times New Roman" w:eastAsia="宋体" w:cs="Times New Roman"/>
                <w:b w:val="0"/>
                <w:color w:val="auto"/>
                <w:spacing w:val="0"/>
                <w:sz w:val="21"/>
                <w:szCs w:val="21"/>
                <w:highlight w:val="none"/>
                <w:lang w:val="en-US" w:eastAsia="zh-CN"/>
              </w:rPr>
              <w:t>数按如下规则统计：</w:t>
            </w:r>
          </w:p>
          <w:p w14:paraId="66C1DBF0">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cs="Times New Roman"/>
                <w:color w:val="auto"/>
                <w:kern w:val="0"/>
                <w:sz w:val="21"/>
                <w:szCs w:val="21"/>
                <w:highlight w:val="none"/>
                <w:lang w:val="en-US" w:eastAsia="zh-CN"/>
              </w:rPr>
              <w:t xml:space="preserve"> </w:t>
            </w:r>
            <w:r>
              <w:rPr>
                <w:rFonts w:hint="eastAsia" w:ascii="Times New Roman" w:hAnsi="Times New Roman" w:eastAsia="宋体" w:cs="Times New Roman"/>
                <w:color w:val="auto"/>
                <w:kern w:val="0"/>
                <w:sz w:val="21"/>
                <w:szCs w:val="21"/>
                <w:highlight w:val="none"/>
                <w:lang w:val="en-US" w:eastAsia="zh-CN"/>
              </w:rPr>
              <w:t>=【参选人数量】</w:t>
            </w:r>
          </w:p>
          <w:p w14:paraId="73F3722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如果M≤5，不去掉最高价和最低价；</w:t>
            </w:r>
          </w:p>
          <w:p w14:paraId="718CBBF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如果M＝6，则去掉一个最高价；</w:t>
            </w:r>
          </w:p>
          <w:p w14:paraId="46F40D1B">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如果M＝7，则去掉一个最高价和一个最低价；</w:t>
            </w:r>
          </w:p>
          <w:p w14:paraId="71548128">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如果M＝8，则去掉最高价、次高价和一个最低价；</w:t>
            </w:r>
          </w:p>
          <w:p w14:paraId="5D52BE10">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如果M≥9，则去掉最高价、次高价和最低价、次低价。</w:t>
            </w:r>
          </w:p>
        </w:tc>
      </w:tr>
      <w:tr w14:paraId="0746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5786CCDF">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vAlign w:val="center"/>
          </w:tcPr>
          <w:p w14:paraId="3FB9BAC7">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vMerge w:val="continue"/>
            <w:tcBorders>
              <w:left w:val="single" w:color="auto" w:sz="4" w:space="0"/>
            </w:tcBorders>
            <w:vAlign w:val="center"/>
          </w:tcPr>
          <w:p w14:paraId="13607F80">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5476" w:type="dxa"/>
            <w:tcBorders>
              <w:left w:val="single" w:color="auto" w:sz="4" w:space="0"/>
            </w:tcBorders>
            <w:vAlign w:val="center"/>
          </w:tcPr>
          <w:p w14:paraId="6E362208">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ascii="Times New Roman" w:hAnsi="Times New Roman" w:cs="宋体"/>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二、</w:t>
            </w:r>
            <w:r>
              <w:rPr>
                <w:rFonts w:hint="eastAsia" w:ascii="Times New Roman" w:hAnsi="Times New Roman" w:cs="宋体"/>
                <w:color w:val="auto"/>
                <w:kern w:val="0"/>
                <w:sz w:val="21"/>
                <w:szCs w:val="21"/>
                <w:highlight w:val="none"/>
              </w:rPr>
              <w:t>商务部分评分规则</w:t>
            </w:r>
            <w:r>
              <w:rPr>
                <w:rFonts w:ascii="Times New Roman" w:hAnsi="Times New Roman" w:cs="宋体"/>
                <w:color w:val="auto"/>
                <w:kern w:val="0"/>
                <w:sz w:val="21"/>
                <w:szCs w:val="21"/>
                <w:highlight w:val="none"/>
              </w:rPr>
              <w:t>（2</w:t>
            </w:r>
            <w:r>
              <w:rPr>
                <w:rFonts w:hint="eastAsia" w:ascii="Times New Roman" w:hAnsi="Times New Roman" w:cs="宋体"/>
                <w:color w:val="auto"/>
                <w:kern w:val="0"/>
                <w:sz w:val="21"/>
                <w:szCs w:val="21"/>
                <w:highlight w:val="none"/>
                <w:lang w:val="en-US" w:eastAsia="zh-CN"/>
              </w:rPr>
              <w:t>3</w:t>
            </w:r>
            <w:r>
              <w:rPr>
                <w:rFonts w:ascii="Times New Roman" w:hAnsi="Times New Roman" w:cs="宋体"/>
                <w:color w:val="auto"/>
                <w:kern w:val="0"/>
                <w:sz w:val="21"/>
                <w:szCs w:val="21"/>
                <w:highlight w:val="none"/>
              </w:rPr>
              <w:t>分）</w:t>
            </w:r>
          </w:p>
          <w:p w14:paraId="2EF6D00B">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（一）实施案例（21分）</w:t>
            </w:r>
          </w:p>
          <w:p w14:paraId="56F2E1A2">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1.湖仓一体底座原厂商案例（7分）</w:t>
            </w:r>
          </w:p>
          <w:p w14:paraId="11AAA18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参选人提供的湖仓一体底座产品的原厂商自2019年1月1日（以合同签订时间为准）至参选截止日，其底座产品在银行业总行级别的案例个数，最高得7分。</w:t>
            </w:r>
          </w:p>
          <w:p w14:paraId="386D252A">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其中：每一个国有银行总行或全国性股份制银行总行案例得1分，每一个城市商业银行总行或省级农信社（农商行）总行案例得0.5分。</w:t>
            </w:r>
          </w:p>
          <w:p w14:paraId="020AF652">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b/>
                <w:bCs/>
                <w:color w:val="auto"/>
                <w:kern w:val="0"/>
                <w:sz w:val="21"/>
                <w:szCs w:val="21"/>
                <w:highlight w:val="none"/>
                <w:lang w:val="en-US" w:eastAsia="zh-CN"/>
              </w:rPr>
            </w:pPr>
            <w:r>
              <w:rPr>
                <w:rFonts w:hint="eastAsia" w:ascii="Times New Roman" w:hAnsi="Times New Roman" w:cs="Times New Roman"/>
                <w:b/>
                <w:bCs/>
                <w:color w:val="auto"/>
                <w:kern w:val="0"/>
                <w:sz w:val="21"/>
                <w:szCs w:val="21"/>
                <w:highlight w:val="none"/>
                <w:lang w:val="en-US" w:eastAsia="zh-CN"/>
              </w:rPr>
              <w:t>注：</w:t>
            </w:r>
          </w:p>
          <w:p w14:paraId="31CCB6DA">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（1）合同买方需为银行总行，分行或信用卡中心等部门级合同不计分；</w:t>
            </w:r>
          </w:p>
          <w:p w14:paraId="72118409">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（2）合同卖方可不为参选人，但合同涉及的湖仓一体底座产品名称需包括但不限于“TBDS”或“TDH”或“MaxCompute”或“FusionInsight”或“MRS”等；</w:t>
            </w:r>
          </w:p>
          <w:p w14:paraId="79E9CE10">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（3）同一家银行的多个案例在“湖仓一体底座原厂商案例”中不重复计分；</w:t>
            </w:r>
          </w:p>
          <w:p w14:paraId="07946F03">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（4）若</w:t>
            </w:r>
            <w:r>
              <w:rPr>
                <w:rFonts w:hint="eastAsia" w:ascii="Times New Roman" w:hAnsi="Times New Roman" w:eastAsia="宋体" w:cs="Times New Roman"/>
                <w:color w:val="auto"/>
                <w:kern w:val="0"/>
                <w:sz w:val="21"/>
                <w:szCs w:val="21"/>
                <w:highlight w:val="none"/>
                <w:lang w:val="en-US" w:eastAsia="zh-CN"/>
              </w:rPr>
              <w:t>合同名称或合同关键页</w:t>
            </w:r>
            <w:r>
              <w:rPr>
                <w:rFonts w:hint="eastAsia" w:ascii="Times New Roman" w:hAnsi="Times New Roman" w:cs="Times New Roman"/>
                <w:color w:val="auto"/>
                <w:kern w:val="0"/>
                <w:sz w:val="21"/>
                <w:szCs w:val="21"/>
                <w:highlight w:val="none"/>
                <w:lang w:val="en-US" w:eastAsia="zh-CN"/>
              </w:rPr>
              <w:t>包含“扩容”或“升级”或“灾备”关键字，或合同类型为维保类合同，</w:t>
            </w:r>
            <w:r>
              <w:rPr>
                <w:rFonts w:hint="eastAsia" w:ascii="Times New Roman" w:hAnsi="Times New Roman" w:eastAsia="宋体" w:cs="Times New Roman"/>
                <w:color w:val="auto"/>
                <w:kern w:val="0"/>
                <w:sz w:val="21"/>
                <w:szCs w:val="21"/>
                <w:highlight w:val="none"/>
                <w:lang w:val="en-US" w:eastAsia="zh-CN"/>
              </w:rPr>
              <w:t>或合同经评标委员会认定其实质性工作内容与上述相关关键字相符</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视为无效案例，不予计分</w:t>
            </w:r>
            <w:r>
              <w:rPr>
                <w:rFonts w:hint="eastAsia" w:ascii="Times New Roman" w:hAnsi="Times New Roman" w:cs="Times New Roman"/>
                <w:color w:val="auto"/>
                <w:kern w:val="0"/>
                <w:sz w:val="21"/>
                <w:szCs w:val="21"/>
                <w:highlight w:val="none"/>
                <w:lang w:val="en-US" w:eastAsia="zh-CN"/>
              </w:rPr>
              <w:t>。</w:t>
            </w:r>
          </w:p>
          <w:p w14:paraId="2B9B6E3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2.参选人案例（14分）</w:t>
            </w:r>
          </w:p>
          <w:p w14:paraId="0CE17243">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自2019年1月1日起至参选截止日（以合同签订时间为准），参选人具有银行业总行级别的湖仓一体、数据湖或数据中台</w:t>
            </w:r>
            <w:r>
              <w:rPr>
                <w:rFonts w:hint="default" w:ascii="Times New Roman" w:hAnsi="Times New Roman" w:cs="Times New Roman"/>
                <w:color w:val="auto"/>
                <w:kern w:val="0"/>
                <w:sz w:val="21"/>
                <w:szCs w:val="21"/>
                <w:highlight w:val="none"/>
                <w:lang w:val="en-US" w:eastAsia="zh-CN"/>
              </w:rPr>
              <w:t>相关实施案例</w:t>
            </w:r>
            <w:r>
              <w:rPr>
                <w:rFonts w:hint="eastAsia" w:ascii="Times New Roman" w:hAnsi="Times New Roman" w:cs="Times New Roman"/>
                <w:color w:val="auto"/>
                <w:kern w:val="0"/>
                <w:sz w:val="21"/>
                <w:szCs w:val="21"/>
                <w:highlight w:val="none"/>
                <w:lang w:val="en-US" w:eastAsia="zh-CN"/>
              </w:rPr>
              <w:t>个数，最高得14分。</w:t>
            </w:r>
          </w:p>
          <w:p w14:paraId="7B74C388">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其中：在满足参选人资格要求的3个实施案例的前提下，每增加一个国有银行总行或全国性股份制银行总行案例得2分，每增加一个城市商业银行总行或省级农信社（农商行）总行案例得1分。</w:t>
            </w:r>
          </w:p>
          <w:p w14:paraId="1617BB9A">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b/>
                <w:bCs/>
                <w:color w:val="auto"/>
                <w:kern w:val="0"/>
                <w:sz w:val="21"/>
                <w:szCs w:val="21"/>
                <w:highlight w:val="none"/>
                <w:lang w:val="en-US" w:eastAsia="zh-CN"/>
              </w:rPr>
            </w:pPr>
            <w:r>
              <w:rPr>
                <w:rFonts w:hint="eastAsia" w:ascii="Times New Roman" w:hAnsi="Times New Roman" w:cs="Times New Roman"/>
                <w:b/>
                <w:bCs/>
                <w:color w:val="auto"/>
                <w:kern w:val="0"/>
                <w:sz w:val="21"/>
                <w:szCs w:val="21"/>
                <w:highlight w:val="none"/>
                <w:lang w:val="en-US" w:eastAsia="zh-CN"/>
              </w:rPr>
              <w:t>注：</w:t>
            </w:r>
          </w:p>
          <w:p w14:paraId="7A1B7ADD">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（1）合同</w:t>
            </w:r>
            <w:r>
              <w:rPr>
                <w:rFonts w:hint="eastAsia" w:ascii="Times New Roman" w:hAnsi="Times New Roman" w:cs="Times New Roman"/>
                <w:color w:val="auto"/>
                <w:kern w:val="0"/>
                <w:sz w:val="21"/>
                <w:szCs w:val="21"/>
                <w:highlight w:val="none"/>
                <w:lang w:val="en-US" w:eastAsia="zh-CN"/>
              </w:rPr>
              <w:t>买</w:t>
            </w:r>
            <w:r>
              <w:rPr>
                <w:rFonts w:hint="eastAsia" w:ascii="Times New Roman" w:hAnsi="Times New Roman" w:eastAsia="宋体" w:cs="Times New Roman"/>
                <w:color w:val="auto"/>
                <w:kern w:val="0"/>
                <w:sz w:val="21"/>
                <w:szCs w:val="21"/>
                <w:highlight w:val="none"/>
                <w:lang w:val="en-US" w:eastAsia="zh-CN"/>
              </w:rPr>
              <w:t>方需为银行总行，分行或信用卡中心等部门级合同不计分；</w:t>
            </w:r>
          </w:p>
          <w:p w14:paraId="5899BEB5">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lang w:val="en-US" w:eastAsia="zh-CN"/>
              </w:rPr>
              <w:t>合同卖方需为参选人；</w:t>
            </w:r>
          </w:p>
          <w:p w14:paraId="26A925E8">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参选人资格要求中已提供</w:t>
            </w:r>
            <w:r>
              <w:rPr>
                <w:rFonts w:hint="eastAsia" w:ascii="Times New Roman" w:hAnsi="Times New Roman" w:cs="Times New Roman"/>
                <w:color w:val="auto"/>
                <w:kern w:val="0"/>
                <w:sz w:val="21"/>
                <w:szCs w:val="21"/>
                <w:highlight w:val="none"/>
                <w:lang w:val="en-US" w:eastAsia="zh-CN"/>
              </w:rPr>
              <w:t>的3个实施案例</w:t>
            </w:r>
            <w:r>
              <w:rPr>
                <w:rFonts w:hint="eastAsia" w:ascii="Times New Roman" w:hAnsi="Times New Roman" w:eastAsia="宋体" w:cs="Times New Roman"/>
                <w:color w:val="auto"/>
                <w:kern w:val="0"/>
                <w:sz w:val="21"/>
                <w:szCs w:val="21"/>
                <w:highlight w:val="none"/>
                <w:lang w:val="en-US" w:eastAsia="zh-CN"/>
              </w:rPr>
              <w:t>不</w:t>
            </w:r>
            <w:r>
              <w:rPr>
                <w:rFonts w:hint="eastAsia" w:ascii="Times New Roman" w:hAnsi="Times New Roman" w:cs="Times New Roman"/>
                <w:color w:val="auto"/>
                <w:kern w:val="0"/>
                <w:sz w:val="21"/>
                <w:szCs w:val="21"/>
                <w:highlight w:val="none"/>
                <w:lang w:val="en-US" w:eastAsia="zh-CN"/>
              </w:rPr>
              <w:t>再</w:t>
            </w:r>
            <w:r>
              <w:rPr>
                <w:rFonts w:hint="eastAsia" w:ascii="Times New Roman" w:hAnsi="Times New Roman" w:eastAsia="宋体" w:cs="Times New Roman"/>
                <w:color w:val="auto"/>
                <w:kern w:val="0"/>
                <w:sz w:val="21"/>
                <w:szCs w:val="21"/>
                <w:highlight w:val="none"/>
                <w:lang w:val="en-US" w:eastAsia="zh-CN"/>
              </w:rPr>
              <w:t>计分；</w:t>
            </w:r>
          </w:p>
          <w:p w14:paraId="0119B8DA">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（4）同一家银行的多个案例在“参选人案例”中不重复计分；</w:t>
            </w:r>
          </w:p>
          <w:p w14:paraId="67444F4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lang w:val="en-US" w:eastAsia="zh-CN"/>
              </w:rPr>
              <w:t>）合同名称或合同关键页应包含</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数据湖”</w:t>
            </w:r>
            <w:r>
              <w:rPr>
                <w:rFonts w:hint="eastAsia" w:ascii="Times New Roman" w:hAnsi="Times New Roman" w:cs="Times New Roman"/>
                <w:color w:val="auto"/>
                <w:kern w:val="0"/>
                <w:sz w:val="21"/>
                <w:szCs w:val="21"/>
                <w:highlight w:val="none"/>
                <w:lang w:val="en-US" w:eastAsia="zh-CN"/>
              </w:rPr>
              <w:t>或“</w:t>
            </w:r>
            <w:r>
              <w:rPr>
                <w:rFonts w:hint="eastAsia" w:ascii="Times New Roman" w:hAnsi="Times New Roman" w:eastAsia="宋体" w:cs="Times New Roman"/>
                <w:color w:val="auto"/>
                <w:kern w:val="0"/>
                <w:sz w:val="21"/>
                <w:szCs w:val="21"/>
                <w:highlight w:val="none"/>
                <w:lang w:val="en-US" w:eastAsia="zh-CN"/>
              </w:rPr>
              <w:t>大数据平台”</w:t>
            </w:r>
            <w:r>
              <w:rPr>
                <w:rFonts w:hint="eastAsia" w:ascii="Times New Roman" w:hAnsi="Times New Roman" w:cs="Times New Roman"/>
                <w:color w:val="auto"/>
                <w:kern w:val="0"/>
                <w:sz w:val="21"/>
                <w:szCs w:val="21"/>
                <w:highlight w:val="none"/>
                <w:lang w:val="en-US" w:eastAsia="zh-CN"/>
              </w:rPr>
              <w:t>或“</w:t>
            </w:r>
            <w:r>
              <w:rPr>
                <w:rFonts w:hint="eastAsia" w:ascii="Times New Roman" w:hAnsi="Times New Roman" w:eastAsia="宋体" w:cs="Times New Roman"/>
                <w:color w:val="auto"/>
                <w:kern w:val="0"/>
                <w:sz w:val="21"/>
                <w:szCs w:val="21"/>
                <w:highlight w:val="none"/>
                <w:lang w:val="en-US" w:eastAsia="zh-CN"/>
              </w:rPr>
              <w:t>湖仓一体”</w:t>
            </w:r>
            <w:r>
              <w:rPr>
                <w:rFonts w:hint="eastAsia" w:ascii="Times New Roman" w:hAnsi="Times New Roman" w:cs="Times New Roman"/>
                <w:color w:val="auto"/>
                <w:kern w:val="0"/>
                <w:sz w:val="21"/>
                <w:szCs w:val="21"/>
                <w:highlight w:val="none"/>
                <w:lang w:val="en-US" w:eastAsia="zh-CN"/>
              </w:rPr>
              <w:t>或“</w:t>
            </w:r>
            <w:r>
              <w:rPr>
                <w:rFonts w:hint="eastAsia" w:ascii="Times New Roman" w:hAnsi="Times New Roman" w:eastAsia="宋体" w:cs="Times New Roman"/>
                <w:color w:val="auto"/>
                <w:kern w:val="0"/>
                <w:sz w:val="21"/>
                <w:szCs w:val="21"/>
                <w:highlight w:val="none"/>
                <w:lang w:val="en-US" w:eastAsia="zh-CN"/>
              </w:rPr>
              <w:t>数据中台”关键字，或合同经评标委员会认定其实质性工作内容与上述相关关键字相符</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若合同内容虽含有上述关键字，但经评标委员会认定其实质性工作内容与本项目不符的，视为无效案例，不予计分。</w:t>
            </w:r>
          </w:p>
          <w:p w14:paraId="205416F1">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（二）服务保障承诺（2分）</w:t>
            </w:r>
          </w:p>
          <w:p w14:paraId="178AED6D">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参选人在比选文件要求的3年产品免费维保期的基础上增加免费维保期，最高可得2分。</w:t>
            </w:r>
          </w:p>
          <w:p w14:paraId="4AAFE201">
            <w:pPr>
              <w:keepNext w:val="0"/>
              <w:keepLines w:val="0"/>
              <w:pageBreakBefore w:val="0"/>
              <w:widowControl w:val="0"/>
              <w:numPr>
                <w:ilvl w:val="0"/>
                <w:numId w:val="0"/>
              </w:numPr>
              <w:kinsoku/>
              <w:wordWrap/>
              <w:overflowPunct/>
              <w:topLinePunct w:val="0"/>
              <w:autoSpaceDE w:val="0"/>
              <w:autoSpaceDN w:val="0"/>
              <w:bidi w:val="0"/>
              <w:spacing w:line="400" w:lineRule="exact"/>
              <w:ind w:leftChars="0"/>
              <w:jc w:val="left"/>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其中：湖仓一体底座每增加1年免费维保期得0.5分，最高得1分；数据作业平台每增加1年免费维保期得0.5分，最高得1分。</w:t>
            </w:r>
          </w:p>
        </w:tc>
      </w:tr>
      <w:tr w14:paraId="4A21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0" w:type="dxa"/>
            <w:vMerge w:val="continue"/>
            <w:vAlign w:val="center"/>
          </w:tcPr>
          <w:p w14:paraId="5A5102B3">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482" w:type="dxa"/>
            <w:vMerge w:val="continue"/>
            <w:tcBorders>
              <w:left w:val="single" w:color="auto" w:sz="4" w:space="0"/>
            </w:tcBorders>
            <w:vAlign w:val="center"/>
          </w:tcPr>
          <w:p w14:paraId="2D1F6E53">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1686" w:type="dxa"/>
            <w:gridSpan w:val="2"/>
            <w:vMerge w:val="continue"/>
            <w:tcBorders>
              <w:left w:val="single" w:color="auto" w:sz="4" w:space="0"/>
            </w:tcBorders>
            <w:vAlign w:val="center"/>
          </w:tcPr>
          <w:p w14:paraId="5881CB82">
            <w:pPr>
              <w:keepNext w:val="0"/>
              <w:keepLines w:val="0"/>
              <w:pageBreakBefore w:val="0"/>
              <w:widowControl w:val="0"/>
              <w:kinsoku/>
              <w:wordWrap/>
              <w:overflowPunct/>
              <w:topLinePunct w:val="0"/>
              <w:autoSpaceDE w:val="0"/>
              <w:autoSpaceDN w:val="0"/>
              <w:bidi w:val="0"/>
              <w:spacing w:line="400" w:lineRule="exact"/>
              <w:textAlignment w:val="auto"/>
              <w:rPr>
                <w:rFonts w:hint="default" w:ascii="Times New Roman" w:hAnsi="Times New Roman" w:cs="Times New Roman"/>
                <w:color w:val="auto"/>
                <w:highlight w:val="none"/>
              </w:rPr>
            </w:pPr>
          </w:p>
        </w:tc>
        <w:tc>
          <w:tcPr>
            <w:tcW w:w="5476" w:type="dxa"/>
            <w:tcBorders>
              <w:left w:val="single" w:color="auto" w:sz="4" w:space="0"/>
            </w:tcBorders>
            <w:vAlign w:val="center"/>
          </w:tcPr>
          <w:p w14:paraId="770CA616">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宋体"/>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三、技术部分</w:t>
            </w:r>
            <w:r>
              <w:rPr>
                <w:rFonts w:hint="eastAsia" w:ascii="Times New Roman" w:hAnsi="Times New Roman" w:cs="宋体"/>
                <w:color w:val="auto"/>
                <w:kern w:val="0"/>
                <w:sz w:val="21"/>
                <w:szCs w:val="21"/>
                <w:highlight w:val="none"/>
              </w:rPr>
              <w:t>评分规则</w:t>
            </w:r>
            <w:r>
              <w:rPr>
                <w:rFonts w:hint="eastAsia" w:ascii="Times New Roman" w:hAnsi="Times New Roman" w:cs="宋体"/>
                <w:color w:val="auto"/>
                <w:kern w:val="0"/>
                <w:sz w:val="21"/>
                <w:szCs w:val="21"/>
                <w:highlight w:val="none"/>
                <w:lang w:eastAsia="zh-CN"/>
              </w:rPr>
              <w:t>（</w:t>
            </w:r>
            <w:r>
              <w:rPr>
                <w:rFonts w:hint="eastAsia" w:ascii="Times New Roman" w:hAnsi="Times New Roman" w:cs="宋体"/>
                <w:color w:val="auto"/>
                <w:kern w:val="0"/>
                <w:sz w:val="21"/>
                <w:szCs w:val="21"/>
                <w:highlight w:val="none"/>
                <w:lang w:val="en-US" w:eastAsia="zh-CN"/>
              </w:rPr>
              <w:t>42分</w:t>
            </w:r>
            <w:r>
              <w:rPr>
                <w:rFonts w:hint="eastAsia" w:ascii="Times New Roman" w:hAnsi="Times New Roman" w:cs="宋体"/>
                <w:color w:val="auto"/>
                <w:kern w:val="0"/>
                <w:sz w:val="21"/>
                <w:szCs w:val="21"/>
                <w:highlight w:val="none"/>
                <w:lang w:eastAsia="zh-CN"/>
              </w:rPr>
              <w:t>）</w:t>
            </w:r>
          </w:p>
          <w:p w14:paraId="5E21E88E">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（一）项目方案（12分）</w:t>
            </w:r>
          </w:p>
          <w:p w14:paraId="1FBC44D2">
            <w:pPr>
              <w:keepNext w:val="0"/>
              <w:keepLines w:val="0"/>
              <w:pageBreakBefore w:val="0"/>
              <w:widowControl w:val="0"/>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根据参选人提供的项目实施方案、售后服务方案、培训方案、项目组成员简历信息，从项目实施方案质量、售后服务的覆盖度、培训方案的合理性、</w:t>
            </w:r>
            <w:r>
              <w:rPr>
                <w:rFonts w:hint="eastAsia" w:ascii="Times New Roman" w:hAnsi="Times New Roman" w:cs="Times New Roman"/>
                <w:color w:val="auto"/>
                <w:kern w:val="0"/>
                <w:sz w:val="21"/>
                <w:szCs w:val="21"/>
                <w:highlight w:val="none"/>
                <w:lang w:val="en-US" w:eastAsia="zh-CN"/>
              </w:rPr>
              <w:t>项目组人员情况</w:t>
            </w:r>
            <w:r>
              <w:rPr>
                <w:rFonts w:hint="eastAsia" w:ascii="Times New Roman" w:hAnsi="Times New Roman" w:cs="宋体"/>
                <w:color w:val="auto"/>
                <w:kern w:val="0"/>
                <w:sz w:val="21"/>
                <w:szCs w:val="21"/>
                <w:highlight w:val="none"/>
                <w:lang w:val="en-US" w:eastAsia="zh-CN"/>
              </w:rPr>
              <w:t>角度，由评标委员会综合评审并进行横向对比后打分，具体评分规则如下：</w:t>
            </w:r>
          </w:p>
          <w:p w14:paraId="6AF7A4C7">
            <w:pPr>
              <w:keepNext w:val="0"/>
              <w:keepLines w:val="0"/>
              <w:pageBreakBefore w:val="0"/>
              <w:widowControl w:val="0"/>
              <w:numPr>
                <w:ilvl w:val="0"/>
                <w:numId w:val="37"/>
              </w:numPr>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优（9-12分）：项目实施方案内容完整、针对性强，售后服务覆盖面广，培训方案优于比选人的要求，提供的项目组人员数量、专业素质、实施经验优于比选人的要求；</w:t>
            </w:r>
          </w:p>
          <w:p w14:paraId="7545EAC4">
            <w:pPr>
              <w:keepNext w:val="0"/>
              <w:keepLines w:val="0"/>
              <w:pageBreakBefore w:val="0"/>
              <w:widowControl w:val="0"/>
              <w:numPr>
                <w:ilvl w:val="0"/>
                <w:numId w:val="37"/>
              </w:numPr>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良（5-8分）：项目实施方案内容基本完整、针对性一般，售后服务覆盖面一般，培训方案满足比选人的要求，提供的项目组人员数量、专业素质、实施经验满足比选人的要求；</w:t>
            </w:r>
          </w:p>
          <w:p w14:paraId="0503D5FC">
            <w:pPr>
              <w:keepNext w:val="0"/>
              <w:keepLines w:val="0"/>
              <w:pageBreakBefore w:val="0"/>
              <w:widowControl w:val="0"/>
              <w:numPr>
                <w:ilvl w:val="0"/>
                <w:numId w:val="37"/>
              </w:numPr>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一般（0-4分）：项目实施方案内容不完整、针对性弱，售后服务覆盖面小，培训方案部分满足比选人的要求，提供的项目组人员数量、专业素质、实施经验部分满足比选人的要求；</w:t>
            </w:r>
          </w:p>
          <w:p w14:paraId="6D64A1CC">
            <w:pPr>
              <w:keepNext w:val="0"/>
              <w:keepLines w:val="0"/>
              <w:pageBreakBefore w:val="0"/>
              <w:widowControl w:val="0"/>
              <w:numPr>
                <w:ilvl w:val="0"/>
                <w:numId w:val="37"/>
              </w:numPr>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未提交或缺少相关文件得0分。</w:t>
            </w:r>
          </w:p>
          <w:p w14:paraId="00530770">
            <w:pPr>
              <w:keepNext w:val="0"/>
              <w:keepLines w:val="0"/>
              <w:pageBreakBefore w:val="0"/>
              <w:widowControl w:val="0"/>
              <w:numPr>
                <w:ilvl w:val="0"/>
                <w:numId w:val="38"/>
              </w:numPr>
              <w:kinsoku/>
              <w:wordWrap/>
              <w:overflowPunct/>
              <w:topLinePunct w:val="0"/>
              <w:autoSpaceDE w:val="0"/>
              <w:autoSpaceDN w:val="0"/>
              <w:bidi w:val="0"/>
              <w:spacing w:line="400" w:lineRule="exact"/>
              <w:ind w:firstLine="0" w:firstLineChars="0"/>
              <w:jc w:val="left"/>
              <w:textAlignment w:val="auto"/>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POC测试（30分）</w:t>
            </w:r>
          </w:p>
          <w:p w14:paraId="2175B16E">
            <w:pPr>
              <w:keepNext w:val="0"/>
              <w:keepLines w:val="0"/>
              <w:pageBreakBefore w:val="0"/>
              <w:widowControl w:val="0"/>
              <w:numPr>
                <w:ilvl w:val="0"/>
                <w:numId w:val="0"/>
              </w:numPr>
              <w:kinsoku/>
              <w:wordWrap/>
              <w:overflowPunct/>
              <w:topLinePunct w:val="0"/>
              <w:autoSpaceDE w:val="0"/>
              <w:autoSpaceDN w:val="0"/>
              <w:bidi w:val="0"/>
              <w:spacing w:line="400" w:lineRule="exact"/>
              <w:jc w:val="left"/>
              <w:textAlignment w:val="auto"/>
              <w:rPr>
                <w:rFonts w:hint="default" w:ascii="Times New Roman" w:hAnsi="Times New Roman" w:cs="宋体"/>
                <w:color w:val="auto"/>
                <w:kern w:val="0"/>
                <w:sz w:val="21"/>
                <w:szCs w:val="21"/>
                <w:highlight w:val="none"/>
                <w:lang w:val="en-US" w:eastAsia="zh-CN"/>
              </w:rPr>
            </w:pPr>
            <w:r>
              <w:rPr>
                <w:rFonts w:hint="default" w:ascii="Times New Roman" w:hAnsi="Times New Roman" w:cs="宋体"/>
                <w:color w:val="auto"/>
                <w:kern w:val="0"/>
                <w:sz w:val="21"/>
                <w:szCs w:val="21"/>
                <w:highlight w:val="none"/>
                <w:lang w:val="en-US" w:eastAsia="zh-CN"/>
              </w:rPr>
              <w:t>根据</w:t>
            </w:r>
            <w:r>
              <w:rPr>
                <w:rFonts w:hint="eastAsia" w:ascii="Times New Roman" w:hAnsi="Times New Roman" w:cs="宋体"/>
                <w:color w:val="auto"/>
                <w:kern w:val="0"/>
                <w:sz w:val="21"/>
                <w:szCs w:val="21"/>
                <w:highlight w:val="none"/>
                <w:lang w:val="en-US" w:eastAsia="zh-CN"/>
              </w:rPr>
              <w:t>参选人</w:t>
            </w:r>
            <w:r>
              <w:rPr>
                <w:rFonts w:hint="default" w:ascii="Times New Roman" w:hAnsi="Times New Roman" w:cs="宋体"/>
                <w:color w:val="auto"/>
                <w:kern w:val="0"/>
                <w:sz w:val="21"/>
                <w:szCs w:val="21"/>
                <w:highlight w:val="none"/>
                <w:lang w:val="en-US" w:eastAsia="zh-CN"/>
              </w:rPr>
              <w:t>POC测试</w:t>
            </w:r>
            <w:r>
              <w:rPr>
                <w:rFonts w:hint="eastAsia" w:ascii="Times New Roman" w:hAnsi="Times New Roman" w:cs="宋体"/>
                <w:color w:val="auto"/>
                <w:kern w:val="0"/>
                <w:sz w:val="21"/>
                <w:szCs w:val="21"/>
                <w:highlight w:val="none"/>
                <w:lang w:val="en-US" w:eastAsia="zh-CN"/>
              </w:rPr>
              <w:t>得分</w:t>
            </w:r>
            <w:r>
              <w:rPr>
                <w:rFonts w:hint="default" w:ascii="Times New Roman" w:hAnsi="Times New Roman" w:cs="宋体"/>
                <w:color w:val="auto"/>
                <w:kern w:val="0"/>
                <w:sz w:val="21"/>
                <w:szCs w:val="21"/>
                <w:highlight w:val="none"/>
                <w:lang w:val="en-US" w:eastAsia="zh-CN"/>
              </w:rPr>
              <w:t>*0.3（保留两位小数，4舍5入）即为本项得分</w:t>
            </w:r>
            <w:r>
              <w:rPr>
                <w:rFonts w:hint="eastAsia" w:ascii="Times New Roman" w:hAnsi="Times New Roman" w:cs="宋体"/>
                <w:color w:val="auto"/>
                <w:kern w:val="0"/>
                <w:sz w:val="21"/>
                <w:szCs w:val="21"/>
                <w:highlight w:val="none"/>
                <w:lang w:val="en-US" w:eastAsia="zh-CN"/>
              </w:rPr>
              <w:t>，未参加POC测试得0分</w:t>
            </w:r>
            <w:r>
              <w:rPr>
                <w:rFonts w:hint="default" w:ascii="Times New Roman" w:hAnsi="Times New Roman" w:cs="宋体"/>
                <w:color w:val="auto"/>
                <w:kern w:val="0"/>
                <w:sz w:val="21"/>
                <w:szCs w:val="21"/>
                <w:highlight w:val="none"/>
                <w:lang w:val="en-US" w:eastAsia="zh-CN"/>
              </w:rPr>
              <w:t>。</w:t>
            </w:r>
          </w:p>
        </w:tc>
      </w:tr>
      <w:tr w14:paraId="3D2D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275E87F">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3</w:t>
            </w:r>
          </w:p>
        </w:tc>
        <w:tc>
          <w:tcPr>
            <w:tcW w:w="1482" w:type="dxa"/>
            <w:tcBorders>
              <w:left w:val="single" w:color="auto" w:sz="4" w:space="0"/>
            </w:tcBorders>
            <w:vAlign w:val="center"/>
          </w:tcPr>
          <w:p w14:paraId="63A7635F">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评审程序</w:t>
            </w:r>
          </w:p>
        </w:tc>
        <w:tc>
          <w:tcPr>
            <w:tcW w:w="7162" w:type="dxa"/>
            <w:gridSpan w:val="3"/>
            <w:tcBorders>
              <w:left w:val="single" w:color="auto" w:sz="4" w:space="0"/>
            </w:tcBorders>
          </w:tcPr>
          <w:p w14:paraId="4BA6F5C7">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1.评审委员会在初步评审前，按本章第3.1.3项的规定对参选报价有算术性错误的进行算术性错误修正。</w:t>
            </w:r>
          </w:p>
          <w:p w14:paraId="334C80F5">
            <w:pPr>
              <w:spacing w:line="400" w:lineRule="exact"/>
              <w:ind w:left="0" w:lef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2.评审委员会对参选文件进行初步评审。</w:t>
            </w:r>
          </w:p>
          <w:p w14:paraId="6BC36D35">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3.评审委员会对初步评审合格的参选文件进行详细评审，主观评审部分由各专家独立评审打分，最后取平均得分，保留2位小数。</w:t>
            </w:r>
          </w:p>
          <w:p w14:paraId="000CC1CA">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4.评审委员会汇总详细评审得分，根据详细评审得分由高至低进行排序，推荐1-3家合格的中选候选人。并依次为第一、二、三中选候选人。</w:t>
            </w:r>
          </w:p>
        </w:tc>
      </w:tr>
      <w:tr w14:paraId="3426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167EEEE">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w:t>
            </w:r>
          </w:p>
        </w:tc>
        <w:tc>
          <w:tcPr>
            <w:tcW w:w="1511" w:type="dxa"/>
            <w:tcBorders>
              <w:left w:val="single" w:color="auto" w:sz="4" w:space="0"/>
            </w:tcBorders>
            <w:vAlign w:val="center"/>
          </w:tcPr>
          <w:p w14:paraId="1278E68E">
            <w:pPr>
              <w:keepNext w:val="0"/>
              <w:keepLines w:val="0"/>
              <w:pageBreakBefore w:val="0"/>
              <w:widowControl w:val="0"/>
              <w:kinsoku/>
              <w:wordWrap/>
              <w:overflowPunct/>
              <w:topLinePunct w:val="0"/>
              <w:autoSpaceDE w:val="0"/>
              <w:autoSpaceDN w:val="0"/>
              <w:bidi w:val="0"/>
              <w:spacing w:line="40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参选人得分</w:t>
            </w:r>
          </w:p>
        </w:tc>
        <w:tc>
          <w:tcPr>
            <w:tcW w:w="5651" w:type="dxa"/>
            <w:gridSpan w:val="2"/>
            <w:tcBorders>
              <w:left w:val="single" w:color="auto" w:sz="4" w:space="0"/>
            </w:tcBorders>
            <w:vAlign w:val="center"/>
          </w:tcPr>
          <w:p w14:paraId="451363EC">
            <w:pPr>
              <w:keepNext w:val="0"/>
              <w:keepLines w:val="0"/>
              <w:pageBreakBefore w:val="0"/>
              <w:widowControl w:val="0"/>
              <w:kinsoku/>
              <w:wordWrap/>
              <w:overflowPunct/>
              <w:topLinePunct w:val="0"/>
              <w:autoSpaceDE w:val="0"/>
              <w:autoSpaceDN w:val="0"/>
              <w:bidi w:val="0"/>
              <w:spacing w:line="40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参选人得分=参选报价得分+商务部分得分+技术</w:t>
            </w:r>
            <w:r>
              <w:rPr>
                <w:rFonts w:hint="eastAsia" w:ascii="Times New Roman" w:hAnsi="Times New Roman" w:cs="Times New Roman"/>
                <w:color w:val="auto"/>
                <w:sz w:val="21"/>
                <w:szCs w:val="21"/>
                <w:highlight w:val="none"/>
                <w:lang w:val="en-US" w:eastAsia="zh-CN"/>
              </w:rPr>
              <w:t>部分</w:t>
            </w:r>
            <w:r>
              <w:rPr>
                <w:rFonts w:hint="default" w:ascii="Times New Roman" w:hAnsi="Times New Roman" w:cs="Times New Roman"/>
                <w:color w:val="auto"/>
                <w:sz w:val="21"/>
                <w:szCs w:val="21"/>
                <w:highlight w:val="none"/>
              </w:rPr>
              <w:t>得分</w:t>
            </w:r>
          </w:p>
        </w:tc>
      </w:tr>
      <w:bookmarkEnd w:id="82"/>
    </w:tbl>
    <w:p w14:paraId="52788632">
      <w:pPr>
        <w:rPr>
          <w:rFonts w:hint="default" w:ascii="Times New Roman" w:hAnsi="Times New Roman" w:cs="Times New Roman"/>
          <w:snapToGrid w:val="0"/>
          <w:color w:val="auto"/>
          <w:sz w:val="21"/>
          <w:szCs w:val="21"/>
          <w:highlight w:val="none"/>
        </w:rPr>
      </w:pPr>
      <w:bookmarkStart w:id="83" w:name="_Toc636"/>
      <w:bookmarkStart w:id="84" w:name="_Toc21111"/>
      <w:r>
        <w:rPr>
          <w:rFonts w:hint="default" w:ascii="Times New Roman" w:hAnsi="Times New Roman" w:cs="Times New Roman"/>
          <w:snapToGrid w:val="0"/>
          <w:color w:val="auto"/>
          <w:sz w:val="21"/>
          <w:szCs w:val="21"/>
          <w:highlight w:val="none"/>
        </w:rPr>
        <w:br w:type="page"/>
      </w:r>
    </w:p>
    <w:p w14:paraId="377CFE42">
      <w:pPr>
        <w:pStyle w:val="3"/>
        <w:rPr>
          <w:rFonts w:hint="default" w:ascii="Times New Roman" w:hAnsi="Times New Roman" w:cs="Times New Roman"/>
          <w:color w:val="auto"/>
          <w:highlight w:val="none"/>
        </w:rPr>
      </w:pPr>
      <w:bookmarkStart w:id="85" w:name="_Toc27234"/>
      <w:bookmarkStart w:id="86" w:name="_Toc18283"/>
      <w:bookmarkStart w:id="87" w:name="_Toc28684"/>
      <w:r>
        <w:rPr>
          <w:rFonts w:hint="default" w:ascii="Times New Roman" w:hAnsi="Times New Roman" w:cs="Times New Roman"/>
          <w:color w:val="auto"/>
          <w:highlight w:val="none"/>
        </w:rPr>
        <w:t>1. 评审方法</w:t>
      </w:r>
      <w:bookmarkEnd w:id="83"/>
      <w:bookmarkEnd w:id="84"/>
      <w:bookmarkEnd w:id="85"/>
      <w:bookmarkEnd w:id="86"/>
      <w:bookmarkEnd w:id="87"/>
    </w:p>
    <w:p w14:paraId="109B0FC2">
      <w:pPr>
        <w:rPr>
          <w:rFonts w:hint="default" w:ascii="Times New Roman" w:hAnsi="Times New Roman" w:cs="Times New Roman"/>
          <w:color w:val="auto"/>
          <w:highlight w:val="none"/>
        </w:rPr>
      </w:pPr>
      <w:bookmarkStart w:id="88" w:name="_Toc440022827"/>
      <w:bookmarkStart w:id="89" w:name="_Toc277082619"/>
      <w:bookmarkStart w:id="90" w:name="_Toc377067339"/>
      <w:bookmarkStart w:id="91" w:name="_Toc200513199"/>
      <w:bookmarkStart w:id="92" w:name="_Toc377115419"/>
      <w:bookmarkStart w:id="93" w:name="_Toc330569206"/>
      <w:bookmarkStart w:id="94" w:name="_Toc287620752"/>
      <w:bookmarkStart w:id="95" w:name="_Toc287607813"/>
      <w:bookmarkStart w:id="96" w:name="_Toc224103385"/>
      <w:bookmarkStart w:id="97" w:name="_Toc376114120"/>
      <w:bookmarkStart w:id="98" w:name="_Toc407195379"/>
      <w:r>
        <w:rPr>
          <w:rFonts w:hint="default" w:ascii="Times New Roman" w:hAnsi="Times New Roman" w:cs="Times New Roman"/>
          <w:color w:val="auto"/>
          <w:highlight w:val="none"/>
        </w:rPr>
        <w:t>本次评审采用综合评估法。评审委员会按照本章第2.2</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条规定的评分标准进行打分，按得分由高到低顺序推荐中选候选人，但参选报价低于其成本的除外。综合评分相等时，以参选报价低的优先；参选报价也相等的，由评审委员会随机抽取确定。</w:t>
      </w:r>
    </w:p>
    <w:p w14:paraId="65C10A68">
      <w:pPr>
        <w:pStyle w:val="3"/>
        <w:rPr>
          <w:rFonts w:hint="default" w:ascii="Times New Roman" w:hAnsi="Times New Roman" w:cs="Times New Roman"/>
          <w:color w:val="auto"/>
          <w:highlight w:val="none"/>
        </w:rPr>
      </w:pPr>
      <w:bookmarkStart w:id="99" w:name="_Toc765"/>
      <w:bookmarkStart w:id="100" w:name="_Toc2274"/>
      <w:bookmarkStart w:id="101" w:name="_Toc23969"/>
      <w:bookmarkStart w:id="102" w:name="_Toc5950"/>
      <w:bookmarkStart w:id="103" w:name="_Toc27931"/>
      <w:bookmarkStart w:id="104" w:name="_Toc444155968"/>
      <w:bookmarkStart w:id="105" w:name="_Toc31615"/>
      <w:bookmarkStart w:id="106" w:name="_Toc16716"/>
      <w:bookmarkStart w:id="107" w:name="_Toc27406"/>
      <w:r>
        <w:rPr>
          <w:rFonts w:hint="default" w:ascii="Times New Roman" w:hAnsi="Times New Roman" w:cs="Times New Roman"/>
          <w:color w:val="auto"/>
          <w:highlight w:val="none"/>
        </w:rPr>
        <w:t>2. 评审标准</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0D72FD4">
      <w:pPr>
        <w:pStyle w:val="4"/>
        <w:rPr>
          <w:rFonts w:hint="default" w:ascii="Times New Roman" w:hAnsi="Times New Roman" w:cs="Times New Roman"/>
          <w:color w:val="auto"/>
          <w:highlight w:val="none"/>
        </w:rPr>
      </w:pPr>
      <w:bookmarkStart w:id="108" w:name="_Toc287607814"/>
      <w:bookmarkStart w:id="109" w:name="_Toc200513200"/>
      <w:bookmarkStart w:id="110" w:name="_Toc23425"/>
      <w:bookmarkStart w:id="111" w:name="_Toc444155969"/>
      <w:bookmarkStart w:id="112" w:name="_Toc1358"/>
      <w:bookmarkStart w:id="113" w:name="_Toc10533"/>
      <w:bookmarkStart w:id="114" w:name="_Toc21593"/>
      <w:bookmarkStart w:id="115" w:name="_Toc11839"/>
      <w:bookmarkStart w:id="116" w:name="_Toc277082620"/>
      <w:bookmarkStart w:id="117" w:name="_Toc287620753"/>
      <w:bookmarkStart w:id="118" w:name="_Toc407195380"/>
      <w:bookmarkStart w:id="119" w:name="_Toc377115420"/>
      <w:bookmarkStart w:id="120" w:name="_Toc16537"/>
      <w:bookmarkStart w:id="121" w:name="_Toc330569207"/>
      <w:bookmarkStart w:id="122" w:name="_Toc440022828"/>
      <w:bookmarkStart w:id="123" w:name="_Toc376114121"/>
      <w:bookmarkStart w:id="124" w:name="_Toc377067340"/>
      <w:bookmarkStart w:id="125" w:name="_Toc7584"/>
      <w:bookmarkStart w:id="126" w:name="_Toc224103386"/>
      <w:r>
        <w:rPr>
          <w:rFonts w:hint="default" w:ascii="Times New Roman" w:hAnsi="Times New Roman" w:cs="Times New Roman"/>
          <w:color w:val="auto"/>
          <w:highlight w:val="none"/>
        </w:rPr>
        <w:t>2.1 初步评审标准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3F77CA4">
      <w:pPr>
        <w:rPr>
          <w:rFonts w:hint="default" w:ascii="Times New Roman" w:hAnsi="Times New Roman" w:cs="Times New Roman"/>
          <w:color w:val="auto"/>
          <w:highlight w:val="none"/>
        </w:rPr>
      </w:pPr>
      <w:r>
        <w:rPr>
          <w:rFonts w:hint="default" w:ascii="Times New Roman" w:hAnsi="Times New Roman" w:cs="Times New Roman"/>
          <w:color w:val="auto"/>
          <w:highlight w:val="none"/>
        </w:rPr>
        <w:t>2.1.1 资格评审标准：见评审办法前附表。</w:t>
      </w:r>
    </w:p>
    <w:p w14:paraId="08F6FB42">
      <w:pPr>
        <w:rPr>
          <w:rFonts w:hint="default" w:ascii="Times New Roman" w:hAnsi="Times New Roman" w:cs="Times New Roman"/>
          <w:color w:val="auto"/>
          <w:highlight w:val="none"/>
        </w:rPr>
      </w:pPr>
      <w:r>
        <w:rPr>
          <w:rFonts w:hint="default" w:ascii="Times New Roman" w:hAnsi="Times New Roman" w:cs="Times New Roman"/>
          <w:color w:val="auto"/>
          <w:highlight w:val="none"/>
        </w:rPr>
        <w:t>2.1.2 形式评审标准：见评审办法前附表。</w:t>
      </w:r>
    </w:p>
    <w:p w14:paraId="75EAB085">
      <w:pPr>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响应性评审标准：见评审办法前附表。</w:t>
      </w:r>
    </w:p>
    <w:p w14:paraId="15F21CB2">
      <w:pPr>
        <w:pStyle w:val="4"/>
        <w:rPr>
          <w:rFonts w:hint="default" w:ascii="Times New Roman" w:hAnsi="Times New Roman" w:cs="Times New Roman"/>
          <w:color w:val="auto"/>
          <w:highlight w:val="none"/>
        </w:rPr>
      </w:pPr>
      <w:bookmarkStart w:id="127" w:name="_Toc25129"/>
      <w:bookmarkStart w:id="128" w:name="_Toc9090"/>
      <w:bookmarkStart w:id="129" w:name="_Toc330569208"/>
      <w:bookmarkStart w:id="130" w:name="_Toc377115421"/>
      <w:bookmarkStart w:id="131" w:name="_Toc287620754"/>
      <w:bookmarkStart w:id="132" w:name="_Toc1387"/>
      <w:bookmarkStart w:id="133" w:name="_Toc2340"/>
      <w:bookmarkStart w:id="134" w:name="_Toc23296"/>
      <w:bookmarkStart w:id="135" w:name="_Toc6503"/>
      <w:bookmarkStart w:id="136" w:name="_Toc444155970"/>
      <w:bookmarkStart w:id="137" w:name="_Toc440022829"/>
      <w:bookmarkStart w:id="138" w:name="_Toc20840"/>
      <w:bookmarkStart w:id="139" w:name="_Toc407195381"/>
      <w:bookmarkStart w:id="140" w:name="_Toc200513201"/>
      <w:bookmarkStart w:id="141" w:name="_Toc377067341"/>
      <w:bookmarkStart w:id="142" w:name="_Toc376114122"/>
      <w:bookmarkStart w:id="143" w:name="_Toc277082621"/>
      <w:bookmarkStart w:id="144" w:name="_Toc224103387"/>
      <w:bookmarkStart w:id="145" w:name="_Toc287607815"/>
      <w:r>
        <w:rPr>
          <w:rFonts w:hint="default" w:ascii="Times New Roman" w:hAnsi="Times New Roman" w:cs="Times New Roman"/>
          <w:color w:val="auto"/>
          <w:highlight w:val="none"/>
        </w:rPr>
        <w:t>2.2 分值构成与评分标准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96EF7CD">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2.2.1 分值构成：见评审办法前附表。 </w:t>
      </w:r>
    </w:p>
    <w:p w14:paraId="5E6C311A">
      <w:pPr>
        <w:rPr>
          <w:rFonts w:hint="default" w:ascii="Times New Roman" w:hAnsi="Times New Roman" w:cs="Times New Roman"/>
          <w:color w:val="auto"/>
          <w:highlight w:val="none"/>
        </w:rPr>
      </w:pPr>
      <w:r>
        <w:rPr>
          <w:rFonts w:hint="default" w:ascii="Times New Roman" w:hAnsi="Times New Roman" w:cs="Times New Roman"/>
          <w:color w:val="auto"/>
          <w:highlight w:val="none"/>
        </w:rPr>
        <w:t>2.2.2 评审基准价计算方法：见评审办法前附表。</w:t>
      </w:r>
    </w:p>
    <w:p w14:paraId="17DC9C13">
      <w:pPr>
        <w:rPr>
          <w:rFonts w:hint="default" w:ascii="Times New Roman" w:hAnsi="Times New Roman" w:cs="Times New Roman"/>
          <w:color w:val="auto"/>
          <w:highlight w:val="none"/>
        </w:rPr>
      </w:pPr>
      <w:r>
        <w:rPr>
          <w:rFonts w:hint="default" w:ascii="Times New Roman" w:hAnsi="Times New Roman" w:cs="Times New Roman"/>
          <w:color w:val="auto"/>
          <w:highlight w:val="none"/>
        </w:rPr>
        <w:t>2.2.3 评分标准：</w:t>
      </w:r>
    </w:p>
    <w:p w14:paraId="42F932F6">
      <w:pPr>
        <w:rPr>
          <w:rFonts w:hint="default" w:ascii="Times New Roman" w:hAnsi="Times New Roman" w:cs="Times New Roman"/>
          <w:color w:val="auto"/>
          <w:highlight w:val="none"/>
        </w:rPr>
      </w:pPr>
      <w:r>
        <w:rPr>
          <w:rFonts w:hint="default" w:ascii="Times New Roman" w:hAnsi="Times New Roman" w:cs="Times New Roman"/>
          <w:color w:val="auto"/>
          <w:highlight w:val="none"/>
        </w:rPr>
        <w:t>（1）参选报价评分标准：见评审办法前附表；</w:t>
      </w:r>
    </w:p>
    <w:p w14:paraId="6516AF8E">
      <w:pPr>
        <w:rPr>
          <w:rFonts w:hint="default" w:ascii="Times New Roman" w:hAnsi="Times New Roman" w:cs="Times New Roman"/>
          <w:color w:val="auto"/>
          <w:highlight w:val="none"/>
        </w:rPr>
      </w:pPr>
      <w:r>
        <w:rPr>
          <w:rFonts w:hint="default" w:ascii="Times New Roman" w:hAnsi="Times New Roman" w:cs="Times New Roman"/>
          <w:color w:val="auto"/>
          <w:highlight w:val="none"/>
        </w:rPr>
        <w:t>（2）商务部分评分标准：见评审办法前附表；</w:t>
      </w:r>
    </w:p>
    <w:p w14:paraId="0EB58638">
      <w:pPr>
        <w:pStyle w:val="3"/>
        <w:rPr>
          <w:rFonts w:hint="default" w:ascii="Times New Roman" w:hAnsi="Times New Roman" w:cs="Times New Roman"/>
          <w:color w:val="auto"/>
          <w:highlight w:val="none"/>
        </w:rPr>
      </w:pPr>
      <w:bookmarkStart w:id="146" w:name="_Toc287620755"/>
      <w:bookmarkStart w:id="147" w:name="_Toc14353"/>
      <w:bookmarkStart w:id="148" w:name="_Toc9488"/>
      <w:bookmarkStart w:id="149" w:name="_Toc5546"/>
      <w:bookmarkStart w:id="150" w:name="_Toc23633"/>
      <w:bookmarkStart w:id="151" w:name="_Toc277082622"/>
      <w:bookmarkStart w:id="152" w:name="_Toc2982"/>
      <w:bookmarkStart w:id="153" w:name="_Toc330569209"/>
      <w:bookmarkStart w:id="154" w:name="_Toc440022830"/>
      <w:bookmarkStart w:id="155" w:name="_Toc376114123"/>
      <w:bookmarkStart w:id="156" w:name="_Toc377115422"/>
      <w:bookmarkStart w:id="157" w:name="_Toc377067342"/>
      <w:bookmarkStart w:id="158" w:name="_Toc200513202"/>
      <w:bookmarkStart w:id="159" w:name="_Toc12538"/>
      <w:bookmarkStart w:id="160" w:name="_Toc444155971"/>
      <w:bookmarkStart w:id="161" w:name="_Toc8004"/>
      <w:bookmarkStart w:id="162" w:name="_Toc15132"/>
      <w:bookmarkStart w:id="163" w:name="_Toc407195382"/>
      <w:bookmarkStart w:id="164" w:name="_Toc287607816"/>
      <w:bookmarkStart w:id="165" w:name="_Toc224103388"/>
      <w:r>
        <w:rPr>
          <w:rFonts w:hint="default" w:ascii="Times New Roman" w:hAnsi="Times New Roman" w:cs="Times New Roman"/>
          <w:color w:val="auto"/>
          <w:highlight w:val="none"/>
        </w:rPr>
        <w:t>3. 评审程序</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B82DF4C">
      <w:pPr>
        <w:pStyle w:val="4"/>
        <w:rPr>
          <w:rFonts w:hint="default" w:ascii="Times New Roman" w:hAnsi="Times New Roman" w:cs="Times New Roman"/>
          <w:color w:val="auto"/>
          <w:highlight w:val="none"/>
        </w:rPr>
      </w:pPr>
      <w:bookmarkStart w:id="166" w:name="_Toc377115423"/>
      <w:bookmarkStart w:id="167" w:name="_Toc224103389"/>
      <w:bookmarkStart w:id="168" w:name="_Toc22279"/>
      <w:bookmarkStart w:id="169" w:name="_Toc377067343"/>
      <w:bookmarkStart w:id="170" w:name="_Toc19840"/>
      <w:bookmarkStart w:id="171" w:name="_Toc287607817"/>
      <w:bookmarkStart w:id="172" w:name="_Toc9683"/>
      <w:bookmarkStart w:id="173" w:name="_Toc440022831"/>
      <w:bookmarkStart w:id="174" w:name="_Toc200513203"/>
      <w:bookmarkStart w:id="175" w:name="_Toc287620756"/>
      <w:bookmarkStart w:id="176" w:name="_Toc407195383"/>
      <w:bookmarkStart w:id="177" w:name="_Toc6448"/>
      <w:bookmarkStart w:id="178" w:name="_Toc5462"/>
      <w:bookmarkStart w:id="179" w:name="_Toc32002"/>
      <w:bookmarkStart w:id="180" w:name="_Toc376114124"/>
      <w:bookmarkStart w:id="181" w:name="_Toc277082623"/>
      <w:bookmarkStart w:id="182" w:name="_Toc444155972"/>
      <w:bookmarkStart w:id="183" w:name="_Toc13851"/>
      <w:bookmarkStart w:id="184" w:name="_Toc330569210"/>
      <w:r>
        <w:rPr>
          <w:rFonts w:hint="default" w:ascii="Times New Roman" w:hAnsi="Times New Roman" w:cs="Times New Roman"/>
          <w:color w:val="auto"/>
          <w:highlight w:val="none"/>
        </w:rPr>
        <w:t>3.1 初步评审</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BE9AB73">
      <w:pPr>
        <w:rPr>
          <w:rFonts w:hint="default" w:ascii="Times New Roman" w:hAnsi="Times New Roman" w:cs="Times New Roman"/>
          <w:color w:val="auto"/>
          <w:highlight w:val="none"/>
        </w:rPr>
      </w:pPr>
      <w:bookmarkStart w:id="185" w:name="_Toc332380970"/>
      <w:bookmarkStart w:id="186" w:name="_Toc331232467"/>
      <w:bookmarkStart w:id="187" w:name="_Toc331232649"/>
      <w:bookmarkStart w:id="188" w:name="_Toc373172234"/>
      <w:bookmarkStart w:id="189" w:name="_Toc330569211"/>
      <w:bookmarkStart w:id="190" w:name="_Toc332028970"/>
      <w:bookmarkStart w:id="191" w:name="_Toc356484119"/>
      <w:bookmarkStart w:id="192" w:name="_Toc376114125"/>
      <w:bookmarkStart w:id="193" w:name="_Toc27164"/>
      <w:bookmarkStart w:id="194" w:name="_Toc354387014"/>
      <w:bookmarkStart w:id="195" w:name="_Toc440022832"/>
      <w:bookmarkStart w:id="196" w:name="_Toc334002333"/>
      <w:bookmarkStart w:id="197" w:name="_Toc377067344"/>
      <w:bookmarkStart w:id="198" w:name="_Toc332015984"/>
      <w:bookmarkStart w:id="199" w:name="_Toc407195384"/>
      <w:bookmarkStart w:id="200" w:name="_Toc356243677"/>
      <w:bookmarkStart w:id="201" w:name="_Toc377115424"/>
      <w:bookmarkStart w:id="202" w:name="_Toc373264792"/>
      <w:bookmarkStart w:id="203" w:name="_Toc444155973"/>
      <w:r>
        <w:rPr>
          <w:rFonts w:hint="default" w:ascii="Times New Roman" w:hAnsi="Times New Roman" w:cs="Times New Roman"/>
          <w:color w:val="auto"/>
          <w:highlight w:val="none"/>
        </w:rPr>
        <w:t>3.1.1 评审委员会依据本章第2.1 条规定的标准对参选文件进行初步评审。有一项不符合评审标准的，作否决参选处理。</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C1623B6">
      <w:pPr>
        <w:rPr>
          <w:rFonts w:hint="default" w:ascii="Times New Roman" w:hAnsi="Times New Roman" w:cs="Times New Roman"/>
          <w:color w:val="auto"/>
          <w:highlight w:val="none"/>
        </w:rPr>
      </w:pPr>
      <w:r>
        <w:rPr>
          <w:rFonts w:hint="default" w:ascii="Times New Roman" w:hAnsi="Times New Roman" w:cs="Times New Roman"/>
          <w:color w:val="auto"/>
          <w:highlight w:val="none"/>
        </w:rPr>
        <w:t>3.1.2 参选人有以下情形之一的，其参选作否决参选处理：</w:t>
      </w:r>
    </w:p>
    <w:p w14:paraId="7818E50C">
      <w:pPr>
        <w:rPr>
          <w:rFonts w:hint="default" w:ascii="Times New Roman" w:hAnsi="Times New Roman" w:cs="Times New Roman"/>
          <w:color w:val="auto"/>
          <w:highlight w:val="none"/>
        </w:rPr>
      </w:pPr>
      <w:r>
        <w:rPr>
          <w:rFonts w:hint="default" w:ascii="Times New Roman" w:hAnsi="Times New Roman" w:cs="Times New Roman"/>
          <w:color w:val="auto"/>
          <w:highlight w:val="none"/>
        </w:rPr>
        <w:t>3.1.2.1 有第二章</w:t>
      </w:r>
      <w:r>
        <w:rPr>
          <w:rFonts w:hint="eastAsia" w:ascii="Times New Roman" w:hAnsi="Times New Roman" w:cs="Times New Roman"/>
          <w:color w:val="auto"/>
          <w:highlight w:val="none"/>
          <w:lang w:eastAsia="zh-CN"/>
        </w:rPr>
        <w:t>“参选人须知”</w:t>
      </w:r>
      <w:r>
        <w:rPr>
          <w:rFonts w:hint="default" w:ascii="Times New Roman" w:hAnsi="Times New Roman" w:cs="Times New Roman"/>
          <w:color w:val="auto"/>
          <w:highlight w:val="none"/>
        </w:rPr>
        <w:t>第9.条以及第11. 条规定的任何一种情形的；</w:t>
      </w:r>
    </w:p>
    <w:p w14:paraId="79EA19FC">
      <w:pPr>
        <w:rPr>
          <w:rFonts w:hint="default" w:ascii="Times New Roman" w:hAnsi="Times New Roman" w:cs="Times New Roman"/>
          <w:color w:val="auto"/>
          <w:highlight w:val="none"/>
        </w:rPr>
      </w:pPr>
      <w:r>
        <w:rPr>
          <w:rFonts w:hint="default" w:ascii="Times New Roman" w:hAnsi="Times New Roman" w:cs="Times New Roman"/>
          <w:color w:val="auto"/>
          <w:highlight w:val="none"/>
        </w:rPr>
        <w:t>3.1.2.2 有串通参选、弄虚作假等其他违反相关法律、法规行为的；</w:t>
      </w:r>
    </w:p>
    <w:p w14:paraId="2829FE66">
      <w:pPr>
        <w:rPr>
          <w:rFonts w:hint="default" w:ascii="Times New Roman" w:hAnsi="Times New Roman" w:cs="Times New Roman"/>
          <w:color w:val="auto"/>
          <w:highlight w:val="none"/>
        </w:rPr>
      </w:pPr>
      <w:r>
        <w:rPr>
          <w:rFonts w:hint="default" w:ascii="Times New Roman" w:hAnsi="Times New Roman" w:cs="Times New Roman"/>
          <w:color w:val="auto"/>
          <w:highlight w:val="none"/>
        </w:rPr>
        <w:t>3.1.2.3 不按评审委员会要求澄清、说明或补正的。</w:t>
      </w:r>
    </w:p>
    <w:p w14:paraId="4D747D38">
      <w:pPr>
        <w:rPr>
          <w:rFonts w:hint="default" w:ascii="Times New Roman" w:hAnsi="Times New Roman" w:cs="Times New Roman"/>
          <w:color w:val="auto"/>
          <w:highlight w:val="none"/>
        </w:rPr>
      </w:pPr>
      <w:r>
        <w:rPr>
          <w:rFonts w:hint="default" w:ascii="Times New Roman" w:hAnsi="Times New Roman" w:cs="Times New Roman"/>
          <w:color w:val="auto"/>
          <w:highlight w:val="none"/>
        </w:rPr>
        <w:t>3.1.2.4 本参选文件约定的其它情形。</w:t>
      </w:r>
    </w:p>
    <w:p w14:paraId="403045AE">
      <w:pPr>
        <w:rPr>
          <w:rFonts w:hint="default" w:ascii="Times New Roman" w:hAnsi="Times New Roman" w:cs="Times New Roman"/>
          <w:color w:val="auto"/>
          <w:highlight w:val="none"/>
        </w:rPr>
      </w:pPr>
      <w:r>
        <w:rPr>
          <w:rFonts w:hint="default" w:ascii="Times New Roman" w:hAnsi="Times New Roman" w:cs="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参选报价有算术错误的，评审委员会按以下原则对参选报价进行修正，修正的价格经参选人书面确认后具有约束力。参选人不接受修正价格的，其参选作否决参选处理。修正原则见第二章</w:t>
      </w:r>
      <w:r>
        <w:rPr>
          <w:rFonts w:hint="eastAsia" w:ascii="Times New Roman" w:hAnsi="Times New Roman" w:cs="Times New Roman"/>
          <w:color w:val="auto"/>
          <w:highlight w:val="none"/>
          <w:lang w:eastAsia="zh-CN"/>
        </w:rPr>
        <w:t>“参选人须知”</w:t>
      </w:r>
      <w:r>
        <w:rPr>
          <w:rFonts w:hint="default" w:ascii="Times New Roman" w:hAnsi="Times New Roman" w:cs="Times New Roman"/>
          <w:color w:val="auto"/>
          <w:highlight w:val="none"/>
        </w:rPr>
        <w:t>第4.8 条。</w:t>
      </w:r>
    </w:p>
    <w:p w14:paraId="3F2099A5">
      <w:pPr>
        <w:pStyle w:val="4"/>
        <w:rPr>
          <w:rFonts w:hint="default" w:ascii="Times New Roman" w:hAnsi="Times New Roman" w:cs="Times New Roman"/>
          <w:color w:val="auto"/>
          <w:highlight w:val="none"/>
        </w:rPr>
      </w:pPr>
      <w:bookmarkStart w:id="204" w:name="_Toc224103390"/>
      <w:bookmarkStart w:id="205" w:name="_Toc22246"/>
      <w:bookmarkStart w:id="206" w:name="_Toc10847"/>
      <w:bookmarkStart w:id="207" w:name="_Toc7832"/>
      <w:bookmarkStart w:id="208" w:name="_Toc287620757"/>
      <w:bookmarkStart w:id="209" w:name="_Toc444155974"/>
      <w:bookmarkStart w:id="210" w:name="_Toc11246"/>
      <w:bookmarkStart w:id="211" w:name="_Toc22848"/>
      <w:bookmarkStart w:id="212" w:name="_Toc19604"/>
      <w:bookmarkStart w:id="213" w:name="_Toc287607818"/>
      <w:bookmarkStart w:id="214" w:name="_Toc200513204"/>
      <w:bookmarkStart w:id="215" w:name="_Toc440022833"/>
      <w:bookmarkStart w:id="216" w:name="_Toc330569212"/>
      <w:bookmarkStart w:id="217" w:name="_Toc377115425"/>
      <w:bookmarkStart w:id="218" w:name="_Toc29925"/>
      <w:bookmarkStart w:id="219" w:name="_Toc277082624"/>
      <w:bookmarkStart w:id="220" w:name="_Toc377067345"/>
      <w:bookmarkStart w:id="221" w:name="_Toc407195385"/>
      <w:bookmarkStart w:id="222" w:name="_Toc376114126"/>
      <w:r>
        <w:rPr>
          <w:rFonts w:hint="default" w:ascii="Times New Roman" w:hAnsi="Times New Roman" w:cs="Times New Roman"/>
          <w:color w:val="auto"/>
          <w:highlight w:val="none"/>
        </w:rPr>
        <w:t>3.2 详细评审</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A45BBDE">
      <w:pPr>
        <w:rPr>
          <w:rFonts w:hint="default" w:ascii="Times New Roman" w:hAnsi="Times New Roman" w:cs="Times New Roman"/>
          <w:color w:val="auto"/>
          <w:highlight w:val="none"/>
        </w:rPr>
      </w:pPr>
      <w:r>
        <w:rPr>
          <w:rFonts w:hint="default" w:ascii="Times New Roman" w:hAnsi="Times New Roman" w:cs="Times New Roman"/>
          <w:color w:val="auto"/>
          <w:highlight w:val="none"/>
        </w:rPr>
        <w:t>3.2.1 评审委员会按本章第2.2 条规定的量化因素和分值进行打分，并计算出综合评估得分。</w:t>
      </w:r>
    </w:p>
    <w:p w14:paraId="747A11E8">
      <w:pPr>
        <w:rPr>
          <w:rFonts w:hint="default" w:ascii="Times New Roman" w:hAnsi="Times New Roman" w:cs="Times New Roman"/>
          <w:color w:val="auto"/>
          <w:highlight w:val="none"/>
        </w:rPr>
      </w:pPr>
      <w:r>
        <w:rPr>
          <w:rFonts w:hint="default" w:ascii="Times New Roman" w:hAnsi="Times New Roman" w:cs="Times New Roman"/>
          <w:color w:val="auto"/>
          <w:highlight w:val="none"/>
        </w:rPr>
        <w:t>3.2.1.1 按本章第2.2 条规定的评审因素和分值对参选报价计算出得分；</w:t>
      </w:r>
    </w:p>
    <w:p w14:paraId="7C92A8AC">
      <w:pPr>
        <w:rPr>
          <w:rFonts w:hint="default" w:ascii="Times New Roman" w:hAnsi="Times New Roman" w:cs="Times New Roman"/>
          <w:color w:val="auto"/>
          <w:highlight w:val="none"/>
        </w:rPr>
      </w:pPr>
      <w:r>
        <w:rPr>
          <w:rFonts w:hint="default" w:ascii="Times New Roman" w:hAnsi="Times New Roman" w:cs="Times New Roman"/>
          <w:color w:val="auto"/>
          <w:highlight w:val="none"/>
        </w:rPr>
        <w:t>3.2.1.2 按本章第2.2 条规定的评审因素和分值对商务部分计算出得分（评审委员会统一打分）；</w:t>
      </w:r>
    </w:p>
    <w:p w14:paraId="0725AB8F">
      <w:pPr>
        <w:rPr>
          <w:rFonts w:hint="default" w:ascii="Times New Roman" w:hAnsi="Times New Roman" w:cs="Times New Roman"/>
          <w:color w:val="auto"/>
          <w:highlight w:val="none"/>
        </w:rPr>
      </w:pPr>
      <w:r>
        <w:rPr>
          <w:rFonts w:hint="default" w:ascii="Times New Roman" w:hAnsi="Times New Roman" w:cs="Times New Roman"/>
          <w:color w:val="auto"/>
          <w:highlight w:val="none"/>
        </w:rPr>
        <w:t>3.2.2 评分分值计算保留小数点后两位，小数点后第三位</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四舍五入”。</w:t>
      </w:r>
    </w:p>
    <w:p w14:paraId="1CCC0D19">
      <w:pPr>
        <w:rPr>
          <w:rFonts w:hint="default" w:ascii="Times New Roman" w:hAnsi="Times New Roman" w:cs="Times New Roman"/>
          <w:color w:val="auto"/>
          <w:highlight w:val="none"/>
        </w:rPr>
      </w:pPr>
      <w:r>
        <w:rPr>
          <w:rFonts w:hint="default" w:ascii="Times New Roman" w:hAnsi="Times New Roman" w:cs="Times New Roman"/>
          <w:color w:val="auto"/>
          <w:highlight w:val="none"/>
        </w:rPr>
        <w:t>3.2.3 参选人得分=参选报价得分+商务部分得分</w:t>
      </w:r>
      <w:r>
        <w:rPr>
          <w:rFonts w:hint="default" w:ascii="Times New Roman" w:hAnsi="Times New Roman" w:cs="Times New Roman"/>
          <w:color w:val="auto"/>
          <w:sz w:val="24"/>
          <w:szCs w:val="20"/>
          <w:highlight w:val="none"/>
        </w:rPr>
        <w:t>+技术</w:t>
      </w:r>
      <w:r>
        <w:rPr>
          <w:rFonts w:hint="default" w:ascii="Times New Roman" w:hAnsi="Times New Roman" w:cs="Times New Roman"/>
          <w:color w:val="auto"/>
          <w:sz w:val="24"/>
          <w:szCs w:val="20"/>
          <w:highlight w:val="none"/>
          <w:lang w:val="en-US" w:eastAsia="zh-CN"/>
        </w:rPr>
        <w:t>部分</w:t>
      </w:r>
      <w:r>
        <w:rPr>
          <w:rFonts w:hint="default" w:ascii="Times New Roman" w:hAnsi="Times New Roman" w:cs="Times New Roman"/>
          <w:color w:val="auto"/>
          <w:sz w:val="24"/>
          <w:szCs w:val="20"/>
          <w:highlight w:val="none"/>
        </w:rPr>
        <w:t>得分</w:t>
      </w:r>
      <w:r>
        <w:rPr>
          <w:rFonts w:hint="default" w:ascii="Times New Roman" w:hAnsi="Times New Roman" w:cs="Times New Roman"/>
          <w:color w:val="auto"/>
          <w:highlight w:val="none"/>
        </w:rPr>
        <w:t>。</w:t>
      </w:r>
    </w:p>
    <w:p w14:paraId="6CE3495F">
      <w:pPr>
        <w:pStyle w:val="4"/>
        <w:rPr>
          <w:rFonts w:hint="default" w:ascii="Times New Roman" w:hAnsi="Times New Roman" w:cs="Times New Roman"/>
          <w:color w:val="auto"/>
          <w:highlight w:val="none"/>
        </w:rPr>
      </w:pPr>
      <w:bookmarkStart w:id="223" w:name="_Toc287607819"/>
      <w:bookmarkStart w:id="224" w:name="_Toc376114127"/>
      <w:bookmarkStart w:id="225" w:name="_Toc407195386"/>
      <w:bookmarkStart w:id="226" w:name="_Toc377115426"/>
      <w:bookmarkStart w:id="227" w:name="_Toc287620758"/>
      <w:bookmarkStart w:id="228" w:name="_Toc20948"/>
      <w:bookmarkStart w:id="229" w:name="_Toc440022834"/>
      <w:bookmarkStart w:id="230" w:name="_Toc18708"/>
      <w:bookmarkStart w:id="231" w:name="_Toc32039"/>
      <w:bookmarkStart w:id="232" w:name="_Toc330569213"/>
      <w:bookmarkStart w:id="233" w:name="_Toc277082625"/>
      <w:bookmarkStart w:id="234" w:name="_Toc1080"/>
      <w:bookmarkStart w:id="235" w:name="_Toc200513205"/>
      <w:bookmarkStart w:id="236" w:name="_Toc7176"/>
      <w:bookmarkStart w:id="237" w:name="_Toc2542"/>
      <w:bookmarkStart w:id="238" w:name="_Toc444155975"/>
      <w:bookmarkStart w:id="239" w:name="_Toc224103391"/>
      <w:bookmarkStart w:id="240" w:name="_Toc377067346"/>
      <w:bookmarkStart w:id="241" w:name="_Toc29261"/>
      <w:r>
        <w:rPr>
          <w:rFonts w:hint="default" w:ascii="Times New Roman" w:hAnsi="Times New Roman" w:cs="Times New Roman"/>
          <w:color w:val="auto"/>
          <w:highlight w:val="none"/>
        </w:rPr>
        <w:t>3.3 参选文件的澄清和补正</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77EAF1E">
      <w:pPr>
        <w:rPr>
          <w:rFonts w:hint="default" w:ascii="Times New Roman" w:hAnsi="Times New Roman" w:cs="Times New Roman"/>
          <w:color w:val="auto"/>
          <w:highlight w:val="none"/>
        </w:rPr>
      </w:pPr>
      <w:r>
        <w:rPr>
          <w:rFonts w:hint="default" w:ascii="Times New Roman" w:hAnsi="Times New Roman" w:cs="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75C2B745">
      <w:pPr>
        <w:rPr>
          <w:rFonts w:hint="default" w:ascii="Times New Roman" w:hAnsi="Times New Roman" w:cs="Times New Roman"/>
          <w:color w:val="auto"/>
          <w:highlight w:val="none"/>
        </w:rPr>
      </w:pPr>
      <w:r>
        <w:rPr>
          <w:rFonts w:hint="default" w:ascii="Times New Roman" w:hAnsi="Times New Roman" w:cs="Times New Roman"/>
          <w:color w:val="auto"/>
          <w:highlight w:val="none"/>
        </w:rPr>
        <w:t>3.3.2 澄清、说明和补正不得改变参选文件的实质性内容（算术性错误修正的除外）。参选人的书面澄清、说明和补正属于参选文件的组成部分。</w:t>
      </w:r>
    </w:p>
    <w:p w14:paraId="6E9F4FD2">
      <w:pPr>
        <w:rPr>
          <w:rFonts w:hint="default" w:ascii="Times New Roman" w:hAnsi="Times New Roman" w:cs="Times New Roman"/>
          <w:color w:val="auto"/>
          <w:highlight w:val="none"/>
        </w:rPr>
      </w:pPr>
      <w:r>
        <w:rPr>
          <w:rFonts w:hint="default" w:ascii="Times New Roman" w:hAnsi="Times New Roman" w:cs="Times New Roman"/>
          <w:color w:val="auto"/>
          <w:highlight w:val="none"/>
        </w:rPr>
        <w:t>3.3.3 评审委员会对参选人提交的澄清、说明或补正有疑问的，可以要求参选人进一步澄清、说明或补正，直至满足评审委员会的要求。</w:t>
      </w:r>
    </w:p>
    <w:p w14:paraId="11059ABC">
      <w:pPr>
        <w:pStyle w:val="4"/>
        <w:rPr>
          <w:rFonts w:hint="default" w:ascii="Times New Roman" w:hAnsi="Times New Roman" w:cs="Times New Roman"/>
          <w:color w:val="auto"/>
          <w:highlight w:val="none"/>
        </w:rPr>
      </w:pPr>
      <w:bookmarkStart w:id="242" w:name="_Toc330569214"/>
      <w:bookmarkStart w:id="243" w:name="_Toc4814"/>
      <w:bookmarkStart w:id="244" w:name="_Toc287620759"/>
      <w:bookmarkStart w:id="245" w:name="_Toc30672"/>
      <w:bookmarkStart w:id="246" w:name="_Toc200513206"/>
      <w:bookmarkStart w:id="247" w:name="_Toc377115427"/>
      <w:bookmarkStart w:id="248" w:name="_Toc21450"/>
      <w:bookmarkStart w:id="249" w:name="_Toc14840"/>
      <w:bookmarkStart w:id="250" w:name="_Toc376114128"/>
      <w:bookmarkStart w:id="251" w:name="_Toc31270"/>
      <w:bookmarkStart w:id="252" w:name="_Toc277082626"/>
      <w:bookmarkStart w:id="253" w:name="_Toc287607820"/>
      <w:bookmarkStart w:id="254" w:name="_Toc377067347"/>
      <w:bookmarkStart w:id="255" w:name="_Toc440022835"/>
      <w:bookmarkStart w:id="256" w:name="_Toc6310"/>
      <w:bookmarkStart w:id="257" w:name="_Toc19054"/>
      <w:bookmarkStart w:id="258" w:name="_Toc444155976"/>
      <w:bookmarkStart w:id="259" w:name="_Toc407195387"/>
      <w:bookmarkStart w:id="260" w:name="_Toc224103392"/>
      <w:r>
        <w:rPr>
          <w:rFonts w:hint="default" w:ascii="Times New Roman" w:hAnsi="Times New Roman" w:cs="Times New Roman"/>
          <w:color w:val="auto"/>
          <w:highlight w:val="none"/>
        </w:rPr>
        <w:t>3.4 评审结果</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2EA1FA7">
      <w:pPr>
        <w:rPr>
          <w:rFonts w:hint="default" w:ascii="Times New Roman" w:hAnsi="Times New Roman" w:cs="Times New Roman"/>
          <w:color w:val="auto"/>
          <w:highlight w:val="none"/>
        </w:rPr>
      </w:pPr>
      <w:r>
        <w:rPr>
          <w:rFonts w:hint="default" w:ascii="Times New Roman" w:hAnsi="Times New Roman" w:cs="Times New Roman"/>
          <w:color w:val="auto"/>
          <w:highlight w:val="none"/>
        </w:rPr>
        <w:t>3.4.1 评审委员会按照得分由高到低的顺序推荐中选候选人。</w:t>
      </w:r>
    </w:p>
    <w:p w14:paraId="2328E25A">
      <w:pPr>
        <w:rPr>
          <w:rFonts w:hint="default" w:ascii="Times New Roman" w:hAnsi="Times New Roman" w:cs="Times New Roman"/>
          <w:color w:val="auto"/>
          <w:highlight w:val="none"/>
        </w:rPr>
      </w:pPr>
      <w:r>
        <w:rPr>
          <w:rFonts w:hint="default" w:ascii="Times New Roman" w:hAnsi="Times New Roman" w:cs="Times New Roman"/>
          <w:color w:val="auto"/>
          <w:highlight w:val="none"/>
        </w:rPr>
        <w:t>3.4.2 评审委员会完成评审后，应当向比选人提交书面评审报告。</w:t>
      </w:r>
    </w:p>
    <w:p w14:paraId="0F4EBBC3">
      <w:pPr>
        <w:rPr>
          <w:rFonts w:hint="default" w:ascii="Times New Roman" w:hAnsi="Times New Roman" w:cs="Times New Roman"/>
          <w:color w:val="auto"/>
          <w:highlight w:val="none"/>
        </w:rPr>
      </w:pPr>
      <w:r>
        <w:rPr>
          <w:rFonts w:hint="default" w:ascii="Times New Roman" w:hAnsi="Times New Roman" w:cs="Times New Roman"/>
          <w:color w:val="auto"/>
          <w:highlight w:val="none"/>
        </w:rPr>
        <w:t>3.4.3 有效参选不足两个的，经评审委员会判定，参选人具有相对行业竞争力的，可继续进行评审。</w:t>
      </w:r>
    </w:p>
    <w:p w14:paraId="0110C720">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3.5 对评审委员会成员的纪律要求</w:t>
      </w:r>
    </w:p>
    <w:p w14:paraId="5C1DDB26">
      <w:pPr>
        <w:rPr>
          <w:rFonts w:hint="default" w:ascii="Times New Roman" w:hAnsi="Times New Roman" w:cs="Times New Roman"/>
          <w:color w:val="auto"/>
          <w:highlight w:val="none"/>
        </w:rPr>
      </w:pPr>
      <w:r>
        <w:rPr>
          <w:rFonts w:hint="default" w:ascii="Times New Roman" w:hAnsi="Times New Roman" w:cs="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BE2ABD1">
      <w:pPr>
        <w:pStyle w:val="4"/>
        <w:rPr>
          <w:rFonts w:hint="default" w:ascii="Times New Roman" w:hAnsi="Times New Roman" w:cs="Times New Roman"/>
          <w:color w:val="auto"/>
          <w:highlight w:val="none"/>
        </w:rPr>
      </w:pPr>
      <w:r>
        <w:rPr>
          <w:rFonts w:hint="default" w:ascii="Times New Roman" w:hAnsi="Times New Roman" w:cs="Times New Roman"/>
          <w:color w:val="auto"/>
          <w:highlight w:val="none"/>
        </w:rPr>
        <w:t>3.6 对与评审活动有关的工作人员的纪律要求</w:t>
      </w:r>
    </w:p>
    <w:p w14:paraId="2FF4755B">
      <w:pPr>
        <w:rPr>
          <w:rFonts w:hint="default" w:ascii="Times New Roman" w:hAnsi="Times New Roman" w:cs="Times New Roman"/>
          <w:color w:val="auto"/>
          <w:highlight w:val="none"/>
        </w:rPr>
      </w:pPr>
      <w:r>
        <w:rPr>
          <w:rFonts w:hint="default" w:ascii="Times New Roman" w:hAnsi="Times New Roman" w:cs="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009299C7">
      <w:pPr>
        <w:rPr>
          <w:rFonts w:hint="default" w:ascii="Times New Roman" w:hAnsi="Times New Roman" w:cs="Times New Roman"/>
          <w:color w:val="auto"/>
          <w:highlight w:val="none"/>
        </w:rPr>
      </w:pPr>
    </w:p>
    <w:p w14:paraId="12C16F01">
      <w:pPr>
        <w:rPr>
          <w:rFonts w:hint="default" w:ascii="Times New Roman" w:hAnsi="Times New Roman" w:cs="Times New Roman"/>
          <w:color w:val="auto"/>
          <w:highlight w:val="none"/>
        </w:rPr>
      </w:pPr>
      <w:bookmarkStart w:id="261" w:name="_Toc150953074"/>
      <w:bookmarkStart w:id="262" w:name="_Toc89675170"/>
      <w:bookmarkStart w:id="263" w:name="_Toc303066034"/>
      <w:r>
        <w:rPr>
          <w:rFonts w:hint="default" w:ascii="Times New Roman" w:hAnsi="Times New Roman" w:cs="Times New Roman"/>
          <w:color w:val="auto"/>
          <w:highlight w:val="none"/>
        </w:rPr>
        <w:br w:type="page"/>
      </w:r>
    </w:p>
    <w:p w14:paraId="54DDE096">
      <w:pPr>
        <w:pStyle w:val="2"/>
        <w:rPr>
          <w:rFonts w:hint="default" w:ascii="Times New Roman" w:hAnsi="Times New Roman" w:cs="Times New Roman"/>
          <w:color w:val="auto"/>
          <w:highlight w:val="none"/>
        </w:rPr>
      </w:pPr>
      <w:bookmarkStart w:id="264" w:name="_Toc14245"/>
      <w:bookmarkStart w:id="265" w:name="_Toc24563"/>
      <w:r>
        <w:rPr>
          <w:rFonts w:hint="default" w:ascii="Times New Roman" w:hAnsi="Times New Roman" w:cs="Times New Roman"/>
          <w:color w:val="auto"/>
          <w:highlight w:val="none"/>
        </w:rPr>
        <w:t>第五章 合同模板</w:t>
      </w:r>
      <w:bookmarkEnd w:id="261"/>
      <w:bookmarkEnd w:id="264"/>
      <w:bookmarkEnd w:id="265"/>
    </w:p>
    <w:p w14:paraId="0B990C2C">
      <w:pPr>
        <w:ind w:firstLine="0" w:firstLineChars="0"/>
        <w:jc w:val="cente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highlight w:val="none"/>
        </w:rPr>
        <w:t>（本章节的合同条款及格式仅供参考，具体以合同签订时为准）</w:t>
      </w:r>
    </w:p>
    <w:p w14:paraId="0369E46A">
      <w:pPr>
        <w:spacing w:line="360" w:lineRule="auto"/>
        <w:jc w:val="right"/>
        <w:rPr>
          <w:rStyle w:val="25"/>
          <w:rFonts w:hint="default" w:ascii="Times New Roman" w:hAnsi="Times New Roman" w:eastAsia="宋体" w:cs="Times New Roman"/>
          <w:b w:val="0"/>
          <w:color w:val="auto"/>
          <w:spacing w:val="0"/>
          <w:sz w:val="28"/>
          <w:szCs w:val="28"/>
          <w:highlight w:val="none"/>
        </w:rPr>
      </w:pPr>
      <w:r>
        <w:rPr>
          <w:rStyle w:val="25"/>
          <w:rFonts w:hint="default" w:ascii="Times New Roman" w:hAnsi="Times New Roman" w:eastAsia="宋体" w:cs="Times New Roman"/>
          <w:b w:val="0"/>
          <w:color w:val="auto"/>
          <w:spacing w:val="0"/>
          <w:sz w:val="28"/>
          <w:szCs w:val="28"/>
          <w:highlight w:val="none"/>
        </w:rPr>
        <w:t>编号：___________________</w:t>
      </w:r>
    </w:p>
    <w:p w14:paraId="391C5215">
      <w:pPr>
        <w:spacing w:line="360" w:lineRule="auto"/>
        <w:jc w:val="center"/>
        <w:rPr>
          <w:rStyle w:val="25"/>
          <w:rFonts w:hint="default" w:ascii="Times New Roman" w:hAnsi="Times New Roman" w:cs="Times New Roman"/>
          <w:color w:val="auto"/>
          <w:spacing w:val="0"/>
          <w:szCs w:val="21"/>
          <w:highlight w:val="none"/>
        </w:rPr>
      </w:pPr>
    </w:p>
    <w:p w14:paraId="289753BE">
      <w:pPr>
        <w:spacing w:line="360" w:lineRule="auto"/>
        <w:jc w:val="center"/>
        <w:rPr>
          <w:rStyle w:val="25"/>
          <w:rFonts w:hint="default" w:ascii="Times New Roman" w:hAnsi="Times New Roman" w:cs="Times New Roman"/>
          <w:color w:val="auto"/>
          <w:spacing w:val="0"/>
          <w:szCs w:val="21"/>
          <w:highlight w:val="none"/>
        </w:rPr>
      </w:pPr>
    </w:p>
    <w:p w14:paraId="5BF010BA">
      <w:pPr>
        <w:spacing w:line="360" w:lineRule="auto"/>
        <w:jc w:val="center"/>
        <w:rPr>
          <w:rStyle w:val="25"/>
          <w:rFonts w:hint="default" w:ascii="Times New Roman" w:hAnsi="Times New Roman" w:cs="Times New Roman"/>
          <w:color w:val="auto"/>
          <w:spacing w:val="0"/>
          <w:szCs w:val="21"/>
          <w:highlight w:val="none"/>
        </w:rPr>
      </w:pPr>
    </w:p>
    <w:p w14:paraId="7D16AF04">
      <w:pPr>
        <w:spacing w:line="360" w:lineRule="auto"/>
        <w:jc w:val="center"/>
        <w:rPr>
          <w:rStyle w:val="25"/>
          <w:rFonts w:hint="default" w:ascii="Times New Roman" w:hAnsi="Times New Roman" w:cs="Times New Roman"/>
          <w:color w:val="auto"/>
          <w:spacing w:val="0"/>
          <w:szCs w:val="21"/>
          <w:highlight w:val="none"/>
        </w:rPr>
      </w:pPr>
    </w:p>
    <w:p w14:paraId="45E388E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Style w:val="25"/>
          <w:rFonts w:hint="default" w:ascii="Times New Roman" w:hAnsi="Times New Roman" w:cs="Times New Roman"/>
          <w:color w:val="auto"/>
          <w:spacing w:val="0"/>
          <w:sz w:val="36"/>
          <w:szCs w:val="21"/>
          <w:highlight w:val="none"/>
        </w:rPr>
      </w:pPr>
      <w:r>
        <w:rPr>
          <w:rStyle w:val="25"/>
          <w:rFonts w:hint="default" w:ascii="Times New Roman" w:hAnsi="Times New Roman" w:eastAsia="宋体" w:cs="Times New Roman"/>
          <w:color w:val="auto"/>
          <w:spacing w:val="0"/>
          <w:sz w:val="52"/>
          <w:szCs w:val="52"/>
          <w:highlight w:val="none"/>
        </w:rPr>
        <w:t>重庆三峡银行</w:t>
      </w:r>
      <w:r>
        <w:rPr>
          <w:rStyle w:val="25"/>
          <w:rFonts w:hint="default" w:ascii="Times New Roman" w:hAnsi="Times New Roman" w:eastAsia="宋体" w:cs="Times New Roman"/>
          <w:color w:val="auto"/>
          <w:spacing w:val="0"/>
          <w:sz w:val="52"/>
          <w:szCs w:val="52"/>
          <w:highlight w:val="none"/>
          <w:lang w:val="en-US" w:eastAsia="zh-CN"/>
        </w:rPr>
        <w:t>新一代数据中台项目（一期）</w:t>
      </w:r>
      <w:r>
        <w:rPr>
          <w:rStyle w:val="25"/>
          <w:rFonts w:hint="default" w:ascii="Times New Roman" w:hAnsi="Times New Roman" w:eastAsia="宋体" w:cs="Times New Roman"/>
          <w:color w:val="auto"/>
          <w:spacing w:val="0"/>
          <w:sz w:val="52"/>
          <w:szCs w:val="52"/>
          <w:highlight w:val="none"/>
        </w:rPr>
        <w:t>合同</w:t>
      </w:r>
    </w:p>
    <w:p w14:paraId="5D15448A">
      <w:pPr>
        <w:spacing w:line="360" w:lineRule="auto"/>
        <w:jc w:val="center"/>
        <w:rPr>
          <w:rStyle w:val="25"/>
          <w:rFonts w:hint="default" w:ascii="Times New Roman" w:hAnsi="Times New Roman" w:cs="Times New Roman"/>
          <w:color w:val="auto"/>
          <w:spacing w:val="0"/>
          <w:szCs w:val="21"/>
          <w:highlight w:val="none"/>
        </w:rPr>
      </w:pPr>
    </w:p>
    <w:p w14:paraId="12237B68">
      <w:pPr>
        <w:spacing w:line="360" w:lineRule="auto"/>
        <w:jc w:val="center"/>
        <w:rPr>
          <w:rStyle w:val="25"/>
          <w:rFonts w:hint="default" w:ascii="Times New Roman" w:hAnsi="Times New Roman" w:cs="Times New Roman"/>
          <w:color w:val="auto"/>
          <w:spacing w:val="0"/>
          <w:szCs w:val="21"/>
          <w:highlight w:val="none"/>
        </w:rPr>
      </w:pPr>
    </w:p>
    <w:p w14:paraId="01602986">
      <w:pPr>
        <w:spacing w:line="360" w:lineRule="auto"/>
        <w:jc w:val="center"/>
        <w:rPr>
          <w:rFonts w:hint="default" w:ascii="Times New Roman" w:hAnsi="Times New Roman" w:cs="Times New Roman"/>
          <w:b/>
          <w:bCs/>
          <w:color w:val="auto"/>
          <w:spacing w:val="0"/>
          <w:highlight w:val="none"/>
        </w:rPr>
      </w:pPr>
    </w:p>
    <w:p w14:paraId="7258FC3A">
      <w:pPr>
        <w:spacing w:line="360" w:lineRule="auto"/>
        <w:jc w:val="center"/>
        <w:rPr>
          <w:rFonts w:hint="default" w:ascii="Times New Roman" w:hAnsi="Times New Roman" w:cs="Times New Roman"/>
          <w:b/>
          <w:bCs/>
          <w:color w:val="auto"/>
          <w:spacing w:val="0"/>
          <w:highlight w:val="none"/>
        </w:rPr>
      </w:pPr>
    </w:p>
    <w:p w14:paraId="4739D454">
      <w:pPr>
        <w:spacing w:line="360" w:lineRule="auto"/>
        <w:jc w:val="center"/>
        <w:rPr>
          <w:rFonts w:hint="default" w:ascii="Times New Roman" w:hAnsi="Times New Roman" w:cs="Times New Roman"/>
          <w:b/>
          <w:bCs/>
          <w:color w:val="auto"/>
          <w:spacing w:val="0"/>
          <w:highlight w:val="none"/>
        </w:rPr>
      </w:pPr>
    </w:p>
    <w:p w14:paraId="081DD099">
      <w:pPr>
        <w:spacing w:line="360" w:lineRule="auto"/>
        <w:rPr>
          <w:rFonts w:hint="default" w:ascii="Times New Roman" w:hAnsi="Times New Roman" w:cs="Times New Roman"/>
          <w:b/>
          <w:bCs/>
          <w:color w:val="auto"/>
          <w:spacing w:val="0"/>
          <w:highlight w:val="none"/>
        </w:rPr>
      </w:pPr>
    </w:p>
    <w:p w14:paraId="021B7657">
      <w:pPr>
        <w:spacing w:line="360" w:lineRule="auto"/>
        <w:jc w:val="center"/>
        <w:rPr>
          <w:rFonts w:hint="default" w:ascii="Times New Roman" w:hAnsi="Times New Roman" w:cs="Times New Roman"/>
          <w:b/>
          <w:bCs/>
          <w:color w:val="auto"/>
          <w:spacing w:val="0"/>
          <w:highlight w:val="none"/>
        </w:rPr>
      </w:pPr>
    </w:p>
    <w:p w14:paraId="7C47A365">
      <w:pPr>
        <w:spacing w:line="360" w:lineRule="auto"/>
        <w:jc w:val="center"/>
        <w:rPr>
          <w:rFonts w:hint="default" w:ascii="Times New Roman" w:hAnsi="Times New Roman" w:cs="Times New Roman"/>
          <w:b/>
          <w:bCs/>
          <w:color w:val="auto"/>
          <w:spacing w:val="0"/>
          <w:highlight w:val="none"/>
        </w:rPr>
      </w:pPr>
    </w:p>
    <w:p w14:paraId="146CB524">
      <w:pPr>
        <w:spacing w:line="360" w:lineRule="auto"/>
        <w:jc w:val="center"/>
        <w:rPr>
          <w:rFonts w:hint="default" w:ascii="Times New Roman" w:hAnsi="Times New Roman" w:cs="Times New Roman"/>
          <w:b/>
          <w:bCs/>
          <w:color w:val="auto"/>
          <w:spacing w:val="0"/>
          <w:highlight w:val="none"/>
        </w:rPr>
      </w:pPr>
    </w:p>
    <w:p w14:paraId="1DFEF651">
      <w:pPr>
        <w:keepNext w:val="0"/>
        <w:keepLines w:val="0"/>
        <w:pageBreakBefore w:val="0"/>
        <w:widowControl w:val="0"/>
        <w:kinsoku/>
        <w:wordWrap/>
        <w:overflowPunct/>
        <w:topLinePunct w:val="0"/>
        <w:autoSpaceDE w:val="0"/>
        <w:autoSpaceDN w:val="0"/>
        <w:bidi w:val="0"/>
        <w:adjustRightInd/>
        <w:snapToGrid/>
        <w:spacing w:line="360" w:lineRule="auto"/>
        <w:ind w:left="839" w:firstLine="0" w:firstLineChars="0"/>
        <w:textAlignment w:val="auto"/>
        <w:rPr>
          <w:rFonts w:hint="default" w:ascii="Times New Roman" w:hAnsi="Times New Roman" w:eastAsia="宋体" w:cs="Times New Roman"/>
          <w:b/>
          <w:bCs/>
          <w:color w:val="auto"/>
          <w:spacing w:val="0"/>
          <w:sz w:val="28"/>
          <w:highlight w:val="none"/>
        </w:rPr>
      </w:pPr>
      <w:r>
        <w:rPr>
          <w:rFonts w:hint="default" w:ascii="Times New Roman" w:hAnsi="Times New Roman" w:eastAsia="宋体" w:cs="Times New Roman"/>
          <w:b/>
          <w:bCs/>
          <w:color w:val="auto"/>
          <w:spacing w:val="0"/>
          <w:sz w:val="28"/>
          <w:highlight w:val="none"/>
        </w:rPr>
        <w:t>委托方（甲方）：重庆三峡银行股份有限公司</w:t>
      </w:r>
    </w:p>
    <w:p w14:paraId="41CEEC66">
      <w:pPr>
        <w:keepNext w:val="0"/>
        <w:keepLines w:val="0"/>
        <w:pageBreakBefore w:val="0"/>
        <w:widowControl w:val="0"/>
        <w:tabs>
          <w:tab w:val="right" w:pos="8312"/>
        </w:tabs>
        <w:kinsoku/>
        <w:wordWrap/>
        <w:overflowPunct/>
        <w:topLinePunct w:val="0"/>
        <w:autoSpaceDE w:val="0"/>
        <w:autoSpaceDN w:val="0"/>
        <w:bidi w:val="0"/>
        <w:adjustRightInd/>
        <w:snapToGrid/>
        <w:spacing w:line="360" w:lineRule="auto"/>
        <w:ind w:left="839" w:firstLine="0" w:firstLineChars="0"/>
        <w:textAlignment w:val="auto"/>
        <w:rPr>
          <w:rFonts w:hint="default" w:ascii="Times New Roman" w:hAnsi="Times New Roman" w:eastAsia="宋体" w:cs="Times New Roman"/>
          <w:b/>
          <w:bCs/>
          <w:color w:val="auto"/>
          <w:spacing w:val="0"/>
          <w:sz w:val="28"/>
          <w:highlight w:val="none"/>
        </w:rPr>
      </w:pPr>
      <w:r>
        <w:rPr>
          <w:rFonts w:hint="default" w:ascii="Times New Roman" w:hAnsi="Times New Roman" w:eastAsia="宋体" w:cs="Times New Roman"/>
          <w:b/>
          <w:bCs/>
          <w:color w:val="auto"/>
          <w:spacing w:val="0"/>
          <w:sz w:val="28"/>
          <w:highlight w:val="none"/>
        </w:rPr>
        <w:t>受托方（乙方）：</w:t>
      </w:r>
      <w:r>
        <w:rPr>
          <w:rFonts w:hint="default" w:ascii="Times New Roman" w:hAnsi="Times New Roman" w:eastAsia="宋体" w:cs="Times New Roman"/>
          <w:b/>
          <w:bCs/>
          <w:color w:val="auto"/>
          <w:spacing w:val="0"/>
          <w:sz w:val="28"/>
          <w:highlight w:val="none"/>
        </w:rPr>
        <w:tab/>
      </w:r>
    </w:p>
    <w:p w14:paraId="6403B313">
      <w:pPr>
        <w:keepNext w:val="0"/>
        <w:keepLines w:val="0"/>
        <w:pageBreakBefore w:val="0"/>
        <w:widowControl w:val="0"/>
        <w:kinsoku/>
        <w:wordWrap/>
        <w:overflowPunct/>
        <w:topLinePunct w:val="0"/>
        <w:autoSpaceDE w:val="0"/>
        <w:autoSpaceDN w:val="0"/>
        <w:bidi w:val="0"/>
        <w:adjustRightInd/>
        <w:snapToGrid/>
        <w:spacing w:line="360" w:lineRule="auto"/>
        <w:ind w:left="839" w:firstLine="0" w:firstLineChars="0"/>
        <w:textAlignment w:val="auto"/>
        <w:rPr>
          <w:rFonts w:hint="default" w:ascii="Times New Roman" w:hAnsi="Times New Roman" w:eastAsia="宋体" w:cs="Times New Roman"/>
          <w:b/>
          <w:color w:val="auto"/>
          <w:spacing w:val="0"/>
          <w:highlight w:val="none"/>
        </w:rPr>
      </w:pPr>
      <w:r>
        <w:rPr>
          <w:rFonts w:hint="default" w:ascii="Times New Roman" w:hAnsi="Times New Roman" w:eastAsia="宋体" w:cs="Times New Roman"/>
          <w:b/>
          <w:bCs/>
          <w:color w:val="auto"/>
          <w:spacing w:val="0"/>
          <w:sz w:val="28"/>
          <w:highlight w:val="none"/>
        </w:rPr>
        <w:t>签订地点</w:t>
      </w:r>
      <w:r>
        <w:rPr>
          <w:rFonts w:hint="default" w:ascii="Times New Roman" w:hAnsi="Times New Roman" w:eastAsia="宋体" w:cs="Times New Roman"/>
          <w:b/>
          <w:color w:val="auto"/>
          <w:spacing w:val="0"/>
          <w:sz w:val="28"/>
          <w:highlight w:val="none"/>
        </w:rPr>
        <w:t>：重庆</w:t>
      </w:r>
    </w:p>
    <w:p w14:paraId="34246319">
      <w:pPr>
        <w:spacing w:line="360" w:lineRule="auto"/>
        <w:rPr>
          <w:rFonts w:hint="default" w:ascii="Times New Roman" w:hAnsi="Times New Roman" w:cs="Times New Roman"/>
          <w:b/>
          <w:color w:val="auto"/>
          <w:spacing w:val="0"/>
          <w:sz w:val="32"/>
          <w:highlight w:val="none"/>
        </w:rPr>
      </w:pPr>
    </w:p>
    <w:p w14:paraId="18CA9AD6">
      <w:pPr>
        <w:spacing w:line="360" w:lineRule="auto"/>
        <w:jc w:val="center"/>
        <w:rPr>
          <w:rFonts w:hint="default" w:ascii="Times New Roman" w:hAnsi="Times New Roman" w:eastAsia="宋体" w:cs="Times New Roman"/>
          <w:b/>
          <w:color w:val="auto"/>
          <w:spacing w:val="0"/>
          <w:sz w:val="32"/>
          <w:szCs w:val="32"/>
          <w:highlight w:val="none"/>
        </w:rPr>
      </w:pPr>
      <w:r>
        <w:rPr>
          <w:rFonts w:hint="default" w:ascii="Times New Roman" w:hAnsi="Times New Roman" w:cs="Times New Roman"/>
          <w:color w:val="auto"/>
          <w:spacing w:val="0"/>
          <w:highlight w:val="none"/>
        </w:rPr>
        <w:br w:type="page"/>
      </w:r>
      <w:r>
        <w:rPr>
          <w:rFonts w:hint="default" w:ascii="Times New Roman" w:hAnsi="Times New Roman" w:eastAsia="宋体" w:cs="Times New Roman"/>
          <w:b/>
          <w:color w:val="auto"/>
          <w:spacing w:val="0"/>
          <w:sz w:val="32"/>
          <w:szCs w:val="32"/>
          <w:highlight w:val="none"/>
        </w:rPr>
        <w:t>目录</w:t>
      </w:r>
    </w:p>
    <w:p w14:paraId="687C6415">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eastAsia="宋体" w:cs="Times New Roman"/>
          <w:color w:val="auto"/>
          <w:spacing w:val="0"/>
          <w:highlight w:val="none"/>
        </w:rPr>
        <w:fldChar w:fldCharType="begin"/>
      </w:r>
      <w:r>
        <w:rPr>
          <w:rFonts w:hint="default" w:ascii="Times New Roman" w:hAnsi="Times New Roman" w:eastAsia="宋体" w:cs="Times New Roman"/>
          <w:color w:val="auto"/>
          <w:spacing w:val="0"/>
          <w:highlight w:val="none"/>
        </w:rPr>
        <w:instrText xml:space="preserve"> TOC \o "1-3" \n \h \z \u </w:instrText>
      </w:r>
      <w:r>
        <w:rPr>
          <w:rFonts w:hint="default" w:ascii="Times New Roman" w:hAnsi="Times New Roman" w:eastAsia="宋体" w:cs="Times New Roman"/>
          <w:color w:val="auto"/>
          <w:spacing w:val="0"/>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"_Toc84948025"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第一条定义</w:t>
      </w:r>
      <w:r>
        <w:rPr>
          <w:rFonts w:hint="default" w:ascii="Times New Roman" w:hAnsi="Times New Roman" w:eastAsia="宋体" w:cs="Times New Roman"/>
          <w:b/>
          <w:color w:val="auto"/>
          <w:highlight w:val="none"/>
        </w:rPr>
        <w:fldChar w:fldCharType="end"/>
      </w:r>
    </w:p>
    <w:p w14:paraId="150F37FA">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"_Toc84948026"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第二条项目名称、内容及要求</w:t>
      </w:r>
      <w:r>
        <w:rPr>
          <w:rFonts w:hint="default" w:ascii="Times New Roman" w:hAnsi="Times New Roman" w:eastAsia="宋体" w:cs="Times New Roman"/>
          <w:b/>
          <w:color w:val="auto"/>
          <w:highlight w:val="none"/>
        </w:rPr>
        <w:fldChar w:fldCharType="end"/>
      </w:r>
    </w:p>
    <w:p w14:paraId="61191D36">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"_Toc84948027"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第三条项目履行的进度、期限、地点、地域、方式</w:t>
      </w:r>
      <w:r>
        <w:rPr>
          <w:rFonts w:hint="default" w:ascii="Times New Roman" w:hAnsi="Times New Roman" w:eastAsia="宋体" w:cs="Times New Roman"/>
          <w:b/>
          <w:color w:val="auto"/>
          <w:highlight w:val="none"/>
        </w:rPr>
        <w:fldChar w:fldCharType="end"/>
      </w:r>
    </w:p>
    <w:p w14:paraId="25B5F7BB">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"_Toc84948028"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第四条方案调整</w:t>
      </w:r>
      <w:r>
        <w:rPr>
          <w:rFonts w:hint="default" w:ascii="Times New Roman" w:hAnsi="Times New Roman" w:eastAsia="宋体" w:cs="Times New Roman"/>
          <w:b/>
          <w:color w:val="auto"/>
          <w:highlight w:val="none"/>
        </w:rPr>
        <w:fldChar w:fldCharType="end"/>
      </w:r>
    </w:p>
    <w:p w14:paraId="63EACF85">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"_Toc84948029"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第五条验收</w:t>
      </w:r>
      <w:r>
        <w:rPr>
          <w:rFonts w:hint="default" w:ascii="Times New Roman" w:hAnsi="Times New Roman" w:eastAsia="宋体" w:cs="Times New Roman"/>
          <w:b/>
          <w:color w:val="auto"/>
          <w:highlight w:val="none"/>
        </w:rPr>
        <w:fldChar w:fldCharType="end"/>
      </w:r>
    </w:p>
    <w:p w14:paraId="03AF71D9">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"_Toc84948030"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第六条交付使用后维护期、系统完善和保修维护服务</w:t>
      </w:r>
      <w:r>
        <w:rPr>
          <w:rFonts w:hint="default" w:ascii="Times New Roman" w:hAnsi="Times New Roman" w:eastAsia="宋体" w:cs="Times New Roman"/>
          <w:b/>
          <w:color w:val="auto"/>
          <w:highlight w:val="none"/>
        </w:rPr>
        <w:fldChar w:fldCharType="end"/>
      </w:r>
    </w:p>
    <w:p w14:paraId="5A7E69E1">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"_Toc84948031"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第七条技术辅导与培训</w:t>
      </w:r>
      <w:r>
        <w:rPr>
          <w:rFonts w:hint="default" w:ascii="Times New Roman" w:hAnsi="Times New Roman" w:eastAsia="宋体" w:cs="Times New Roman"/>
          <w:b/>
          <w:color w:val="auto"/>
          <w:highlight w:val="none"/>
        </w:rPr>
        <w:fldChar w:fldCharType="end"/>
      </w:r>
    </w:p>
    <w:p w14:paraId="42D8D925">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第八条双方的权利、义务</w:t>
      </w:r>
      <w:r>
        <w:rPr>
          <w:rFonts w:hint="default" w:ascii="Times New Roman" w:hAnsi="Times New Roman" w:eastAsia="宋体" w:cs="Times New Roman"/>
          <w:b/>
          <w:color w:val="auto"/>
          <w:highlight w:val="none"/>
        </w:rPr>
        <w:fldChar w:fldCharType="end"/>
      </w:r>
    </w:p>
    <w:p w14:paraId="220DA4CF">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"_Toc84948033"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第九条乙方的声明与保证</w:t>
      </w:r>
      <w:r>
        <w:rPr>
          <w:rFonts w:hint="default" w:ascii="Times New Roman" w:hAnsi="Times New Roman" w:eastAsia="宋体" w:cs="Times New Roman"/>
          <w:b/>
          <w:color w:val="auto"/>
          <w:highlight w:val="none"/>
        </w:rPr>
        <w:fldChar w:fldCharType="end"/>
      </w:r>
    </w:p>
    <w:p w14:paraId="10BB1DA0">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"_Toc84948034"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第十条知识产权</w:t>
      </w:r>
      <w:r>
        <w:rPr>
          <w:rFonts w:hint="default" w:ascii="Times New Roman" w:hAnsi="Times New Roman" w:eastAsia="宋体" w:cs="Times New Roman"/>
          <w:b/>
          <w:color w:val="auto"/>
          <w:highlight w:val="none"/>
        </w:rPr>
        <w:fldChar w:fldCharType="end"/>
      </w:r>
    </w:p>
    <w:p w14:paraId="6D687F24">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第十一条第三方索赔</w:t>
      </w:r>
      <w:r>
        <w:rPr>
          <w:rFonts w:hint="default" w:ascii="Times New Roman" w:hAnsi="Times New Roman" w:eastAsia="宋体" w:cs="Times New Roman"/>
          <w:b/>
          <w:color w:val="auto"/>
          <w:highlight w:val="none"/>
        </w:rPr>
        <w:fldChar w:fldCharType="end"/>
      </w:r>
    </w:p>
    <w:p w14:paraId="68BC923E">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"_Toc84948036"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第十二条保密</w:t>
      </w:r>
      <w:r>
        <w:rPr>
          <w:rFonts w:hint="default" w:ascii="Times New Roman" w:hAnsi="Times New Roman" w:eastAsia="宋体" w:cs="Times New Roman"/>
          <w:b/>
          <w:color w:val="auto"/>
          <w:highlight w:val="none"/>
        </w:rPr>
        <w:fldChar w:fldCharType="end"/>
      </w:r>
    </w:p>
    <w:p w14:paraId="0AAD2CD4">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"_Toc84948037"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第十三条价格与支付</w:t>
      </w:r>
      <w:r>
        <w:rPr>
          <w:rFonts w:hint="default" w:ascii="Times New Roman" w:hAnsi="Times New Roman" w:eastAsia="宋体" w:cs="Times New Roman"/>
          <w:b/>
          <w:color w:val="auto"/>
          <w:highlight w:val="none"/>
        </w:rPr>
        <w:fldChar w:fldCharType="end"/>
      </w:r>
    </w:p>
    <w:p w14:paraId="5BA2940B">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"_Toc84948038"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第十四条风险责任的承担</w:t>
      </w:r>
      <w:r>
        <w:rPr>
          <w:rFonts w:hint="default" w:ascii="Times New Roman" w:hAnsi="Times New Roman" w:eastAsia="宋体" w:cs="Times New Roman"/>
          <w:b/>
          <w:color w:val="auto"/>
          <w:highlight w:val="none"/>
        </w:rPr>
        <w:fldChar w:fldCharType="end"/>
      </w:r>
    </w:p>
    <w:p w14:paraId="30F0EA3E">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"_Toc84948039"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第十五条违约与赔偿</w:t>
      </w:r>
      <w:r>
        <w:rPr>
          <w:rFonts w:hint="default" w:ascii="Times New Roman" w:hAnsi="Times New Roman" w:eastAsia="宋体" w:cs="Times New Roman"/>
          <w:b/>
          <w:color w:val="auto"/>
          <w:highlight w:val="none"/>
        </w:rPr>
        <w:fldChar w:fldCharType="end"/>
      </w:r>
    </w:p>
    <w:p w14:paraId="0ADC8B0D">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"_Toc84948040"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第十六条合同的解除</w:t>
      </w:r>
      <w:r>
        <w:rPr>
          <w:rFonts w:hint="default" w:ascii="Times New Roman" w:hAnsi="Times New Roman" w:eastAsia="宋体" w:cs="Times New Roman"/>
          <w:b/>
          <w:color w:val="auto"/>
          <w:highlight w:val="none"/>
        </w:rPr>
        <w:fldChar w:fldCharType="end"/>
      </w:r>
    </w:p>
    <w:p w14:paraId="59495AB7">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"_Toc84948041"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第十七条合同变更及转让</w:t>
      </w:r>
      <w:r>
        <w:rPr>
          <w:rFonts w:hint="default" w:ascii="Times New Roman" w:hAnsi="Times New Roman" w:eastAsia="宋体" w:cs="Times New Roman"/>
          <w:b/>
          <w:color w:val="auto"/>
          <w:highlight w:val="none"/>
        </w:rPr>
        <w:fldChar w:fldCharType="end"/>
      </w:r>
    </w:p>
    <w:p w14:paraId="7DE38CA7">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第十八条争议解决</w:t>
      </w:r>
      <w:r>
        <w:rPr>
          <w:rFonts w:hint="default" w:ascii="Times New Roman" w:hAnsi="Times New Roman" w:eastAsia="宋体" w:cs="Times New Roman"/>
          <w:b/>
          <w:color w:val="auto"/>
          <w:highlight w:val="none"/>
        </w:rPr>
        <w:fldChar w:fldCharType="end"/>
      </w:r>
    </w:p>
    <w:p w14:paraId="01DE12E5">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"_Toc84948043"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第十九条通知与送达</w:t>
      </w:r>
      <w:r>
        <w:rPr>
          <w:rFonts w:hint="default" w:ascii="Times New Roman" w:hAnsi="Times New Roman" w:eastAsia="宋体" w:cs="Times New Roman"/>
          <w:b/>
          <w:color w:val="auto"/>
          <w:highlight w:val="none"/>
        </w:rPr>
        <w:fldChar w:fldCharType="end"/>
      </w:r>
    </w:p>
    <w:p w14:paraId="49D8A5C9">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"_Toc84948044"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第二十条合同生效</w:t>
      </w:r>
      <w:r>
        <w:rPr>
          <w:rFonts w:hint="default" w:ascii="Times New Roman" w:hAnsi="Times New Roman" w:eastAsia="宋体" w:cs="Times New Roman"/>
          <w:b/>
          <w:color w:val="auto"/>
          <w:highlight w:val="none"/>
        </w:rPr>
        <w:fldChar w:fldCharType="end"/>
      </w:r>
    </w:p>
    <w:p w14:paraId="4EE3AA47">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第二十一条不可抗力</w:t>
      </w:r>
      <w:r>
        <w:rPr>
          <w:rFonts w:hint="default" w:ascii="Times New Roman" w:hAnsi="Times New Roman" w:eastAsia="宋体" w:cs="Times New Roman"/>
          <w:b/>
          <w:color w:val="auto"/>
          <w:highlight w:val="none"/>
        </w:rPr>
        <w:fldChar w:fldCharType="end"/>
      </w:r>
    </w:p>
    <w:p w14:paraId="1103D763">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"_Toc84948046"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第二十二条反商业贿赂</w:t>
      </w:r>
      <w:r>
        <w:rPr>
          <w:rFonts w:hint="default" w:ascii="Times New Roman" w:hAnsi="Times New Roman" w:eastAsia="宋体" w:cs="Times New Roman"/>
          <w:b/>
          <w:color w:val="auto"/>
          <w:highlight w:val="none"/>
        </w:rPr>
        <w:fldChar w:fldCharType="end"/>
      </w:r>
    </w:p>
    <w:p w14:paraId="284F9696">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"_Toc84948047"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第二十三条附件</w:t>
      </w:r>
      <w:r>
        <w:rPr>
          <w:rFonts w:hint="default" w:ascii="Times New Roman" w:hAnsi="Times New Roman" w:eastAsia="宋体" w:cs="Times New Roman"/>
          <w:b/>
          <w:color w:val="auto"/>
          <w:highlight w:val="none"/>
        </w:rPr>
        <w:fldChar w:fldCharType="end"/>
      </w:r>
    </w:p>
    <w:p w14:paraId="1516861D">
      <w:pPr>
        <w:pStyle w:val="11"/>
        <w:tabs>
          <w:tab w:val="right" w:leader="dot" w:pos="8302"/>
        </w:tabs>
        <w:rPr>
          <w:rFonts w:hint="default" w:ascii="Times New Roman" w:hAnsi="Times New Roman" w:eastAsia="宋体" w:cs="Times New Roman"/>
          <w:color w:val="auto"/>
          <w:spacing w:val="0"/>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"_Toc84948048"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b/>
          <w:color w:val="auto"/>
          <w:highlight w:val="none"/>
        </w:rPr>
        <w:t>第二十四条其他</w:t>
      </w:r>
      <w:r>
        <w:rPr>
          <w:rFonts w:hint="default" w:ascii="Times New Roman" w:hAnsi="Times New Roman" w:eastAsia="宋体" w:cs="Times New Roman"/>
          <w:b/>
          <w:color w:val="auto"/>
          <w:highlight w:val="none"/>
        </w:rPr>
        <w:fldChar w:fldCharType="end"/>
      </w:r>
    </w:p>
    <w:p w14:paraId="334F8820">
      <w:pPr>
        <w:pStyle w:val="11"/>
        <w:tabs>
          <w:tab w:val="right" w:leader="dot" w:pos="8302"/>
        </w:tabs>
        <w:spacing w:line="35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fldChar w:fldCharType="end"/>
      </w:r>
    </w:p>
    <w:p w14:paraId="3008C303">
      <w:pPr>
        <w:spacing w:line="360" w:lineRule="auto"/>
        <w:rPr>
          <w:rFonts w:hint="default" w:ascii="Times New Roman" w:hAnsi="Times New Roman" w:eastAsia="宋体" w:cs="Times New Roman"/>
          <w:color w:val="auto"/>
          <w:spacing w:val="0"/>
          <w:highlight w:val="none"/>
        </w:rPr>
      </w:pPr>
    </w:p>
    <w:p w14:paraId="6CF06AEB">
      <w:pPr>
        <w:spacing w:line="360" w:lineRule="auto"/>
        <w:rPr>
          <w:rFonts w:hint="default" w:ascii="Times New Roman" w:hAnsi="Times New Roman" w:eastAsia="宋体" w:cs="Times New Roman"/>
          <w:b/>
          <w:color w:val="auto"/>
          <w:spacing w:val="0"/>
          <w:highlight w:val="none"/>
          <w:u w:val="single"/>
        </w:rPr>
      </w:pPr>
      <w:r>
        <w:rPr>
          <w:rFonts w:hint="default" w:ascii="Times New Roman" w:hAnsi="Times New Roman" w:eastAsia="宋体" w:cs="Times New Roman"/>
          <w:color w:val="auto"/>
          <w:spacing w:val="0"/>
          <w:highlight w:val="none"/>
        </w:rPr>
        <w:br w:type="page"/>
      </w:r>
      <w:r>
        <w:rPr>
          <w:rFonts w:hint="default" w:ascii="Times New Roman" w:hAnsi="Times New Roman" w:eastAsia="宋体" w:cs="Times New Roman"/>
          <w:b/>
          <w:color w:val="auto"/>
          <w:spacing w:val="0"/>
          <w:highlight w:val="none"/>
        </w:rPr>
        <w:t>委托方: 重庆三峡银行股份有限公司（以下简称</w:t>
      </w:r>
      <w:r>
        <w:rPr>
          <w:rFonts w:hint="eastAsia" w:ascii="Times New Roman" w:hAnsi="Times New Roman" w:cs="Times New Roman"/>
          <w:b/>
          <w:color w:val="auto"/>
          <w:spacing w:val="0"/>
          <w:highlight w:val="none"/>
          <w:lang w:eastAsia="zh-CN"/>
        </w:rPr>
        <w:t>“</w:t>
      </w:r>
      <w:r>
        <w:rPr>
          <w:rFonts w:hint="default" w:ascii="Times New Roman" w:hAnsi="Times New Roman" w:eastAsia="宋体" w:cs="Times New Roman"/>
          <w:b/>
          <w:color w:val="auto"/>
          <w:spacing w:val="0"/>
          <w:highlight w:val="none"/>
        </w:rPr>
        <w:t>甲方</w:t>
      </w:r>
      <w:r>
        <w:rPr>
          <w:rFonts w:hint="eastAsia" w:ascii="Times New Roman" w:hAnsi="Times New Roman" w:cs="Times New Roman"/>
          <w:b/>
          <w:color w:val="auto"/>
          <w:spacing w:val="0"/>
          <w:highlight w:val="none"/>
          <w:lang w:eastAsia="zh-CN"/>
        </w:rPr>
        <w:t>”</w:t>
      </w:r>
      <w:r>
        <w:rPr>
          <w:rFonts w:hint="default" w:ascii="Times New Roman" w:hAnsi="Times New Roman" w:eastAsia="宋体" w:cs="Times New Roman"/>
          <w:b/>
          <w:color w:val="auto"/>
          <w:spacing w:val="0"/>
          <w:highlight w:val="none"/>
        </w:rPr>
        <w:t>）</w:t>
      </w:r>
    </w:p>
    <w:p w14:paraId="60C85743">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法定代表人：刘江桥</w:t>
      </w:r>
    </w:p>
    <w:p w14:paraId="2466151D">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地址：重庆市渝北区嘉州路88号中渝国际都会4号写字楼</w:t>
      </w:r>
    </w:p>
    <w:p w14:paraId="29F99C2E">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邮政编码：</w:t>
      </w:r>
    </w:p>
    <w:p w14:paraId="291D9148">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联系人：</w:t>
      </w:r>
    </w:p>
    <w:p w14:paraId="66E5B176">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电话：</w:t>
      </w:r>
    </w:p>
    <w:p w14:paraId="3304575E">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电子邮箱：</w:t>
      </w:r>
    </w:p>
    <w:p w14:paraId="200BB34F">
      <w:pPr>
        <w:spacing w:line="360" w:lineRule="auto"/>
        <w:rPr>
          <w:rFonts w:hint="default" w:ascii="Times New Roman" w:hAnsi="Times New Roman" w:eastAsia="宋体" w:cs="Times New Roman"/>
          <w:color w:val="auto"/>
          <w:spacing w:val="0"/>
          <w:highlight w:val="none"/>
        </w:rPr>
      </w:pPr>
    </w:p>
    <w:p w14:paraId="7AF4353A">
      <w:pPr>
        <w:spacing w:line="360" w:lineRule="auto"/>
        <w:rPr>
          <w:rFonts w:hint="default" w:ascii="Times New Roman" w:hAnsi="Times New Roman" w:eastAsia="宋体" w:cs="Times New Roman"/>
          <w:b/>
          <w:color w:val="auto"/>
          <w:spacing w:val="0"/>
          <w:highlight w:val="none"/>
        </w:rPr>
      </w:pPr>
      <w:r>
        <w:rPr>
          <w:rFonts w:hint="default" w:ascii="Times New Roman" w:hAnsi="Times New Roman" w:eastAsia="宋体" w:cs="Times New Roman"/>
          <w:b/>
          <w:color w:val="auto"/>
          <w:spacing w:val="0"/>
          <w:highlight w:val="none"/>
        </w:rPr>
        <w:t>受托方：XXXXXXXXXXXXX（以下简称</w:t>
      </w:r>
      <w:r>
        <w:rPr>
          <w:rFonts w:hint="eastAsia" w:ascii="Times New Roman" w:hAnsi="Times New Roman" w:cs="Times New Roman"/>
          <w:b/>
          <w:color w:val="auto"/>
          <w:spacing w:val="0"/>
          <w:highlight w:val="none"/>
          <w:lang w:eastAsia="zh-CN"/>
        </w:rPr>
        <w:t>“</w:t>
      </w:r>
      <w:r>
        <w:rPr>
          <w:rFonts w:hint="default" w:ascii="Times New Roman" w:hAnsi="Times New Roman" w:eastAsia="宋体" w:cs="Times New Roman"/>
          <w:b/>
          <w:color w:val="auto"/>
          <w:spacing w:val="0"/>
          <w:highlight w:val="none"/>
        </w:rPr>
        <w:t>乙方</w:t>
      </w:r>
      <w:r>
        <w:rPr>
          <w:rFonts w:hint="eastAsia" w:ascii="Times New Roman" w:hAnsi="Times New Roman" w:cs="Times New Roman"/>
          <w:b/>
          <w:color w:val="auto"/>
          <w:spacing w:val="0"/>
          <w:highlight w:val="none"/>
          <w:lang w:eastAsia="zh-CN"/>
        </w:rPr>
        <w:t>”</w:t>
      </w:r>
      <w:r>
        <w:rPr>
          <w:rFonts w:hint="default" w:ascii="Times New Roman" w:hAnsi="Times New Roman" w:eastAsia="宋体" w:cs="Times New Roman"/>
          <w:b/>
          <w:color w:val="auto"/>
          <w:spacing w:val="0"/>
          <w:highlight w:val="none"/>
        </w:rPr>
        <w:t>）</w:t>
      </w:r>
    </w:p>
    <w:p w14:paraId="43F2E506">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 xml:space="preserve">法定代表人： </w:t>
      </w:r>
    </w:p>
    <w:p w14:paraId="7E489774">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地址：</w:t>
      </w:r>
    </w:p>
    <w:p w14:paraId="35328DA9">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邮政编码：</w:t>
      </w:r>
    </w:p>
    <w:p w14:paraId="50CAD643">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 xml:space="preserve">开户银行： </w:t>
      </w:r>
    </w:p>
    <w:p w14:paraId="14BE4543">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账号：</w:t>
      </w:r>
    </w:p>
    <w:p w14:paraId="317787DA">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税号：</w:t>
      </w:r>
    </w:p>
    <w:p w14:paraId="5DE07449">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 xml:space="preserve">联系人： </w:t>
      </w:r>
    </w:p>
    <w:p w14:paraId="56AA0383">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电话：</w:t>
      </w:r>
    </w:p>
    <w:p w14:paraId="1C8F72A1">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手机：</w:t>
      </w:r>
    </w:p>
    <w:p w14:paraId="3B031620">
      <w:pPr>
        <w:spacing w:line="360" w:lineRule="auto"/>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传真：</w:t>
      </w:r>
    </w:p>
    <w:p w14:paraId="532BCF48">
      <w:pPr>
        <w:spacing w:line="360" w:lineRule="auto"/>
        <w:rPr>
          <w:rFonts w:hint="default" w:ascii="Times New Roman" w:hAnsi="Times New Roman" w:eastAsia="宋体" w:cs="Times New Roman"/>
          <w:color w:val="auto"/>
          <w:spacing w:val="0"/>
          <w:highlight w:val="none"/>
          <w:lang w:val="en-GB"/>
        </w:rPr>
      </w:pPr>
      <w:r>
        <w:rPr>
          <w:rFonts w:hint="default" w:ascii="Times New Roman" w:hAnsi="Times New Roman" w:eastAsia="宋体" w:cs="Times New Roman"/>
          <w:color w:val="auto"/>
          <w:spacing w:val="0"/>
          <w:highlight w:val="none"/>
        </w:rPr>
        <w:t>电子邮箱：</w:t>
      </w:r>
    </w:p>
    <w:p w14:paraId="22F8F250">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r>
        <w:rPr>
          <w:rFonts w:hint="default" w:ascii="Times New Roman" w:hAnsi="Times New Roman" w:eastAsia="宋体" w:cs="Times New Roman"/>
          <w:b/>
          <w:color w:val="auto"/>
          <w:spacing w:val="0"/>
          <w:highlight w:val="none"/>
        </w:rPr>
        <w:br w:type="page"/>
      </w:r>
      <w:r>
        <w:rPr>
          <w:rFonts w:hint="default" w:ascii="Times New Roman" w:hAnsi="Times New Roman" w:eastAsia="宋体" w:cs="Times New Roman"/>
          <w:b/>
          <w:color w:val="auto"/>
          <w:spacing w:val="0"/>
          <w:highlight w:val="none"/>
        </w:rPr>
        <w:t>鉴于：</w:t>
      </w:r>
    </w:p>
    <w:p w14:paraId="784ADBD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乙方具有良好的开发实施能力，甲乙双方经友好协商并达成一致，依据相关法律、法规的规定，就甲方委托乙方进行项目实施与技术支持，向乙方订购</w:t>
      </w:r>
      <w:r>
        <w:rPr>
          <w:rStyle w:val="49"/>
          <w:rFonts w:hint="eastAsia" w:ascii="Times New Roman" w:hAnsi="Times New Roman" w:cs="Times New Roman"/>
          <w:color w:val="auto"/>
          <w:spacing w:val="0"/>
          <w:kern w:val="0"/>
          <w:highlight w:val="none"/>
          <w:lang w:val="en-US" w:eastAsia="zh-CN"/>
        </w:rPr>
        <w:t>湖仓一体底座</w:t>
      </w:r>
      <w:r>
        <w:rPr>
          <w:rStyle w:val="49"/>
          <w:rFonts w:hint="default" w:ascii="Times New Roman" w:hAnsi="Times New Roman" w:eastAsia="宋体" w:cs="Times New Roman"/>
          <w:color w:val="auto"/>
          <w:spacing w:val="0"/>
          <w:kern w:val="0"/>
          <w:highlight w:val="none"/>
        </w:rPr>
        <w:t>（含定制化开发）</w:t>
      </w:r>
      <w:r>
        <w:rPr>
          <w:rStyle w:val="49"/>
          <w:rFonts w:hint="eastAsia" w:ascii="Times New Roman" w:hAnsi="Times New Roman" w:cs="Times New Roman"/>
          <w:color w:val="auto"/>
          <w:spacing w:val="0"/>
          <w:kern w:val="0"/>
          <w:highlight w:val="none"/>
          <w:lang w:val="en-US" w:eastAsia="zh-CN"/>
        </w:rPr>
        <w:t>、数据作业平台</w:t>
      </w:r>
      <w:r>
        <w:rPr>
          <w:rStyle w:val="49"/>
          <w:rFonts w:hint="default" w:ascii="Times New Roman" w:hAnsi="Times New Roman" w:eastAsia="宋体" w:cs="Times New Roman"/>
          <w:color w:val="auto"/>
          <w:spacing w:val="0"/>
          <w:kern w:val="0"/>
          <w:highlight w:val="none"/>
        </w:rPr>
        <w:t>（含定制化开发）</w:t>
      </w:r>
      <w:r>
        <w:rPr>
          <w:rStyle w:val="49"/>
          <w:rFonts w:hint="eastAsia" w:ascii="Times New Roman" w:hAnsi="Times New Roman" w:cs="Times New Roman"/>
          <w:color w:val="auto"/>
          <w:spacing w:val="0"/>
          <w:kern w:val="0"/>
          <w:highlight w:val="none"/>
          <w:lang w:val="en-US" w:eastAsia="zh-CN"/>
        </w:rPr>
        <w:t>以及新一代数据中台实施与迁移</w:t>
      </w:r>
      <w:r>
        <w:rPr>
          <w:rStyle w:val="49"/>
          <w:rFonts w:hint="default" w:ascii="Times New Roman" w:hAnsi="Times New Roman" w:eastAsia="宋体" w:cs="Times New Roman"/>
          <w:color w:val="auto"/>
          <w:spacing w:val="0"/>
          <w:kern w:val="0"/>
          <w:highlight w:val="none"/>
        </w:rPr>
        <w:t>的相关事宜订立本合同，</w:t>
      </w:r>
      <w:r>
        <w:rPr>
          <w:rFonts w:hint="default" w:ascii="Times New Roman" w:hAnsi="Times New Roman" w:eastAsia="宋体" w:cs="Times New Roman"/>
          <w:color w:val="auto"/>
          <w:spacing w:val="0"/>
          <w:highlight w:val="none"/>
        </w:rPr>
        <w:t>以资信守：</w:t>
      </w:r>
    </w:p>
    <w:p w14:paraId="5212A3F2">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66" w:name="_Toc84948025"/>
      <w:r>
        <w:rPr>
          <w:rFonts w:hint="default" w:ascii="Times New Roman" w:hAnsi="Times New Roman" w:eastAsia="宋体" w:cs="Times New Roman"/>
          <w:b/>
          <w:color w:val="auto"/>
          <w:spacing w:val="0"/>
          <w:highlight w:val="none"/>
        </w:rPr>
        <w:t>第一条 定义</w:t>
      </w:r>
      <w:bookmarkEnd w:id="266"/>
    </w:p>
    <w:p w14:paraId="71B17C7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在本合同中，除非有相反的表述，下列术语具有如下含义：</w:t>
      </w:r>
    </w:p>
    <w:p w14:paraId="4D06824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项目</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系指乙方受甲方委托，单独为本合同目的依据合同附件一《工作（需求）说明书》的产品实施与数据迁移服务。</w:t>
      </w:r>
    </w:p>
    <w:p w14:paraId="7F00EF2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1.2</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客户化工作</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指项目交付乙方后乙方对甲方的需求进行开发实施。</w:t>
      </w:r>
    </w:p>
    <w:p w14:paraId="210BD9CA">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产品实施数据迁移</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指乙方产品的安装配置和业务数据迁移服务。</w:t>
      </w:r>
    </w:p>
    <w:p w14:paraId="5AEC80FA">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1.4</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XXXXXXXX</w:t>
      </w:r>
      <w:r>
        <w:rPr>
          <w:rFonts w:hint="default" w:ascii="Times New Roman" w:hAnsi="Times New Roman" w:eastAsia="宋体" w:cs="Times New Roman"/>
          <w:color w:val="auto"/>
          <w:spacing w:val="0"/>
          <w:highlight w:val="none"/>
          <w:lang w:val="en-GB"/>
        </w:rPr>
        <w:t>系统</w:t>
      </w:r>
      <w:r>
        <w:rPr>
          <w:rFonts w:hint="default" w:ascii="Times New Roman" w:hAnsi="Times New Roman" w:eastAsia="宋体" w:cs="Times New Roman"/>
          <w:color w:val="auto"/>
          <w:spacing w:val="0"/>
          <w:highlight w:val="none"/>
        </w:rPr>
        <w:t>业务</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指乙方提供给甲方的附件一中所涵盖的业务功能。</w:t>
      </w:r>
    </w:p>
    <w:p w14:paraId="116345D5">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1.5</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缺陷逃逸率</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：后一测试阶段测试期间发现的缺陷个数/（当前测试期间所发现的缺陷个数+后一测试期间发现的缺陷个数）。</w:t>
      </w:r>
    </w:p>
    <w:p w14:paraId="1891FA99">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1.6</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试运行</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：项目上线后进入试运行阶段，项目试运行至少3个月。在试运行期间，甲方随时将发现的逃逸的缺陷通知乙方，乙方在最快的时间内予以响应。</w:t>
      </w:r>
    </w:p>
    <w:p w14:paraId="5F514E63">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1.7</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响应时间</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：指乙方就甲方提出的问题予以答复的时间。</w:t>
      </w:r>
    </w:p>
    <w:p w14:paraId="07546674">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1.8</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特别重大运营中断事件（I级）</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56AB1FF7">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1.9</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重大运营中断事件（II级）</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79E650E7">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 xml:space="preserve">1.10 </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较大运营中断事件（III级）</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787B27EC">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1.11</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致命缺陷</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91C282E">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1.12</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严重缺陷</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2D5F4E3E">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 xml:space="preserve">1.13 </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一般缺陷</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1D347867">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 xml:space="preserve">1.14 </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微小缺陷</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145222B">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1.15</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重大缺陷</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：指严重缺陷和致命缺陷。</w:t>
      </w:r>
    </w:p>
    <w:p w14:paraId="68F40EC2">
      <w:pPr>
        <w:keepNext w:val="0"/>
        <w:keepLines w:val="0"/>
        <w:pageBreakBefore w:val="0"/>
        <w:kinsoku/>
        <w:wordWrap/>
        <w:overflowPunct/>
        <w:topLinePunct w:val="0"/>
        <w:autoSpaceDE w:val="0"/>
        <w:autoSpaceDN w:val="0"/>
        <w:bidi w:val="0"/>
        <w:spacing w:line="360" w:lineRule="auto"/>
        <w:ind w:left="-2" w:leftChars="-1" w:firstLine="480" w:firstLineChars="200"/>
        <w:outlineLvl w:val="9"/>
        <w:rPr>
          <w:rFonts w:hint="default" w:ascii="Times New Roman" w:hAnsi="Times New Roman" w:eastAsia="宋体" w:cs="Times New Roman"/>
          <w:color w:val="auto"/>
          <w:spacing w:val="0"/>
          <w:highlight w:val="none"/>
        </w:rPr>
      </w:pPr>
    </w:p>
    <w:p w14:paraId="0D3BEF19">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67" w:name="_Toc84948026"/>
      <w:r>
        <w:rPr>
          <w:rFonts w:hint="default" w:ascii="Times New Roman" w:hAnsi="Times New Roman" w:eastAsia="宋体" w:cs="Times New Roman"/>
          <w:b/>
          <w:color w:val="auto"/>
          <w:spacing w:val="0"/>
          <w:highlight w:val="none"/>
        </w:rPr>
        <w:t>第二条</w:t>
      </w:r>
      <w:bookmarkStart w:id="268" w:name="_Toc58337493"/>
      <w:r>
        <w:rPr>
          <w:rFonts w:hint="default" w:ascii="Times New Roman" w:hAnsi="Times New Roman" w:eastAsia="宋体" w:cs="Times New Roman"/>
          <w:b/>
          <w:color w:val="auto"/>
          <w:spacing w:val="0"/>
          <w:highlight w:val="none"/>
        </w:rPr>
        <w:t xml:space="preserve"> 项目名称、内容及要求</w:t>
      </w:r>
      <w:bookmarkEnd w:id="267"/>
      <w:bookmarkEnd w:id="268"/>
    </w:p>
    <w:p w14:paraId="6C067D7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highlight w:val="none"/>
        </w:rPr>
        <w:t>2.1项目名称：</w:t>
      </w:r>
      <w:r>
        <w:rPr>
          <w:rFonts w:hint="eastAsia" w:ascii="Times New Roman" w:hAnsi="Times New Roman" w:cs="Times New Roman"/>
          <w:color w:val="auto"/>
          <w:spacing w:val="0"/>
          <w:highlight w:val="none"/>
          <w:lang w:val="en-US" w:eastAsia="zh-CN"/>
        </w:rPr>
        <w:t>新一代数据中台项目（一期）</w:t>
      </w:r>
    </w:p>
    <w:p w14:paraId="2EAC073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bookmarkStart w:id="269" w:name="_Toc58337494"/>
      <w:r>
        <w:rPr>
          <w:rFonts w:hint="default" w:ascii="Times New Roman" w:hAnsi="Times New Roman" w:eastAsia="宋体" w:cs="Times New Roman"/>
          <w:color w:val="auto"/>
          <w:spacing w:val="0"/>
          <w:highlight w:val="none"/>
        </w:rPr>
        <w:t>2.2项目内容、范围及要求</w:t>
      </w:r>
      <w:bookmarkEnd w:id="269"/>
    </w:p>
    <w:p w14:paraId="7D77A467">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本项目的主要建设内容包含引入和部署集成两套软件产品，并在此基础上完成湖仓实施及迁移重构。</w:t>
      </w:r>
    </w:p>
    <w:p w14:paraId="4D87F48A">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两套软件产品具体包括：一是以分布式大数据技术体系为主的湖仓一体底座，为新一代数据中台提供统一的数据基础设施，实现数据资产的集中管理和高效利用；二是以“</w:t>
      </w:r>
      <w:r>
        <w:rPr>
          <w:rFonts w:hint="default" w:ascii="Times New Roman" w:hAnsi="Times New Roman" w:eastAsia="宋体" w:cs="Times New Roman"/>
          <w:color w:val="auto"/>
          <w:spacing w:val="0"/>
          <w:highlight w:val="none"/>
        </w:rPr>
        <w:t>DataOps</w:t>
      </w:r>
      <w:r>
        <w:rPr>
          <w:rFonts w:hint="eastAsia" w:ascii="Times New Roman" w:hAnsi="Times New Roman" w:eastAsia="宋体" w:cs="Times New Roman"/>
          <w:color w:val="auto"/>
          <w:spacing w:val="0"/>
          <w:highlight w:val="none"/>
          <w:lang w:eastAsia="zh-CN"/>
        </w:rPr>
        <w:t>”</w:t>
      </w:r>
      <w:r>
        <w:rPr>
          <w:rFonts w:hint="default" w:ascii="Times New Roman" w:hAnsi="Times New Roman" w:eastAsia="宋体" w:cs="Times New Roman"/>
          <w:color w:val="auto"/>
          <w:spacing w:val="0"/>
          <w:highlight w:val="none"/>
        </w:rPr>
        <w:t>数据敏捷研发体系</w:t>
      </w:r>
      <w:r>
        <w:rPr>
          <w:rFonts w:hint="eastAsia" w:ascii="Times New Roman" w:hAnsi="Times New Roman" w:eastAsia="宋体" w:cs="Times New Roman"/>
          <w:color w:val="auto"/>
          <w:spacing w:val="0"/>
          <w:highlight w:val="none"/>
          <w:lang w:val="en-US" w:eastAsia="zh-CN"/>
        </w:rPr>
        <w:t>为基础</w:t>
      </w:r>
      <w:r>
        <w:rPr>
          <w:rFonts w:hint="eastAsia" w:ascii="Times New Roman" w:hAnsi="Times New Roman" w:eastAsia="宋体" w:cs="Times New Roman"/>
          <w:color w:val="auto"/>
          <w:spacing w:val="0"/>
          <w:highlight w:val="none"/>
          <w:lang w:eastAsia="zh-CN"/>
        </w:rPr>
        <w:t>，</w:t>
      </w:r>
      <w:r>
        <w:rPr>
          <w:rFonts w:hint="eastAsia" w:ascii="Times New Roman" w:hAnsi="Times New Roman" w:eastAsia="宋体" w:cs="Times New Roman"/>
          <w:color w:val="auto"/>
          <w:spacing w:val="0"/>
          <w:highlight w:val="none"/>
          <w:lang w:val="en-US" w:eastAsia="zh-CN"/>
        </w:rPr>
        <w:t>深度融合</w:t>
      </w:r>
      <w:r>
        <w:rPr>
          <w:rFonts w:hint="eastAsia" w:ascii="Times New Roman" w:hAnsi="Times New Roman" w:eastAsia="宋体" w:cs="Times New Roman"/>
          <w:color w:val="auto"/>
          <w:spacing w:val="0"/>
          <w:highlight w:val="none"/>
          <w:lang w:eastAsia="zh-CN"/>
        </w:rPr>
        <w:t>数据治理、数据质量</w:t>
      </w:r>
      <w:r>
        <w:rPr>
          <w:rFonts w:hint="eastAsia" w:ascii="Times New Roman" w:hAnsi="Times New Roman" w:eastAsia="宋体" w:cs="Times New Roman"/>
          <w:color w:val="auto"/>
          <w:spacing w:val="0"/>
          <w:highlight w:val="none"/>
          <w:lang w:val="en-US" w:eastAsia="zh-CN"/>
        </w:rPr>
        <w:t>和</w:t>
      </w:r>
      <w:r>
        <w:rPr>
          <w:rFonts w:hint="eastAsia" w:ascii="Times New Roman" w:hAnsi="Times New Roman" w:eastAsia="宋体" w:cs="Times New Roman"/>
          <w:color w:val="auto"/>
          <w:spacing w:val="0"/>
          <w:highlight w:val="none"/>
          <w:lang w:eastAsia="zh-CN"/>
        </w:rPr>
        <w:t>数据安全管控要求</w:t>
      </w:r>
      <w:r>
        <w:rPr>
          <w:rFonts w:hint="eastAsia" w:ascii="Times New Roman" w:hAnsi="Times New Roman" w:eastAsia="宋体" w:cs="Times New Roman"/>
          <w:color w:val="auto"/>
          <w:spacing w:val="0"/>
          <w:highlight w:val="none"/>
          <w:lang w:val="en-US" w:eastAsia="zh-CN"/>
        </w:rPr>
        <w:t>的数据作业平台</w:t>
      </w:r>
      <w:r>
        <w:rPr>
          <w:rFonts w:hint="eastAsia" w:ascii="Times New Roman" w:hAnsi="Times New Roman" w:eastAsia="宋体" w:cs="Times New Roman"/>
          <w:color w:val="auto"/>
          <w:spacing w:val="0"/>
          <w:highlight w:val="none"/>
          <w:lang w:eastAsia="zh-CN"/>
        </w:rPr>
        <w:t>，进一步优化数据作业及需求交付流程</w:t>
      </w:r>
      <w:r>
        <w:rPr>
          <w:rFonts w:hint="eastAsia" w:ascii="Times New Roman" w:hAnsi="Times New Roman" w:eastAsia="宋体" w:cs="Times New Roman"/>
          <w:color w:val="auto"/>
          <w:spacing w:val="0"/>
          <w:highlight w:val="none"/>
          <w:lang w:val="en-US" w:eastAsia="zh-CN"/>
        </w:rPr>
        <w:t>和质效。</w:t>
      </w:r>
    </w:p>
    <w:p w14:paraId="1DC98C8D">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eastAsia" w:ascii="Times New Roman" w:hAnsi="Times New Roman" w:eastAsia="宋体" w:cs="Times New Roman"/>
          <w:color w:val="auto"/>
          <w:spacing w:val="0"/>
          <w:highlight w:val="none"/>
          <w:lang w:val="en-US" w:eastAsia="zh-CN"/>
        </w:rPr>
        <w:t>湖仓实施及迁移重构具体包括：对本行现有数据平台进行调研分析，完成湖仓整体建设规划。在建设规划成果基础上，基于湖仓一体底座和数据作业平台完成湖仓实施及迁移重构，包括数据标准化建设、数据采集版块建设、主题模型版块建设、应用集市版块建设、数据服务版块建设、实时数仓版块建设、数据实验区建设和灾备建设，以及按新架构迁移整合现有的历史数据、数据服务、业务报表等，最后根据湖仓实施经验和成果建立成熟且完善的数据管理与运营体系。</w:t>
      </w:r>
    </w:p>
    <w:p w14:paraId="4E81BC6E">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default" w:ascii="Times New Roman" w:hAnsi="Times New Roman" w:eastAsia="宋体" w:cs="Times New Roman"/>
          <w:i/>
          <w:color w:val="auto"/>
          <w:spacing w:val="0"/>
          <w:highlight w:val="none"/>
        </w:rPr>
      </w:pPr>
      <w:r>
        <w:rPr>
          <w:rFonts w:hint="default" w:ascii="Times New Roman" w:hAnsi="Times New Roman" w:eastAsia="宋体" w:cs="Times New Roman"/>
          <w:color w:val="auto"/>
          <w:spacing w:val="0"/>
          <w:highlight w:val="none"/>
        </w:rPr>
        <w:t>详细内容参考附件一《工作（需求）说明书》，最终以附件一中双方约定的内容为准。</w:t>
      </w:r>
    </w:p>
    <w:p w14:paraId="7A5F9C25">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default" w:ascii="Times New Roman" w:hAnsi="Times New Roman" w:eastAsia="宋体" w:cs="Times New Roman"/>
          <w:color w:val="auto"/>
          <w:spacing w:val="0"/>
          <w:highlight w:val="none"/>
        </w:rPr>
      </w:pPr>
      <w:bookmarkStart w:id="270" w:name="_Toc58337495"/>
      <w:r>
        <w:rPr>
          <w:rFonts w:hint="default" w:ascii="Times New Roman" w:hAnsi="Times New Roman" w:eastAsia="宋体" w:cs="Times New Roman"/>
          <w:color w:val="auto"/>
          <w:spacing w:val="0"/>
          <w:highlight w:val="none"/>
        </w:rPr>
        <w:t>2.3技术指标和质量要求</w:t>
      </w:r>
      <w:bookmarkEnd w:id="270"/>
      <w:r>
        <w:rPr>
          <w:rFonts w:hint="default" w:ascii="Times New Roman" w:hAnsi="Times New Roman" w:eastAsia="宋体" w:cs="Times New Roman"/>
          <w:color w:val="auto"/>
          <w:spacing w:val="0"/>
          <w:highlight w:val="none"/>
        </w:rPr>
        <w:t>。</w:t>
      </w:r>
    </w:p>
    <w:p w14:paraId="4F0553D2">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见附件一、附件四。</w:t>
      </w:r>
    </w:p>
    <w:p w14:paraId="4403330D">
      <w:pPr>
        <w:keepNext w:val="0"/>
        <w:keepLines w:val="0"/>
        <w:pageBreakBefore w:val="0"/>
        <w:kinsoku/>
        <w:wordWrap/>
        <w:overflowPunct/>
        <w:topLinePunct w:val="0"/>
        <w:autoSpaceDE w:val="0"/>
        <w:autoSpaceDN w:val="0"/>
        <w:bidi w:val="0"/>
        <w:snapToGrid w:val="0"/>
        <w:spacing w:line="360" w:lineRule="auto"/>
        <w:ind w:firstLine="480" w:firstLineChars="200"/>
        <w:outlineLvl w:val="9"/>
        <w:rPr>
          <w:rFonts w:hint="default" w:ascii="Times New Roman" w:hAnsi="Times New Roman" w:eastAsia="宋体" w:cs="Times New Roman"/>
          <w:color w:val="auto"/>
          <w:spacing w:val="0"/>
          <w:highlight w:val="none"/>
        </w:rPr>
      </w:pPr>
      <w:bookmarkStart w:id="271" w:name="_Toc58337496"/>
      <w:r>
        <w:rPr>
          <w:rFonts w:hint="default" w:ascii="Times New Roman" w:hAnsi="Times New Roman" w:eastAsia="宋体" w:cs="Times New Roman"/>
          <w:color w:val="auto"/>
          <w:spacing w:val="0"/>
          <w:highlight w:val="none"/>
        </w:rPr>
        <w:t>2.4应当遵循的标准和规范</w:t>
      </w:r>
      <w:bookmarkEnd w:id="271"/>
      <w:r>
        <w:rPr>
          <w:rFonts w:hint="default" w:ascii="Times New Roman" w:hAnsi="Times New Roman" w:eastAsia="宋体" w:cs="Times New Roman"/>
          <w:color w:val="auto"/>
          <w:spacing w:val="0"/>
          <w:highlight w:val="none"/>
        </w:rPr>
        <w:t>。</w:t>
      </w:r>
    </w:p>
    <w:p w14:paraId="35CA95AE">
      <w:pPr>
        <w:keepNext w:val="0"/>
        <w:keepLines w:val="0"/>
        <w:pageBreakBefore w:val="0"/>
        <w:kinsoku/>
        <w:wordWrap/>
        <w:overflowPunct/>
        <w:topLinePunct w:val="0"/>
        <w:autoSpaceDE w:val="0"/>
        <w:autoSpaceDN w:val="0"/>
        <w:bidi w:val="0"/>
        <w:snapToGrid w:val="0"/>
        <w:spacing w:line="360" w:lineRule="auto"/>
        <w:ind w:firstLine="42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乙方交付的</w:t>
      </w:r>
      <w:r>
        <w:rPr>
          <w:rStyle w:val="49"/>
          <w:rFonts w:hint="eastAsia" w:ascii="Times New Roman" w:hAnsi="Times New Roman" w:cs="Times New Roman"/>
          <w:color w:val="auto"/>
          <w:spacing w:val="0"/>
          <w:kern w:val="0"/>
          <w:highlight w:val="none"/>
          <w:lang w:val="en-US" w:eastAsia="zh-CN"/>
        </w:rPr>
        <w:t>湖仓一体底座、数据作业平台以及新一代数据中台实施与迁移</w:t>
      </w:r>
      <w:r>
        <w:rPr>
          <w:rFonts w:hint="default" w:ascii="Times New Roman" w:hAnsi="Times New Roman" w:eastAsia="宋体" w:cs="Times New Roman"/>
          <w:color w:val="auto"/>
          <w:spacing w:val="0"/>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10877CB9">
      <w:pPr>
        <w:keepNext w:val="0"/>
        <w:keepLines w:val="0"/>
        <w:pageBreakBefore w:val="0"/>
        <w:kinsoku/>
        <w:wordWrap/>
        <w:overflowPunct/>
        <w:topLinePunct w:val="0"/>
        <w:autoSpaceDE w:val="0"/>
        <w:autoSpaceDN w:val="0"/>
        <w:bidi w:val="0"/>
        <w:snapToGrid w:val="0"/>
        <w:spacing w:line="360" w:lineRule="auto"/>
        <w:ind w:left="0" w:leftChars="0" w:firstLine="0" w:firstLineChars="0"/>
        <w:outlineLvl w:val="9"/>
        <w:rPr>
          <w:rFonts w:hint="default" w:ascii="Times New Roman" w:hAnsi="Times New Roman" w:eastAsia="宋体" w:cs="Times New Roman"/>
          <w:color w:val="auto"/>
          <w:spacing w:val="0"/>
          <w:highlight w:val="none"/>
        </w:rPr>
      </w:pPr>
    </w:p>
    <w:p w14:paraId="5D8A24D7">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2" w:name="_Toc84948027"/>
      <w:r>
        <w:rPr>
          <w:rFonts w:hint="default" w:ascii="Times New Roman" w:hAnsi="Times New Roman" w:eastAsia="宋体" w:cs="Times New Roman"/>
          <w:b/>
          <w:color w:val="auto"/>
          <w:spacing w:val="0"/>
          <w:highlight w:val="none"/>
        </w:rPr>
        <w:t>第三条 项目履行的进度、期限、地点、地域、方式</w:t>
      </w:r>
      <w:bookmarkEnd w:id="272"/>
    </w:p>
    <w:p w14:paraId="14E4968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default" w:ascii="Times New Roman" w:hAnsi="Times New Roman" w:eastAsia="宋体" w:cs="Times New Roman"/>
          <w:color w:val="auto"/>
          <w:spacing w:val="0"/>
          <w:kern w:val="0"/>
          <w:highlight w:val="none"/>
        </w:rPr>
        <w:t>替换人员技术水平或级别需不低于</w:t>
      </w:r>
      <w:r>
        <w:rPr>
          <w:rFonts w:hint="default" w:ascii="Times New Roman" w:hAnsi="Times New Roman" w:eastAsia="宋体" w:cs="Times New Roman"/>
          <w:color w:val="auto"/>
          <w:spacing w:val="0"/>
          <w:highlight w:val="none"/>
        </w:rPr>
        <w:t>被替换的人员</w:t>
      </w:r>
      <w:r>
        <w:rPr>
          <w:rFonts w:hint="default" w:ascii="Times New Roman" w:hAnsi="Times New Roman" w:eastAsia="宋体" w:cs="Times New Roman"/>
          <w:color w:val="auto"/>
          <w:spacing w:val="0"/>
          <w:kern w:val="0"/>
          <w:highlight w:val="none"/>
        </w:rPr>
        <w:t>水平或级别</w:t>
      </w:r>
      <w:r>
        <w:rPr>
          <w:rFonts w:hint="default" w:ascii="Times New Roman" w:hAnsi="Times New Roman" w:eastAsia="宋体" w:cs="Times New Roman"/>
          <w:color w:val="auto"/>
          <w:spacing w:val="0"/>
          <w:highlight w:val="none"/>
        </w:rPr>
        <w:t>，并需通过甲方考察并取得甲方同意，否则甲方有权要求更换。</w:t>
      </w:r>
    </w:p>
    <w:p w14:paraId="131AA2D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3.2进度：乙方应严格按照3.3所列示的期限完成项目实施任务。</w:t>
      </w:r>
    </w:p>
    <w:p w14:paraId="4A501DE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3.3期限：上线时间为    年    月     日前。</w:t>
      </w:r>
    </w:p>
    <w:p w14:paraId="17A931F5">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3.4地点：乙方完成项目实施工作的地点为：</w:t>
      </w:r>
      <w:r>
        <w:rPr>
          <w:rFonts w:hint="default" w:ascii="Times New Roman" w:hAnsi="Times New Roman" w:eastAsia="宋体" w:cs="Times New Roman"/>
          <w:color w:val="auto"/>
          <w:spacing w:val="0"/>
          <w:highlight w:val="none"/>
          <w:u w:val="single"/>
        </w:rPr>
        <w:t>重庆</w:t>
      </w:r>
      <w:r>
        <w:rPr>
          <w:rFonts w:hint="default" w:ascii="Times New Roman" w:hAnsi="Times New Roman" w:eastAsia="宋体" w:cs="Times New Roman"/>
          <w:color w:val="auto"/>
          <w:spacing w:val="0"/>
          <w:highlight w:val="none"/>
        </w:rPr>
        <w:t>；【驻场】实施。</w:t>
      </w:r>
    </w:p>
    <w:p w14:paraId="70D77F6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3.5地域：本项目适用机构所在地域包括：</w:t>
      </w:r>
      <w:r>
        <w:rPr>
          <w:rFonts w:hint="default" w:ascii="Times New Roman" w:hAnsi="Times New Roman" w:eastAsia="宋体" w:cs="Times New Roman"/>
          <w:color w:val="auto"/>
          <w:spacing w:val="0"/>
          <w:highlight w:val="none"/>
          <w:u w:val="single"/>
        </w:rPr>
        <w:t>重庆三峡银行总行各部门及辖内各经营机构</w:t>
      </w:r>
      <w:r>
        <w:rPr>
          <w:rFonts w:hint="default" w:ascii="Times New Roman" w:hAnsi="Times New Roman" w:eastAsia="宋体" w:cs="Times New Roman"/>
          <w:color w:val="auto"/>
          <w:spacing w:val="0"/>
          <w:highlight w:val="none"/>
        </w:rPr>
        <w:t>。</w:t>
      </w:r>
    </w:p>
    <w:p w14:paraId="3996A63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3.6方式：</w:t>
      </w:r>
    </w:p>
    <w:p w14:paraId="587F2E6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92265A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2745C9A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1EEECCEC">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3" w:name="_Toc84948028"/>
      <w:r>
        <w:rPr>
          <w:rFonts w:hint="default" w:ascii="Times New Roman" w:hAnsi="Times New Roman" w:eastAsia="宋体" w:cs="Times New Roman"/>
          <w:b/>
          <w:color w:val="auto"/>
          <w:spacing w:val="0"/>
          <w:highlight w:val="none"/>
        </w:rPr>
        <w:t>第四条 方案调整</w:t>
      </w:r>
      <w:bookmarkEnd w:id="273"/>
    </w:p>
    <w:p w14:paraId="56184C5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4.1因甲方原因提出导致增加【 】∕人∕月以上工作量的需求变更，</w:t>
      </w:r>
      <w:r>
        <w:rPr>
          <w:rFonts w:hint="default" w:ascii="Times New Roman" w:hAnsi="Times New Roman" w:eastAsia="宋体" w:cs="Times New Roman"/>
          <w:color w:val="auto"/>
          <w:spacing w:val="0"/>
          <w:highlight w:val="none"/>
        </w:rPr>
        <w:t>须通知乙方并由乙方确认</w:t>
      </w:r>
      <w:r>
        <w:rPr>
          <w:rStyle w:val="49"/>
          <w:rFonts w:hint="default" w:ascii="Times New Roman" w:hAnsi="Times New Roman" w:eastAsia="宋体" w:cs="Times New Roman"/>
          <w:color w:val="auto"/>
          <w:spacing w:val="0"/>
          <w:kern w:val="0"/>
          <w:highlight w:val="none"/>
        </w:rPr>
        <w:t>，对此</w:t>
      </w:r>
      <w:r>
        <w:rPr>
          <w:rFonts w:hint="default" w:ascii="Times New Roman" w:hAnsi="Times New Roman" w:eastAsia="宋体" w:cs="Times New Roman"/>
          <w:color w:val="auto"/>
          <w:spacing w:val="0"/>
          <w:highlight w:val="none"/>
        </w:rPr>
        <w:t>变更给乙方带来的额外劳动部分甲乙双方协商解决，由此变更导致项目进度延期不构成违约。但4.2款确认的，由乙方原因引起的工作量，甲方无需承担任何费用。</w:t>
      </w:r>
    </w:p>
    <w:p w14:paraId="5D83713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4.2 方案一经双方确认，任何一方有方案调整意见，均需与对方签字确认。</w:t>
      </w:r>
    </w:p>
    <w:p w14:paraId="1B89D12A">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0681C849">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4" w:name="_Toc84948029"/>
      <w:r>
        <w:rPr>
          <w:rFonts w:hint="default" w:ascii="Times New Roman" w:hAnsi="Times New Roman" w:eastAsia="宋体" w:cs="Times New Roman"/>
          <w:b/>
          <w:color w:val="auto"/>
          <w:spacing w:val="0"/>
          <w:highlight w:val="none"/>
        </w:rPr>
        <w:t>第五条 验收</w:t>
      </w:r>
      <w:bookmarkEnd w:id="274"/>
    </w:p>
    <w:p w14:paraId="376A1DE1">
      <w:pPr>
        <w:pStyle w:val="13"/>
        <w:keepNext w:val="0"/>
        <w:keepLines w:val="0"/>
        <w:pageBreakBefore w:val="0"/>
        <w:kinsoku/>
        <w:wordWrap/>
        <w:overflowPunct/>
        <w:topLinePunct w:val="0"/>
        <w:autoSpaceDE w:val="0"/>
        <w:autoSpaceDN w:val="0"/>
        <w:bidi w:val="0"/>
        <w:spacing w:beforeLines="0" w:line="360" w:lineRule="auto"/>
        <w:ind w:left="0" w:leftChars="0"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default" w:ascii="Times New Roman" w:hAnsi="Times New Roman" w:eastAsia="宋体" w:cs="Times New Roman"/>
          <w:bCs/>
          <w:color w:val="auto"/>
          <w:spacing w:val="0"/>
          <w:kern w:val="0"/>
          <w:highlight w:val="none"/>
        </w:rPr>
        <w:t>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hint="default" w:ascii="Times New Roman" w:hAnsi="Times New Roman" w:eastAsia="宋体" w:cs="Times New Roman"/>
          <w:color w:val="auto"/>
          <w:spacing w:val="0"/>
          <w:kern w:val="0"/>
          <w:highlight w:val="none"/>
        </w:rPr>
        <w:t>在符合甲方项目预期目标且试运行满</w:t>
      </w:r>
      <w:r>
        <w:rPr>
          <w:rFonts w:hint="eastAsia" w:ascii="Times New Roman" w:hAnsi="Times New Roman" w:cs="Times New Roman"/>
          <w:color w:val="auto"/>
          <w:spacing w:val="0"/>
          <w:kern w:val="0"/>
          <w:highlight w:val="none"/>
          <w:u w:val="single"/>
          <w:lang w:val="en-US" w:eastAsia="zh-CN"/>
        </w:rPr>
        <w:t>六</w:t>
      </w:r>
      <w:r>
        <w:rPr>
          <w:rFonts w:hint="default" w:ascii="Times New Roman" w:hAnsi="Times New Roman" w:eastAsia="宋体" w:cs="Times New Roman"/>
          <w:color w:val="auto"/>
          <w:spacing w:val="0"/>
          <w:kern w:val="0"/>
          <w:highlight w:val="none"/>
          <w:u w:val="single"/>
        </w:rPr>
        <w:t>个月</w:t>
      </w:r>
      <w:r>
        <w:rPr>
          <w:rFonts w:hint="default" w:ascii="Times New Roman" w:hAnsi="Times New Roman" w:eastAsia="宋体" w:cs="Times New Roman"/>
          <w:color w:val="auto"/>
          <w:spacing w:val="0"/>
          <w:kern w:val="0"/>
          <w:highlight w:val="none"/>
        </w:rPr>
        <w:t>后，由甲方按照合同约定进行正式验收，验收通过后签署验收表或验收报告。</w:t>
      </w:r>
    </w:p>
    <w:p w14:paraId="35D49465">
      <w:pPr>
        <w:pStyle w:val="13"/>
        <w:keepNext w:val="0"/>
        <w:keepLines w:val="0"/>
        <w:pageBreakBefore w:val="0"/>
        <w:kinsoku/>
        <w:wordWrap/>
        <w:overflowPunct/>
        <w:topLinePunct w:val="0"/>
        <w:autoSpaceDE w:val="0"/>
        <w:autoSpaceDN w:val="0"/>
        <w:bidi w:val="0"/>
        <w:spacing w:beforeLines="0" w:line="360" w:lineRule="auto"/>
        <w:ind w:left="0" w:leftChars="0"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04881068">
      <w:pPr>
        <w:pStyle w:val="13"/>
        <w:keepNext w:val="0"/>
        <w:keepLines w:val="0"/>
        <w:pageBreakBefore w:val="0"/>
        <w:kinsoku/>
        <w:wordWrap/>
        <w:overflowPunct/>
        <w:topLinePunct w:val="0"/>
        <w:autoSpaceDE w:val="0"/>
        <w:autoSpaceDN w:val="0"/>
        <w:bidi w:val="0"/>
        <w:spacing w:beforeLines="0" w:line="360" w:lineRule="auto"/>
        <w:ind w:left="0" w:leftChars="0" w:firstLine="480" w:firstLineChars="200"/>
        <w:outlineLvl w:val="9"/>
        <w:rPr>
          <w:rStyle w:val="49"/>
          <w:rFonts w:hint="default" w:ascii="Times New Roman" w:hAnsi="Times New Roman" w:eastAsia="宋体" w:cs="Times New Roman"/>
          <w:color w:val="auto"/>
          <w:spacing w:val="0"/>
          <w:kern w:val="0"/>
          <w:highlight w:val="none"/>
        </w:rPr>
      </w:pPr>
    </w:p>
    <w:p w14:paraId="00ACB39B">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5" w:name="_Toc84948030"/>
      <w:r>
        <w:rPr>
          <w:rFonts w:hint="default" w:ascii="Times New Roman" w:hAnsi="Times New Roman" w:eastAsia="宋体" w:cs="Times New Roman"/>
          <w:b/>
          <w:color w:val="auto"/>
          <w:spacing w:val="0"/>
          <w:highlight w:val="none"/>
        </w:rPr>
        <w:t>第六条 交付使用后维护期、系统完善和保修维护服务</w:t>
      </w:r>
      <w:bookmarkEnd w:id="275"/>
    </w:p>
    <w:p w14:paraId="782A61F3">
      <w:pPr>
        <w:keepNext w:val="0"/>
        <w:keepLines w:val="0"/>
        <w:pageBreakBefore w:val="0"/>
        <w:tabs>
          <w:tab w:val="left" w:pos="851"/>
        </w:tabs>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6.1本合同金额包含【】年维护，维护期为自本产品</w:t>
      </w:r>
      <w:r>
        <w:rPr>
          <w:rFonts w:hint="default" w:ascii="Times New Roman" w:hAnsi="Times New Roman" w:eastAsia="宋体" w:cs="Times New Roman"/>
          <w:color w:val="auto"/>
          <w:spacing w:val="0"/>
          <w:kern w:val="0"/>
          <w:highlight w:val="none"/>
        </w:rPr>
        <w:t>正式</w:t>
      </w:r>
      <w:r>
        <w:rPr>
          <w:rFonts w:hint="default" w:ascii="Times New Roman" w:hAnsi="Times New Roman" w:eastAsia="宋体" w:cs="Times New Roman"/>
          <w:color w:val="auto"/>
          <w:spacing w:val="0"/>
          <w:highlight w:val="none"/>
        </w:rPr>
        <w:t>验收合格后次日至次年并延期至6月30日或12月31日中较近日期（即维保延期最长不超过半年）。</w:t>
      </w:r>
    </w:p>
    <w:p w14:paraId="44AD9502">
      <w:pPr>
        <w:keepNext w:val="0"/>
        <w:keepLines w:val="0"/>
        <w:pageBreakBefore w:val="0"/>
        <w:tabs>
          <w:tab w:val="left" w:pos="851"/>
        </w:tabs>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6.2本合同产品的有偿技术服务期为本合同第6.1条约定的维护期到期之日起</w:t>
      </w:r>
      <w:r>
        <w:rPr>
          <w:rFonts w:hint="default" w:ascii="Times New Roman" w:hAnsi="Times New Roman" w:eastAsia="宋体" w:cs="Times New Roman"/>
          <w:color w:val="auto"/>
          <w:spacing w:val="0"/>
          <w:highlight w:val="none"/>
          <w:u w:val="single"/>
        </w:rPr>
        <w:t>10</w:t>
      </w:r>
      <w:r>
        <w:rPr>
          <w:rFonts w:hint="default" w:ascii="Times New Roman" w:hAnsi="Times New Roman" w:eastAsia="宋体" w:cs="Times New Roman"/>
          <w:color w:val="auto"/>
          <w:spacing w:val="0"/>
          <w:highlight w:val="none"/>
        </w:rPr>
        <w:t>年。本项目产品服务期内（包括本合同第6.1条约定的维护期与有偿技术服务期）如甲方对照附件一发现项目存在技术缺陷和隐蔽瑕疵，乙方应负责予以解决并应承担相应法律责任。</w:t>
      </w:r>
    </w:p>
    <w:p w14:paraId="0F81992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5214935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6.4 维护服务期内（包括本合同第6.1条约定的维护期与有偿技术服务期）的服务内容和服务方式详见附件四《维护服务条款》。</w:t>
      </w:r>
    </w:p>
    <w:p w14:paraId="5F6E3E7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6.5上述服务，不包括由下列事件引起的故障：</w:t>
      </w:r>
    </w:p>
    <w:p w14:paraId="694F1E59">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6.5.1 未能为系统提供适当的外部环境-如必要的系统环境、必要的管理体系、未能按照乙方要求配备资源等。</w:t>
      </w:r>
    </w:p>
    <w:p w14:paraId="1D950FE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6.5.2 使用并非由乙方提供的产品或服务。</w:t>
      </w:r>
    </w:p>
    <w:p w14:paraId="7A349879">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default" w:ascii="Times New Roman" w:hAnsi="Times New Roman" w:eastAsia="宋体" w:cs="Times New Roman"/>
          <w:color w:val="auto"/>
          <w:spacing w:val="0"/>
          <w:highlight w:val="none"/>
          <w:u w:val="single"/>
        </w:rPr>
        <w:t xml:space="preserve"> 3 </w:t>
      </w:r>
      <w:r>
        <w:rPr>
          <w:rFonts w:hint="default" w:ascii="Times New Roman" w:hAnsi="Times New Roman" w:eastAsia="宋体" w:cs="Times New Roman"/>
          <w:color w:val="auto"/>
          <w:spacing w:val="0"/>
          <w:highlight w:val="none"/>
        </w:rPr>
        <w:t>日内不到甲方现场进行检修，或在收到甲方通知后</w:t>
      </w:r>
      <w:r>
        <w:rPr>
          <w:rFonts w:hint="default" w:ascii="Times New Roman" w:hAnsi="Times New Roman" w:eastAsia="宋体" w:cs="Times New Roman"/>
          <w:color w:val="auto"/>
          <w:spacing w:val="0"/>
          <w:highlight w:val="none"/>
          <w:u w:val="single"/>
        </w:rPr>
        <w:t xml:space="preserve"> 10 </w:t>
      </w:r>
      <w:r>
        <w:rPr>
          <w:rFonts w:hint="default" w:ascii="Times New Roman" w:hAnsi="Times New Roman" w:eastAsia="宋体" w:cs="Times New Roman"/>
          <w:color w:val="auto"/>
          <w:spacing w:val="0"/>
          <w:highlight w:val="none"/>
        </w:rPr>
        <w:t>日内仍不能纠正不符之处的，甲方有权采取其他措施（包括聘请第三方替代履行）以减少损失，由此产生的费用及相关损失由乙方负责。乙方承</w:t>
      </w:r>
    </w:p>
    <w:p w14:paraId="7075CDFF">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诺，甲方采取上述措施不必征得乙方事先同意，且不构成对乙方的任何侵权。</w:t>
      </w:r>
    </w:p>
    <w:p w14:paraId="49DBA87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w:t>
      </w:r>
      <w:r>
        <w:rPr>
          <w:rStyle w:val="49"/>
          <w:rFonts w:hint="default" w:ascii="Times New Roman" w:hAnsi="Times New Roman" w:eastAsia="宋体" w:cs="Times New Roman"/>
          <w:color w:val="auto"/>
          <w:spacing w:val="0"/>
          <w:kern w:val="0"/>
          <w:highlight w:val="none"/>
        </w:rPr>
        <w:t xml:space="preserve">.7 </w:t>
      </w:r>
      <w:r>
        <w:rPr>
          <w:rFonts w:hint="default" w:ascii="Times New Roman" w:hAnsi="Times New Roman" w:eastAsia="宋体" w:cs="Times New Roman"/>
          <w:color w:val="auto"/>
          <w:spacing w:val="0"/>
          <w:highlight w:val="none"/>
        </w:rPr>
        <w:t>本合同第6.1条约定的维护期结束后的</w:t>
      </w:r>
      <w:r>
        <w:rPr>
          <w:rFonts w:hint="default" w:ascii="Times New Roman" w:hAnsi="Times New Roman" w:eastAsia="宋体" w:cs="Times New Roman"/>
          <w:color w:val="auto"/>
          <w:spacing w:val="0"/>
          <w:highlight w:val="none"/>
          <w:u w:val="single"/>
        </w:rPr>
        <w:t>10年</w:t>
      </w:r>
      <w:r>
        <w:rPr>
          <w:rFonts w:hint="default" w:ascii="Times New Roman" w:hAnsi="Times New Roman" w:eastAsia="宋体" w:cs="Times New Roman"/>
          <w:color w:val="auto"/>
          <w:spacing w:val="0"/>
          <w:highlight w:val="none"/>
        </w:rPr>
        <w:t>有偿技术服务期内，</w:t>
      </w:r>
      <w:r>
        <w:rPr>
          <w:rStyle w:val="49"/>
          <w:rFonts w:hint="default" w:ascii="Times New Roman" w:hAnsi="Times New Roman" w:eastAsia="宋体" w:cs="Times New Roman"/>
          <w:color w:val="auto"/>
          <w:spacing w:val="0"/>
          <w:kern w:val="0"/>
          <w:highlight w:val="none"/>
        </w:rPr>
        <w:t>如</w:t>
      </w:r>
      <w:r>
        <w:rPr>
          <w:rFonts w:hint="default" w:ascii="Times New Roman" w:hAnsi="Times New Roman" w:eastAsia="宋体" w:cs="Times New Roman"/>
          <w:color w:val="auto"/>
          <w:spacing w:val="0"/>
          <w:highlight w:val="none"/>
        </w:rPr>
        <w:t>甲方需要乙方提供维护服务,乙方应予提供。双方确认，甲方有权选择是否购买维护，乙方无权要求甲方对未使用维护服务的期间支付费用。</w:t>
      </w:r>
    </w:p>
    <w:p w14:paraId="73FA430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b/>
          <w:color w:val="auto"/>
          <w:spacing w:val="0"/>
          <w:highlight w:val="none"/>
        </w:rPr>
      </w:pPr>
      <w:r>
        <w:rPr>
          <w:rFonts w:hint="default" w:ascii="Times New Roman" w:hAnsi="Times New Roman" w:eastAsia="宋体" w:cs="Times New Roman"/>
          <w:color w:val="auto"/>
          <w:spacing w:val="0"/>
          <w:highlight w:val="none"/>
        </w:rPr>
        <w:t>6.8 维护期结束后</w:t>
      </w:r>
      <w:r>
        <w:rPr>
          <w:rStyle w:val="49"/>
          <w:rFonts w:hint="default" w:ascii="Times New Roman" w:hAnsi="Times New Roman" w:eastAsia="宋体" w:cs="Times New Roman"/>
          <w:color w:val="auto"/>
          <w:spacing w:val="0"/>
          <w:kern w:val="0"/>
          <w:highlight w:val="none"/>
        </w:rPr>
        <w:t>有偿技术服务期</w:t>
      </w:r>
      <w:r>
        <w:rPr>
          <w:rFonts w:hint="default" w:ascii="Times New Roman" w:hAnsi="Times New Roman" w:eastAsia="宋体" w:cs="Times New Roman"/>
          <w:color w:val="auto"/>
          <w:spacing w:val="0"/>
          <w:highlight w:val="none"/>
        </w:rPr>
        <w:t>每年的维护价格【不超过/为】</w:t>
      </w:r>
      <w:r>
        <w:rPr>
          <w:rFonts w:hint="default" w:ascii="Times New Roman" w:hAnsi="Times New Roman" w:eastAsia="宋体" w:cs="Times New Roman"/>
          <w:iCs/>
          <w:color w:val="auto"/>
          <w:spacing w:val="0"/>
          <w:highlight w:val="none"/>
          <w:u w:val="single"/>
        </w:rPr>
        <w:t>合同总额的【8%】</w:t>
      </w:r>
      <w:r>
        <w:rPr>
          <w:rFonts w:hint="default" w:ascii="Times New Roman" w:hAnsi="Times New Roman" w:eastAsia="宋体" w:cs="Times New Roman"/>
          <w:color w:val="auto"/>
          <w:spacing w:val="0"/>
          <w:highlight w:val="none"/>
        </w:rPr>
        <w:t>，具体服务内容详见附件四《维护服务条款》。有偿技术服务期的服务水平不低于附件四承诺的维护期的服务水平。</w:t>
      </w:r>
      <w:r>
        <w:rPr>
          <w:rFonts w:hint="default" w:ascii="Times New Roman" w:hAnsi="Times New Roman" w:eastAsia="宋体" w:cs="Times New Roman"/>
          <w:b/>
          <w:color w:val="auto"/>
          <w:spacing w:val="0"/>
          <w:highlight w:val="none"/>
        </w:rPr>
        <w:t>后续改造类项目维护费用以系统首期建设合同（即本合同）约定为准，不得叠加、单独收取。</w:t>
      </w:r>
    </w:p>
    <w:p w14:paraId="23770ED4">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r>
        <w:rPr>
          <w:rFonts w:hint="default" w:ascii="Times New Roman" w:hAnsi="Times New Roman" w:eastAsia="宋体" w:cs="Times New Roman"/>
          <w:b/>
          <w:color w:val="auto"/>
          <w:spacing w:val="0"/>
          <w:highlight w:val="none"/>
        </w:rPr>
        <w:t>本合同为改造类项目合同，后续维保费用以系统首期建设合同（可注明首期建设合同名称及编号）约定为准，不得叠加、单独收取。</w:t>
      </w:r>
    </w:p>
    <w:p w14:paraId="1EFB0F5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6.9本合同并非维护期结束后的维护服务合同，有偿技术服务的合同由双方另行签订。</w:t>
      </w:r>
    </w:p>
    <w:p w14:paraId="06C93295">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04F9058F">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6" w:name="_Toc84948031"/>
      <w:r>
        <w:rPr>
          <w:rFonts w:hint="default" w:ascii="Times New Roman" w:hAnsi="Times New Roman" w:eastAsia="宋体" w:cs="Times New Roman"/>
          <w:b/>
          <w:color w:val="auto"/>
          <w:spacing w:val="0"/>
          <w:highlight w:val="none"/>
        </w:rPr>
        <w:t>第七条 技术辅导与培训</w:t>
      </w:r>
      <w:bookmarkEnd w:id="276"/>
    </w:p>
    <w:p w14:paraId="5E8BFE26">
      <w:pPr>
        <w:pStyle w:val="15"/>
        <w:keepNext w:val="0"/>
        <w:keepLines w:val="0"/>
        <w:pageBreakBefore w:val="0"/>
        <w:kinsoku/>
        <w:wordWrap/>
        <w:overflowPunct/>
        <w:topLinePunct w:val="0"/>
        <w:autoSpaceDE w:val="0"/>
        <w:autoSpaceDN w:val="0"/>
        <w:bidi w:val="0"/>
        <w:spacing w:beforeLines="0" w:line="360" w:lineRule="auto"/>
        <w:ind w:firstLine="560" w:firstLineChars="0"/>
        <w:outlineLvl w:val="9"/>
        <w:rPr>
          <w:rFonts w:hint="eastAsia" w:ascii="Times New Roman" w:hAnsi="Times New Roman" w:eastAsia="宋体" w:cs="Times New Roman"/>
          <w:color w:val="auto"/>
          <w:spacing w:val="0"/>
          <w:highlight w:val="none"/>
          <w:lang w:eastAsia="zh-CN"/>
        </w:rPr>
      </w:pPr>
      <w:r>
        <w:rPr>
          <w:rFonts w:hint="default" w:ascii="Times New Roman" w:hAnsi="Times New Roman" w:eastAsia="宋体" w:cs="Times New Roman"/>
          <w:color w:val="auto"/>
          <w:spacing w:val="0"/>
          <w:highlight w:val="none"/>
        </w:rPr>
        <w:t>乙方应负责向甲方提供技术辅导与培训，以使甲方人员熟练掌握该项目产品的应用和日常维护。培训内容包括：数据架构培训、湖仓技术组件使用及调优培训等</w:t>
      </w:r>
      <w:r>
        <w:rPr>
          <w:rFonts w:hint="eastAsia" w:ascii="Times New Roman" w:hAnsi="Times New Roman" w:cs="Times New Roman"/>
          <w:color w:val="auto"/>
          <w:spacing w:val="0"/>
          <w:highlight w:val="none"/>
          <w:lang w:eastAsia="zh-CN"/>
        </w:rPr>
        <w:t>。</w:t>
      </w:r>
    </w:p>
    <w:p w14:paraId="12D57080">
      <w:pPr>
        <w:pStyle w:val="15"/>
        <w:keepNext w:val="0"/>
        <w:keepLines w:val="0"/>
        <w:pageBreakBefore w:val="0"/>
        <w:kinsoku/>
        <w:wordWrap/>
        <w:overflowPunct/>
        <w:topLinePunct w:val="0"/>
        <w:autoSpaceDE w:val="0"/>
        <w:autoSpaceDN w:val="0"/>
        <w:bidi w:val="0"/>
        <w:spacing w:beforeLines="0" w:line="360" w:lineRule="auto"/>
        <w:ind w:firstLine="48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具体培训内容由双方共同商定，并由甲方项目经理签字确认。</w:t>
      </w:r>
    </w:p>
    <w:p w14:paraId="3E7C478E">
      <w:pPr>
        <w:pStyle w:val="15"/>
        <w:keepNext w:val="0"/>
        <w:keepLines w:val="0"/>
        <w:pageBreakBefore w:val="0"/>
        <w:kinsoku/>
        <w:wordWrap/>
        <w:overflowPunct/>
        <w:topLinePunct w:val="0"/>
        <w:autoSpaceDE w:val="0"/>
        <w:autoSpaceDN w:val="0"/>
        <w:bidi w:val="0"/>
        <w:spacing w:beforeLines="0" w:line="360" w:lineRule="auto"/>
        <w:ind w:firstLine="480"/>
        <w:outlineLvl w:val="9"/>
        <w:rPr>
          <w:rFonts w:hint="default" w:ascii="Times New Roman" w:hAnsi="Times New Roman" w:eastAsia="宋体" w:cs="Times New Roman"/>
          <w:color w:val="auto"/>
          <w:spacing w:val="0"/>
          <w:highlight w:val="none"/>
        </w:rPr>
      </w:pPr>
    </w:p>
    <w:p w14:paraId="7AC954EB">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7" w:name="_Toc84948032"/>
      <w:r>
        <w:rPr>
          <w:rFonts w:hint="default" w:ascii="Times New Roman" w:hAnsi="Times New Roman" w:eastAsia="宋体" w:cs="Times New Roman"/>
          <w:b/>
          <w:color w:val="auto"/>
          <w:spacing w:val="0"/>
          <w:highlight w:val="none"/>
        </w:rPr>
        <w:t>第八条 双方的权利、义务</w:t>
      </w:r>
      <w:bookmarkEnd w:id="277"/>
    </w:p>
    <w:p w14:paraId="45804E2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8.1除本合同其他条款外，甲方应承担如下义务：</w:t>
      </w:r>
    </w:p>
    <w:p w14:paraId="66AF7D35">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8.1.1 按照本合同第十三条的规定向乙方支付报酬。</w:t>
      </w:r>
    </w:p>
    <w:p w14:paraId="4DBCF30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8.1.2 向乙方提供本合同约定的业务协作：如参与各方的资源协调与进度管理、商务保障、项目环境保障等，确保参与各方按期、按质协同工作。</w:t>
      </w:r>
    </w:p>
    <w:p w14:paraId="306BA4F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8.1.3 指派一名项目主要负责人参加甲、乙双方为本项目召开的会议并协调相关工作和签署有关文件。</w:t>
      </w:r>
    </w:p>
    <w:p w14:paraId="77C61879">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8.1.4 甲方为乙方解决现场人员正常开展工作的开发测试系统环境和场地。</w:t>
      </w:r>
    </w:p>
    <w:p w14:paraId="4C643909">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8.2除本合同其他条款外，乙方应承担如下义务：</w:t>
      </w:r>
    </w:p>
    <w:p w14:paraId="09C5E607">
      <w:pPr>
        <w:pStyle w:val="14"/>
        <w:keepNext w:val="0"/>
        <w:keepLines w:val="0"/>
        <w:pageBreakBefore w:val="0"/>
        <w:tabs>
          <w:tab w:val="left" w:pos="0"/>
        </w:tabs>
        <w:kinsoku/>
        <w:wordWrap/>
        <w:overflowPunct/>
        <w:topLinePunct w:val="0"/>
        <w:autoSpaceDE w:val="0"/>
        <w:autoSpaceDN w:val="0"/>
        <w:bidi w:val="0"/>
        <w:spacing w:line="360" w:lineRule="auto"/>
        <w:ind w:left="-2" w:leftChars="-1" w:firstLine="480" w:firstLineChars="200"/>
        <w:jc w:val="left"/>
        <w:outlineLvl w:val="9"/>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8.2.1 遵守法律法规及银行业金融机构内部管理制度及规定，贯彻执行相关监管政策。</w:t>
      </w:r>
    </w:p>
    <w:p w14:paraId="3158980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A1886D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8.2.3 负责在甲方的环境内安装并调试实施项目。</w:t>
      </w:r>
    </w:p>
    <w:p w14:paraId="37BD22F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8.2.4 指派一名项目主要负责人参加甲、乙双方为本项目召开的会议并协调相关工作和签署有关文件。</w:t>
      </w:r>
    </w:p>
    <w:p w14:paraId="0A4EB095">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8.2.5指派独立于开发团队的测试人员负责项目系统测试，并承诺按照甲方质量管理要求完成项目系统测试、性能测试、安全测试等。</w:t>
      </w:r>
    </w:p>
    <w:p w14:paraId="4981BDD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8.2.6 按照本合同的约定向甲方提供相关技术资料并提供技术指导。</w:t>
      </w:r>
    </w:p>
    <w:p w14:paraId="4321627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8.2.7乙方需为甲方提供持续的项目风险识别和控制措施，并按甲方要求提供公司财务分析报告、项目进度报告以及重大事项报告等。</w:t>
      </w:r>
    </w:p>
    <w:p w14:paraId="35C3709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3FF5EFD">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8.2.9 乙方应针对服务内容为甲方制定业务连续性计划和应急计划并维护好相关资源，在服务质量不能满足合同要求时，甲方具有优先获取服务资源的权利。</w:t>
      </w:r>
    </w:p>
    <w:p w14:paraId="34C24F2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8.2.10 乙方应当自己完成本合同项下的开发、测试或维护等工作，而不得分包给任何第三方，也不得进行转包或变相转包。</w:t>
      </w:r>
    </w:p>
    <w:p w14:paraId="0637522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bCs/>
          <w:color w:val="auto"/>
          <w:spacing w:val="0"/>
          <w:highlight w:val="none"/>
        </w:rPr>
      </w:pPr>
      <w:r>
        <w:rPr>
          <w:rFonts w:hint="default" w:ascii="Times New Roman" w:hAnsi="Times New Roman" w:eastAsia="宋体" w:cs="Times New Roman"/>
          <w:color w:val="auto"/>
          <w:spacing w:val="0"/>
          <w:highlight w:val="none"/>
        </w:rPr>
        <w:t xml:space="preserve">8.2.11 </w:t>
      </w:r>
      <w:r>
        <w:rPr>
          <w:rFonts w:hint="default" w:ascii="Times New Roman" w:hAnsi="Times New Roman" w:eastAsia="宋体" w:cs="Times New Roman"/>
          <w:bCs/>
          <w:color w:val="auto"/>
          <w:spacing w:val="0"/>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54DB4156">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23BD6867">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8" w:name="_Toc84948033"/>
      <w:r>
        <w:rPr>
          <w:rFonts w:hint="default" w:ascii="Times New Roman" w:hAnsi="Times New Roman" w:eastAsia="宋体" w:cs="Times New Roman"/>
          <w:b/>
          <w:color w:val="auto"/>
          <w:spacing w:val="0"/>
          <w:highlight w:val="none"/>
        </w:rPr>
        <w:t>第九条 乙方的声明与保证</w:t>
      </w:r>
      <w:bookmarkEnd w:id="278"/>
    </w:p>
    <w:p w14:paraId="2A4850B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乙方向甲方做出如下声明与保证：</w:t>
      </w:r>
    </w:p>
    <w:p w14:paraId="37031AE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9.1乙方完全具有本合同项下项目实施的技术资质与实力，包括开发技术人员、硬件设施等。</w:t>
      </w:r>
    </w:p>
    <w:p w14:paraId="6511A71D">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9.2乙方已对照本合同附件一中甲方确认的需求，确认乙方的设计方案已经涵盖了设计需求的各方面，并且乙方实施的产品是先进的、适用的、兼容的，能够满足甲方核心业务扩展的需求。</w:t>
      </w:r>
    </w:p>
    <w:p w14:paraId="536F019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9.3乙方在本项目中【使用/未使用】第三方产品，包括第三方SDK、小程序、软件、开源组件等，（若选择【使用】请列举）例：第三方SDK：XXXX、XXX；第三方小程序：XXX等。</w:t>
      </w:r>
      <w:r>
        <w:rPr>
          <w:rFonts w:hint="default" w:ascii="Times New Roman" w:hAnsi="Times New Roman" w:eastAsia="宋体" w:cs="Times New Roman"/>
          <w:color w:val="auto"/>
          <w:spacing w:val="0"/>
          <w:highlight w:val="none"/>
        </w:rPr>
        <w:t>若乙方在项目中使用了第三方产品，乙方须按如下要求执行：</w:t>
      </w:r>
    </w:p>
    <w:p w14:paraId="50BA340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（1）针对第三方SDK：乙方应开展安全评估和个人信息保护评估，并提供无中高风险的评估报告；</w:t>
      </w:r>
    </w:p>
    <w:p w14:paraId="48BDA20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（2）针对第三方小程序：乙方应开展安全评估，并提供无中高风险漏洞的安全评估报告。</w:t>
      </w:r>
    </w:p>
    <w:p w14:paraId="7BE57D2E">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highlight w:val="none"/>
        </w:rPr>
        <w:t>（3）若</w:t>
      </w:r>
      <w:r>
        <w:rPr>
          <w:rStyle w:val="49"/>
          <w:rFonts w:hint="default" w:ascii="Times New Roman" w:hAnsi="Times New Roman" w:eastAsia="宋体" w:cs="Times New Roman"/>
          <w:color w:val="auto"/>
          <w:spacing w:val="0"/>
          <w:kern w:val="0"/>
          <w:highlight w:val="none"/>
        </w:rPr>
        <w:t>第三方产品出现安全漏洞</w:t>
      </w:r>
      <w:r>
        <w:rPr>
          <w:rFonts w:hint="default" w:ascii="Times New Roman" w:hAnsi="Times New Roman" w:eastAsia="宋体" w:cs="Times New Roman"/>
          <w:color w:val="auto"/>
          <w:spacing w:val="0"/>
          <w:highlight w:val="none"/>
        </w:rPr>
        <w:t>或违反个人信息保护相关法规，</w:t>
      </w:r>
      <w:r>
        <w:rPr>
          <w:rStyle w:val="49"/>
          <w:rFonts w:hint="default" w:ascii="Times New Roman" w:hAnsi="Times New Roman" w:eastAsia="宋体" w:cs="Times New Roman"/>
          <w:color w:val="auto"/>
          <w:spacing w:val="0"/>
          <w:kern w:val="0"/>
          <w:highlight w:val="none"/>
        </w:rPr>
        <w:t>甲方有权要求乙方进行修复，若因此给甲方造成损失的，甲方有权随时向乙方追偿。</w:t>
      </w:r>
    </w:p>
    <w:p w14:paraId="426F8BA9">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9.4乙方保证向甲方提供的项目产品（含第三方产品）的安全性、合规性，保证无恶意脚本、后门及恶意漏洞，不携带任何病毒，不越权收集、处理客户信息。</w:t>
      </w:r>
    </w:p>
    <w:p w14:paraId="291B901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9.5乙方向甲方提供的产品和服务不会有任何第三方主张权利，也不会侵害任何第三方的合法权益，包括知识产权。</w:t>
      </w:r>
    </w:p>
    <w:p w14:paraId="5C9C76C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9.6乙方保证遵守甲方《重庆三峡银行员工回避管理办法》中招录回避、任职回避、公务回避的相关要求。若发现乙方人员与甲方内部人员存在亲属关系，乙方应主动报告，并采取相应回避措施。</w:t>
      </w:r>
    </w:p>
    <w:p w14:paraId="221FEB56">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9.7 乙方保证其人员无不良记录，服务商与其建立合法的雇佣关系，依法履行用工管理职责。</w:t>
      </w:r>
    </w:p>
    <w:p w14:paraId="0717DEA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9.8 乙方定期通报外包事项，及时通报外包突发性事件及解决情况。</w:t>
      </w:r>
    </w:p>
    <w:p w14:paraId="5559018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57366A03">
      <w:pPr>
        <w:keepNext w:val="0"/>
        <w:keepLines w:val="0"/>
        <w:pageBreakBefore w:val="0"/>
        <w:widowControl w:val="0"/>
        <w:kinsoku/>
        <w:wordWrap/>
        <w:overflowPunct/>
        <w:topLinePunct w:val="0"/>
        <w:autoSpaceDE w:val="0"/>
        <w:autoSpaceDN w:val="0"/>
        <w:bidi w:val="0"/>
        <w:adjustRightInd/>
        <w:snapToGrid/>
        <w:spacing w:line="360" w:lineRule="auto"/>
        <w:ind w:firstLine="472" w:firstLineChars="196"/>
        <w:jc w:val="left"/>
        <w:textAlignment w:val="auto"/>
        <w:outlineLvl w:val="9"/>
        <w:rPr>
          <w:rFonts w:hint="default" w:ascii="Times New Roman" w:hAnsi="Times New Roman" w:eastAsia="宋体" w:cs="Times New Roman"/>
          <w:b/>
          <w:color w:val="auto"/>
          <w:spacing w:val="0"/>
          <w:highlight w:val="none"/>
        </w:rPr>
      </w:pPr>
      <w:bookmarkStart w:id="279" w:name="_Toc84948034"/>
      <w:r>
        <w:rPr>
          <w:rFonts w:hint="default" w:ascii="Times New Roman" w:hAnsi="Times New Roman" w:eastAsia="宋体" w:cs="Times New Roman"/>
          <w:b/>
          <w:color w:val="auto"/>
          <w:spacing w:val="0"/>
          <w:highlight w:val="none"/>
        </w:rPr>
        <w:t>第十条 知识产权</w:t>
      </w:r>
      <w:bookmarkEnd w:id="279"/>
    </w:p>
    <w:p w14:paraId="415DCC7F">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57899F9">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highlight w:val="none"/>
        </w:rPr>
      </w:pPr>
      <w:bookmarkStart w:id="280" w:name="_Toc84948035"/>
      <w:r>
        <w:rPr>
          <w:rFonts w:hint="default" w:ascii="Times New Roman" w:hAnsi="Times New Roman" w:eastAsia="宋体" w:cs="Times New Roman"/>
          <w:color w:val="auto"/>
          <w:spacing w:val="0"/>
          <w:highlight w:val="none"/>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12882E18">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10.3乙方应将有关资料（数据库设计文件、技术文件和用户手册等全部资料）在甲方要求期限内，按国家有关项目开发标准以文字等载体的形式交给甲方，甲方拥有永久的使用权。</w:t>
      </w:r>
      <w:r>
        <w:rPr>
          <w:rStyle w:val="49"/>
          <w:rFonts w:hint="default" w:ascii="Times New Roman" w:hAnsi="Times New Roman" w:eastAsia="宋体" w:cs="Times New Roman"/>
          <w:color w:val="auto"/>
          <w:spacing w:val="0"/>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7F8A516D">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10.4本项目客户化源代码的知识产权归甲方单独所有，其余部分归双方共有。</w:t>
      </w:r>
    </w:p>
    <w:p w14:paraId="384D1BA1">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highlight w:val="none"/>
        </w:rPr>
        <w:t>10.4.1</w:t>
      </w:r>
      <w:r>
        <w:rPr>
          <w:rStyle w:val="49"/>
          <w:rFonts w:hint="default" w:ascii="Times New Roman" w:hAnsi="Times New Roman" w:eastAsia="宋体" w:cs="Times New Roman"/>
          <w:color w:val="auto"/>
          <w:spacing w:val="0"/>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3BB75258">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10.4.2针对共有部分，甲方拥有在甲方及其分支机构使用及后续开发的权利，</w:t>
      </w:r>
      <w:r>
        <w:rPr>
          <w:rFonts w:hint="default" w:ascii="Times New Roman" w:hAnsi="Times New Roman" w:eastAsia="宋体" w:cs="Times New Roman"/>
          <w:color w:val="auto"/>
          <w:spacing w:val="0"/>
          <w:highlight w:val="none"/>
        </w:rPr>
        <w:t>甲方在乙方交付的系统版本上进行自主开发或交由第三方公司开发，开发成果的知识产权归甲方所有。</w:t>
      </w:r>
      <w:r>
        <w:rPr>
          <w:rStyle w:val="49"/>
          <w:rFonts w:hint="default" w:ascii="Times New Roman" w:hAnsi="Times New Roman" w:eastAsia="宋体" w:cs="Times New Roman"/>
          <w:color w:val="auto"/>
          <w:spacing w:val="0"/>
          <w:highlight w:val="none"/>
        </w:rPr>
        <w:t>乙方拥有在其公司和其他组织范围内使用的权利，但乙方使用时不得侵犯甲方利益。</w:t>
      </w:r>
    </w:p>
    <w:p w14:paraId="7998ABB3">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10.4.3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78B9247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p>
    <w:p w14:paraId="53E2AF91">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r>
        <w:rPr>
          <w:rFonts w:hint="default" w:ascii="Times New Roman" w:hAnsi="Times New Roman" w:eastAsia="宋体" w:cs="Times New Roman"/>
          <w:b/>
          <w:color w:val="auto"/>
          <w:spacing w:val="0"/>
          <w:highlight w:val="none"/>
        </w:rPr>
        <w:t>第十一条 第三方索赔</w:t>
      </w:r>
      <w:bookmarkEnd w:id="280"/>
    </w:p>
    <w:p w14:paraId="1D704E7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06A79E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11.2对于第11.1条涉及的侵权索赔，乙方将承担全部费用，包括</w:t>
      </w:r>
      <w:r>
        <w:rPr>
          <w:rStyle w:val="49"/>
          <w:rFonts w:hint="default" w:ascii="Times New Roman" w:hAnsi="Times New Roman" w:eastAsia="宋体" w:cs="Times New Roman"/>
          <w:color w:val="auto"/>
          <w:spacing w:val="0"/>
          <w:kern w:val="0"/>
          <w:highlight w:val="none"/>
        </w:rPr>
        <w:t>诉讼费、仲裁费、甲方支付的律师费、差旅住宿费、公证费、鉴定费、调解费及仲裁裁决、法院判决或调解协议中由甲方承担的赔偿金。</w:t>
      </w:r>
    </w:p>
    <w:p w14:paraId="40F2638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9"/>
          <w:rFonts w:hint="default" w:ascii="Times New Roman" w:hAnsi="Times New Roman" w:eastAsia="宋体" w:cs="Times New Roman"/>
          <w:color w:val="auto"/>
          <w:spacing w:val="0"/>
          <w:kern w:val="0"/>
          <w:highlight w:val="none"/>
        </w:rPr>
        <w:t>部损失</w:t>
      </w:r>
      <w:r>
        <w:rPr>
          <w:rFonts w:hint="default" w:ascii="Times New Roman" w:hAnsi="Times New Roman" w:eastAsia="宋体" w:cs="Times New Roman"/>
          <w:color w:val="auto"/>
          <w:spacing w:val="0"/>
          <w:highlight w:val="none"/>
        </w:rPr>
        <w:t>。</w:t>
      </w:r>
    </w:p>
    <w:p w14:paraId="6764974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11.4乙方对由以下非乙方的过错引起的侵权索赔不承担责任：</w:t>
      </w:r>
    </w:p>
    <w:p w14:paraId="4154264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11.4.1 甲方使用不当所造成的侵权。</w:t>
      </w:r>
    </w:p>
    <w:p w14:paraId="653317C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11.4.2 因甲方或第三方对开发软件或资料进行修改所直接造成的侵权。</w:t>
      </w:r>
    </w:p>
    <w:p w14:paraId="7BC29C5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184C5181">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1" w:name="_Toc84948036"/>
      <w:r>
        <w:rPr>
          <w:rFonts w:hint="default" w:ascii="Times New Roman" w:hAnsi="Times New Roman" w:eastAsia="宋体" w:cs="Times New Roman"/>
          <w:b/>
          <w:color w:val="auto"/>
          <w:spacing w:val="0"/>
          <w:highlight w:val="none"/>
        </w:rPr>
        <w:t>第十二条 保密</w:t>
      </w:r>
      <w:bookmarkEnd w:id="281"/>
    </w:p>
    <w:p w14:paraId="4B6170A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bCs/>
          <w:color w:val="auto"/>
          <w:spacing w:val="0"/>
          <w:kern w:val="0"/>
          <w:highlight w:val="none"/>
        </w:rPr>
      </w:pPr>
      <w:r>
        <w:rPr>
          <w:rFonts w:hint="default" w:ascii="Times New Roman" w:hAnsi="Times New Roman" w:eastAsia="宋体" w:cs="Times New Roman"/>
          <w:bCs/>
          <w:color w:val="auto"/>
          <w:spacing w:val="0"/>
          <w:kern w:val="0"/>
          <w:highlight w:val="none"/>
        </w:rPr>
        <w:t>12.1乙方须对本合同项下的所有条款保密。乙方人员入场前须与甲方签订相应诚信安全承诺书。</w:t>
      </w:r>
    </w:p>
    <w:p w14:paraId="14C5F857">
      <w:pPr>
        <w:keepNext w:val="0"/>
        <w:keepLines w:val="0"/>
        <w:pageBreakBefore w:val="0"/>
        <w:tabs>
          <w:tab w:val="left" w:pos="1134"/>
        </w:tabs>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12.2乙方应对本合同所述的客户信息、</w:t>
      </w:r>
      <w:r>
        <w:rPr>
          <w:rFonts w:hint="default" w:ascii="Times New Roman" w:hAnsi="Times New Roman" w:eastAsia="宋体" w:cs="Times New Roman"/>
          <w:bCs/>
          <w:color w:val="auto"/>
          <w:spacing w:val="0"/>
          <w:kern w:val="0"/>
          <w:highlight w:val="none"/>
        </w:rPr>
        <w:t>技术资料、业务流程、源代码、数据等重要信息</w:t>
      </w:r>
      <w:r>
        <w:rPr>
          <w:rFonts w:hint="default" w:ascii="Times New Roman" w:hAnsi="Times New Roman" w:eastAsia="宋体" w:cs="Times New Roman"/>
          <w:color w:val="auto"/>
          <w:spacing w:val="0"/>
          <w:kern w:val="0"/>
          <w:highlight w:val="none"/>
        </w:rPr>
        <w:t>采取保密措施，未经甲方的书面同意，乙方不得在合同允许范围外使用、披露、存放于第三方托管平台、向无关人员或第三方透露，也不能就有关合同内容的任何部分进行新闻的发布、公开的宣称、否认或承认。</w:t>
      </w:r>
    </w:p>
    <w:p w14:paraId="4E43081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bCs/>
          <w:color w:val="auto"/>
          <w:spacing w:val="0"/>
          <w:kern w:val="0"/>
          <w:highlight w:val="none"/>
        </w:rPr>
      </w:pPr>
      <w:r>
        <w:rPr>
          <w:rFonts w:hint="default" w:ascii="Times New Roman" w:hAnsi="Times New Roman" w:eastAsia="宋体" w:cs="Times New Roman"/>
          <w:bCs/>
          <w:color w:val="auto"/>
          <w:spacing w:val="0"/>
          <w:kern w:val="0"/>
          <w:highlight w:val="none"/>
        </w:rPr>
        <w:t>12.3乙方不得以甲方名义开展活动，不得将甲方数据、信息以任何形式转移、挪用或谋取合同约定以外的利益。</w:t>
      </w:r>
    </w:p>
    <w:p w14:paraId="1381B6A6">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12.4乙方知道违反本条规定将给甲方客户权利以及甲方造成难以弥补的损失，为此同意承担由此产生的经济上和法律上的责任和损失。</w:t>
      </w:r>
    </w:p>
    <w:p w14:paraId="7D6D73C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12.5乙方承认本合同中的技术资料和技术秘密为甲方所专有，将其对乙方进行披露并不意味着任何所有权、专利权的转让。</w:t>
      </w:r>
    </w:p>
    <w:p w14:paraId="02EF13B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DB3652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8A079E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12.8除非甲方特别声明，乙方对于保密信息的保密义务为无限期保密，直至甲方宣布解密或者保密信息实际上已经公开。</w:t>
      </w:r>
    </w:p>
    <w:p w14:paraId="3AAB8B3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12.9 本合同项下乙方人员行为视为乙方行为，乙方应承担全部责任及损失。</w:t>
      </w:r>
    </w:p>
    <w:p w14:paraId="3764D81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05C2D19C">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2" w:name="_Toc84948037"/>
      <w:r>
        <w:rPr>
          <w:rFonts w:hint="default" w:ascii="Times New Roman" w:hAnsi="Times New Roman" w:eastAsia="宋体" w:cs="Times New Roman"/>
          <w:b/>
          <w:color w:val="auto"/>
          <w:spacing w:val="0"/>
          <w:highlight w:val="none"/>
        </w:rPr>
        <w:t>第十三条 价格与支付</w:t>
      </w:r>
      <w:bookmarkEnd w:id="282"/>
    </w:p>
    <w:p w14:paraId="29A45846">
      <w:pPr>
        <w:keepNext w:val="0"/>
        <w:keepLines w:val="0"/>
        <w:pageBreakBefore w:val="0"/>
        <w:kinsoku/>
        <w:wordWrap/>
        <w:overflowPunct/>
        <w:topLinePunct w:val="0"/>
        <w:autoSpaceDE w:val="0"/>
        <w:autoSpaceDN w:val="0"/>
        <w:bidi w:val="0"/>
        <w:spacing w:line="360" w:lineRule="auto"/>
        <w:ind w:left="122" w:leftChars="51" w:firstLine="417" w:firstLineChars="174"/>
        <w:jc w:val="left"/>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13.1本项目合同总金额（价税合计）为</w:t>
      </w:r>
      <w:r>
        <w:rPr>
          <w:rStyle w:val="49"/>
          <w:rFonts w:hint="default" w:ascii="Times New Roman" w:hAnsi="Times New Roman" w:eastAsia="宋体" w:cs="Times New Roman"/>
          <w:color w:val="auto"/>
          <w:spacing w:val="0"/>
          <w:szCs w:val="2"/>
          <w:highlight w:val="none"/>
        </w:rPr>
        <w:t>_______</w:t>
      </w:r>
      <w:r>
        <w:rPr>
          <w:rStyle w:val="49"/>
          <w:rFonts w:hint="default" w:ascii="Times New Roman" w:hAnsi="Times New Roman" w:eastAsia="宋体" w:cs="Times New Roman"/>
          <w:color w:val="auto"/>
          <w:spacing w:val="0"/>
          <w:szCs w:val="2"/>
          <w:highlight w:val="none"/>
          <w:u w:val="single"/>
        </w:rPr>
        <w:t>元</w:t>
      </w:r>
      <w:r>
        <w:rPr>
          <w:rStyle w:val="49"/>
          <w:rFonts w:hint="default" w:ascii="Times New Roman" w:hAnsi="Times New Roman" w:eastAsia="宋体" w:cs="Times New Roman"/>
          <w:color w:val="auto"/>
          <w:spacing w:val="0"/>
          <w:kern w:val="0"/>
          <w:highlight w:val="none"/>
          <w:u w:val="single"/>
        </w:rPr>
        <w:t>（大写：</w:t>
      </w:r>
      <w:r>
        <w:rPr>
          <w:rStyle w:val="49"/>
          <w:rFonts w:hint="default" w:ascii="Times New Roman" w:hAnsi="Times New Roman" w:eastAsia="宋体" w:cs="Times New Roman"/>
          <w:color w:val="auto"/>
          <w:spacing w:val="0"/>
          <w:szCs w:val="2"/>
          <w:highlight w:val="none"/>
          <w:u w:val="single"/>
        </w:rPr>
        <w:t>整</w:t>
      </w:r>
      <w:r>
        <w:rPr>
          <w:rStyle w:val="49"/>
          <w:rFonts w:hint="default" w:ascii="Times New Roman" w:hAnsi="Times New Roman" w:eastAsia="宋体" w:cs="Times New Roman"/>
          <w:color w:val="auto"/>
          <w:spacing w:val="0"/>
          <w:kern w:val="0"/>
          <w:highlight w:val="none"/>
          <w:u w:val="single"/>
        </w:rPr>
        <w:t>）</w:t>
      </w:r>
      <w:r>
        <w:rPr>
          <w:rStyle w:val="49"/>
          <w:rFonts w:hint="default" w:ascii="Times New Roman" w:hAnsi="Times New Roman" w:eastAsia="宋体" w:cs="Times New Roman"/>
          <w:color w:val="auto"/>
          <w:spacing w:val="0"/>
          <w:kern w:val="0"/>
          <w:highlight w:val="none"/>
        </w:rPr>
        <w:t>，</w:t>
      </w:r>
      <w:r>
        <w:rPr>
          <w:rStyle w:val="49"/>
          <w:rFonts w:hint="eastAsia" w:ascii="Times New Roman" w:hAnsi="Times New Roman" w:cs="Times New Roman"/>
          <w:color w:val="auto"/>
          <w:spacing w:val="0"/>
          <w:kern w:val="0"/>
          <w:highlight w:val="none"/>
          <w:lang w:val="en-US" w:eastAsia="zh-CN"/>
        </w:rPr>
        <w:t>产品</w:t>
      </w:r>
      <w:r>
        <w:rPr>
          <w:rStyle w:val="49"/>
          <w:rFonts w:hint="default" w:ascii="Times New Roman" w:hAnsi="Times New Roman" w:eastAsia="宋体" w:cs="Times New Roman"/>
          <w:color w:val="auto"/>
          <w:spacing w:val="0"/>
          <w:kern w:val="0"/>
          <w:highlight w:val="none"/>
        </w:rPr>
        <w:t>税率为13%，</w:t>
      </w:r>
      <w:r>
        <w:rPr>
          <w:rStyle w:val="49"/>
          <w:rFonts w:hint="eastAsia" w:ascii="Times New Roman" w:hAnsi="Times New Roman" w:cs="Times New Roman"/>
          <w:color w:val="auto"/>
          <w:spacing w:val="0"/>
          <w:kern w:val="0"/>
          <w:highlight w:val="none"/>
          <w:lang w:val="en-US" w:eastAsia="zh-CN"/>
        </w:rPr>
        <w:t>实施服务税率为6%，</w:t>
      </w:r>
      <w:r>
        <w:rPr>
          <w:rStyle w:val="49"/>
          <w:rFonts w:hint="default" w:ascii="Times New Roman" w:hAnsi="Times New Roman" w:eastAsia="宋体" w:cs="Times New Roman"/>
          <w:color w:val="auto"/>
          <w:spacing w:val="0"/>
          <w:szCs w:val="2"/>
          <w:highlight w:val="none"/>
        </w:rPr>
        <w:t>不含税价为：_______</w:t>
      </w:r>
      <w:r>
        <w:rPr>
          <w:rStyle w:val="49"/>
          <w:rFonts w:hint="default" w:ascii="Times New Roman" w:hAnsi="Times New Roman" w:eastAsia="宋体" w:cs="Times New Roman"/>
          <w:color w:val="auto"/>
          <w:spacing w:val="0"/>
          <w:szCs w:val="2"/>
          <w:highlight w:val="none"/>
          <w:u w:val="single"/>
        </w:rPr>
        <w:t>元（大写：整）</w:t>
      </w:r>
      <w:r>
        <w:rPr>
          <w:rStyle w:val="49"/>
          <w:rFonts w:hint="eastAsia" w:ascii="Times New Roman" w:hAnsi="Times New Roman" w:cs="Times New Roman"/>
          <w:color w:val="auto"/>
          <w:spacing w:val="0"/>
          <w:szCs w:val="2"/>
          <w:highlight w:val="none"/>
          <w:lang w:val="en-US" w:eastAsia="zh-CN"/>
        </w:rPr>
        <w:t>,</w:t>
      </w:r>
      <w:r>
        <w:rPr>
          <w:rStyle w:val="49"/>
          <w:rFonts w:hint="default" w:ascii="Times New Roman" w:hAnsi="Times New Roman" w:eastAsia="宋体" w:cs="Times New Roman"/>
          <w:color w:val="auto"/>
          <w:spacing w:val="0"/>
          <w:szCs w:val="2"/>
          <w:highlight w:val="none"/>
        </w:rPr>
        <w:t>税额为：_______</w:t>
      </w:r>
      <w:r>
        <w:rPr>
          <w:rStyle w:val="49"/>
          <w:rFonts w:hint="default" w:ascii="Times New Roman" w:hAnsi="Times New Roman" w:eastAsia="宋体" w:cs="Times New Roman"/>
          <w:color w:val="auto"/>
          <w:spacing w:val="0"/>
          <w:szCs w:val="2"/>
          <w:highlight w:val="none"/>
          <w:u w:val="single"/>
        </w:rPr>
        <w:t>元（大写：整）</w:t>
      </w:r>
      <w:r>
        <w:rPr>
          <w:rStyle w:val="49"/>
          <w:rFonts w:hint="default" w:ascii="Times New Roman" w:hAnsi="Times New Roman" w:eastAsia="宋体" w:cs="Times New Roman"/>
          <w:color w:val="auto"/>
          <w:spacing w:val="0"/>
          <w:szCs w:val="2"/>
          <w:highlight w:val="none"/>
        </w:rPr>
        <w:t>。其中产品金额（价税合计）为_______</w:t>
      </w:r>
      <w:r>
        <w:rPr>
          <w:rStyle w:val="49"/>
          <w:rFonts w:hint="default" w:ascii="Times New Roman" w:hAnsi="Times New Roman" w:eastAsia="宋体" w:cs="Times New Roman"/>
          <w:color w:val="auto"/>
          <w:spacing w:val="0"/>
          <w:szCs w:val="2"/>
          <w:highlight w:val="none"/>
          <w:u w:val="single"/>
        </w:rPr>
        <w:t>元（大写：整），实施金额（价税合计）为</w:t>
      </w:r>
      <w:r>
        <w:rPr>
          <w:rStyle w:val="49"/>
          <w:rFonts w:hint="default" w:ascii="Times New Roman" w:hAnsi="Times New Roman" w:eastAsia="宋体" w:cs="Times New Roman"/>
          <w:color w:val="auto"/>
          <w:spacing w:val="0"/>
          <w:szCs w:val="2"/>
          <w:highlight w:val="none"/>
        </w:rPr>
        <w:t>_______</w:t>
      </w:r>
      <w:r>
        <w:rPr>
          <w:rStyle w:val="49"/>
          <w:rFonts w:hint="default" w:ascii="Times New Roman" w:hAnsi="Times New Roman" w:eastAsia="宋体" w:cs="Times New Roman"/>
          <w:color w:val="auto"/>
          <w:spacing w:val="0"/>
          <w:szCs w:val="2"/>
          <w:highlight w:val="none"/>
          <w:u w:val="single"/>
        </w:rPr>
        <w:t>元（大写：整）</w:t>
      </w:r>
      <w:r>
        <w:rPr>
          <w:rStyle w:val="49"/>
          <w:rFonts w:hint="default" w:ascii="Times New Roman" w:hAnsi="Times New Roman" w:eastAsia="宋体" w:cs="Times New Roman"/>
          <w:color w:val="auto"/>
          <w:spacing w:val="0"/>
          <w:szCs w:val="2"/>
          <w:highlight w:val="none"/>
        </w:rPr>
        <w:t>。不含税价格不因国家税率变化而变化，若在合同履行期间，如遇国家的税率调整，则价税合计应相应调整，以开具发票的时间为准。</w:t>
      </w:r>
      <w:r>
        <w:rPr>
          <w:rStyle w:val="49"/>
          <w:rFonts w:hint="default" w:ascii="Times New Roman" w:hAnsi="Times New Roman" w:eastAsia="宋体" w:cs="Times New Roman"/>
          <w:color w:val="auto"/>
          <w:spacing w:val="0"/>
          <w:kern w:val="0"/>
          <w:highlight w:val="none"/>
        </w:rPr>
        <w:t>该金额为本合同约定项目的全部费用，除双方另有约定外，甲方无须向乙方支付其他任何费用。</w:t>
      </w:r>
    </w:p>
    <w:p w14:paraId="6B55001E">
      <w:pPr>
        <w:keepNext w:val="0"/>
        <w:keepLines w:val="0"/>
        <w:pageBreakBefore w:val="0"/>
        <w:kinsoku/>
        <w:wordWrap/>
        <w:overflowPunct/>
        <w:topLinePunct w:val="0"/>
        <w:autoSpaceDE w:val="0"/>
        <w:autoSpaceDN w:val="0"/>
        <w:bidi w:val="0"/>
        <w:spacing w:line="360" w:lineRule="auto"/>
        <w:ind w:firstLine="480" w:firstLineChars="200"/>
        <w:jc w:val="left"/>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本项目产品价格（含实施金额部分）如下表所示：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3AC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1734558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4"/>
                <w:highlight w:val="none"/>
              </w:rPr>
            </w:pPr>
            <w:r>
              <w:rPr>
                <w:rFonts w:hint="default" w:ascii="Times New Roman" w:hAnsi="Times New Roman" w:eastAsia="宋体" w:cs="Times New Roman"/>
                <w:b/>
                <w:color w:val="auto"/>
                <w:spacing w:val="0"/>
                <w:sz w:val="21"/>
                <w:szCs w:val="24"/>
                <w:highlight w:val="none"/>
              </w:rPr>
              <w:t>产品名称</w:t>
            </w:r>
          </w:p>
        </w:tc>
        <w:tc>
          <w:tcPr>
            <w:tcW w:w="1701" w:type="dxa"/>
            <w:tcBorders>
              <w:tl2br w:val="nil"/>
              <w:tr2bl w:val="nil"/>
            </w:tcBorders>
            <w:vAlign w:val="center"/>
          </w:tcPr>
          <w:p w14:paraId="5FF700E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4"/>
                <w:highlight w:val="none"/>
              </w:rPr>
            </w:pPr>
            <w:r>
              <w:rPr>
                <w:rFonts w:hint="default" w:ascii="Times New Roman" w:hAnsi="Times New Roman" w:eastAsia="宋体" w:cs="Times New Roman"/>
                <w:b/>
                <w:color w:val="auto"/>
                <w:spacing w:val="0"/>
                <w:sz w:val="21"/>
                <w:szCs w:val="24"/>
                <w:highlight w:val="none"/>
              </w:rPr>
              <w:t>模块</w:t>
            </w:r>
          </w:p>
        </w:tc>
        <w:tc>
          <w:tcPr>
            <w:tcW w:w="1134" w:type="dxa"/>
            <w:tcBorders>
              <w:tl2br w:val="nil"/>
              <w:tr2bl w:val="nil"/>
            </w:tcBorders>
            <w:vAlign w:val="center"/>
          </w:tcPr>
          <w:p w14:paraId="70A58B2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4"/>
                <w:highlight w:val="none"/>
              </w:rPr>
            </w:pPr>
            <w:r>
              <w:rPr>
                <w:rFonts w:hint="default" w:ascii="Times New Roman" w:hAnsi="Times New Roman" w:eastAsia="宋体" w:cs="Times New Roman"/>
                <w:b/>
                <w:color w:val="auto"/>
                <w:spacing w:val="0"/>
                <w:sz w:val="21"/>
                <w:szCs w:val="24"/>
                <w:highlight w:val="none"/>
              </w:rPr>
              <w:t>单价（元）</w:t>
            </w:r>
          </w:p>
        </w:tc>
        <w:tc>
          <w:tcPr>
            <w:tcW w:w="1276" w:type="dxa"/>
            <w:tcBorders>
              <w:tl2br w:val="nil"/>
              <w:tr2bl w:val="nil"/>
            </w:tcBorders>
            <w:vAlign w:val="center"/>
          </w:tcPr>
          <w:p w14:paraId="4B8AFF8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4"/>
                <w:highlight w:val="none"/>
              </w:rPr>
            </w:pPr>
            <w:r>
              <w:rPr>
                <w:rFonts w:hint="default" w:ascii="Times New Roman" w:hAnsi="Times New Roman" w:eastAsia="宋体" w:cs="Times New Roman"/>
                <w:b/>
                <w:color w:val="auto"/>
                <w:spacing w:val="0"/>
                <w:sz w:val="21"/>
                <w:szCs w:val="24"/>
                <w:highlight w:val="none"/>
              </w:rPr>
              <w:t>数量（套）</w:t>
            </w:r>
          </w:p>
        </w:tc>
        <w:tc>
          <w:tcPr>
            <w:tcW w:w="1276" w:type="dxa"/>
            <w:tcBorders>
              <w:tl2br w:val="nil"/>
              <w:tr2bl w:val="nil"/>
            </w:tcBorders>
            <w:vAlign w:val="center"/>
          </w:tcPr>
          <w:p w14:paraId="46486AC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4"/>
                <w:highlight w:val="none"/>
              </w:rPr>
            </w:pPr>
            <w:r>
              <w:rPr>
                <w:rFonts w:hint="default" w:ascii="Times New Roman" w:hAnsi="Times New Roman" w:eastAsia="宋体" w:cs="Times New Roman"/>
                <w:b/>
                <w:color w:val="auto"/>
                <w:spacing w:val="0"/>
                <w:sz w:val="21"/>
                <w:szCs w:val="24"/>
                <w:highlight w:val="none"/>
              </w:rPr>
              <w:t>金额小计（元）</w:t>
            </w:r>
          </w:p>
        </w:tc>
      </w:tr>
      <w:tr w14:paraId="268D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01BC5FA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701" w:type="dxa"/>
            <w:tcBorders>
              <w:tl2br w:val="nil"/>
              <w:tr2bl w:val="nil"/>
            </w:tcBorders>
            <w:vAlign w:val="center"/>
          </w:tcPr>
          <w:p w14:paraId="4548242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134" w:type="dxa"/>
            <w:tcBorders>
              <w:tl2br w:val="nil"/>
              <w:tr2bl w:val="nil"/>
            </w:tcBorders>
            <w:vAlign w:val="center"/>
          </w:tcPr>
          <w:p w14:paraId="0F4B8CE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276" w:type="dxa"/>
            <w:tcBorders>
              <w:tl2br w:val="nil"/>
              <w:tr2bl w:val="nil"/>
            </w:tcBorders>
            <w:vAlign w:val="center"/>
          </w:tcPr>
          <w:p w14:paraId="61DBE8A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276" w:type="dxa"/>
            <w:tcBorders>
              <w:tl2br w:val="nil"/>
              <w:tr2bl w:val="nil"/>
            </w:tcBorders>
            <w:vAlign w:val="center"/>
          </w:tcPr>
          <w:p w14:paraId="7917299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r>
      <w:tr w14:paraId="4A28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782C2CE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cs="Times New Roman"/>
                <w:color w:val="auto"/>
                <w:highlight w:val="none"/>
              </w:rPr>
            </w:pPr>
          </w:p>
        </w:tc>
        <w:tc>
          <w:tcPr>
            <w:tcW w:w="1701" w:type="dxa"/>
            <w:tcBorders>
              <w:tl2br w:val="nil"/>
              <w:tr2bl w:val="nil"/>
            </w:tcBorders>
            <w:vAlign w:val="center"/>
          </w:tcPr>
          <w:p w14:paraId="29D807C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134" w:type="dxa"/>
            <w:tcBorders>
              <w:tl2br w:val="nil"/>
              <w:tr2bl w:val="nil"/>
            </w:tcBorders>
            <w:vAlign w:val="center"/>
          </w:tcPr>
          <w:p w14:paraId="67B78EA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276" w:type="dxa"/>
            <w:tcBorders>
              <w:tl2br w:val="nil"/>
              <w:tr2bl w:val="nil"/>
            </w:tcBorders>
            <w:vAlign w:val="center"/>
          </w:tcPr>
          <w:p w14:paraId="222240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c>
          <w:tcPr>
            <w:tcW w:w="1276" w:type="dxa"/>
            <w:tcBorders>
              <w:tl2br w:val="nil"/>
              <w:tr2bl w:val="nil"/>
            </w:tcBorders>
            <w:vAlign w:val="center"/>
          </w:tcPr>
          <w:p w14:paraId="2444F6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p>
        </w:tc>
      </w:tr>
      <w:tr w14:paraId="4B8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4428FCC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Style w:val="49"/>
                <w:rFonts w:hint="default" w:ascii="Times New Roman" w:hAnsi="Times New Roman" w:eastAsia="宋体" w:cs="Times New Roman"/>
                <w:bCs/>
                <w:color w:val="auto"/>
                <w:kern w:val="0"/>
                <w:sz w:val="21"/>
                <w:szCs w:val="21"/>
                <w:highlight w:val="none"/>
              </w:rPr>
            </w:pPr>
            <w:r>
              <w:rPr>
                <w:rStyle w:val="49"/>
                <w:rFonts w:hint="default" w:ascii="Times New Roman" w:hAnsi="Times New Roman" w:eastAsia="宋体" w:cs="Times New Roman"/>
                <w:bCs/>
                <w:color w:val="auto"/>
                <w:kern w:val="0"/>
                <w:sz w:val="21"/>
                <w:szCs w:val="21"/>
                <w:highlight w:val="none"/>
              </w:rPr>
              <w:t>合计</w:t>
            </w:r>
            <w:r>
              <w:rPr>
                <w:rFonts w:hint="default" w:ascii="Times New Roman" w:hAnsi="Times New Roman" w:eastAsia="宋体" w:cs="Times New Roman"/>
                <w:color w:val="auto"/>
                <w:spacing w:val="0"/>
                <w:sz w:val="21"/>
                <w:szCs w:val="24"/>
                <w:highlight w:val="none"/>
              </w:rPr>
              <w:t>（含税）</w:t>
            </w:r>
          </w:p>
        </w:tc>
        <w:tc>
          <w:tcPr>
            <w:tcW w:w="5387" w:type="dxa"/>
            <w:gridSpan w:val="4"/>
            <w:tcBorders>
              <w:tl2br w:val="nil"/>
              <w:tr2bl w:val="nil"/>
            </w:tcBorders>
            <w:vAlign w:val="center"/>
          </w:tcPr>
          <w:p w14:paraId="048DAED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4"/>
                <w:highlight w:val="none"/>
              </w:rPr>
            </w:pPr>
            <w:r>
              <w:rPr>
                <w:rFonts w:hint="default" w:ascii="Times New Roman" w:hAnsi="Times New Roman" w:eastAsia="宋体" w:cs="Times New Roman"/>
                <w:color w:val="auto"/>
                <w:spacing w:val="0"/>
                <w:sz w:val="21"/>
                <w:szCs w:val="24"/>
                <w:highlight w:val="none"/>
              </w:rPr>
              <w:t>大写（人民币）：元整</w:t>
            </w:r>
          </w:p>
        </w:tc>
      </w:tr>
    </w:tbl>
    <w:p w14:paraId="2C22173F">
      <w:pPr>
        <w:keepNext w:val="0"/>
        <w:keepLines w:val="0"/>
        <w:pageBreakBefore w:val="0"/>
        <w:kinsoku/>
        <w:wordWrap/>
        <w:overflowPunct/>
        <w:topLinePunct w:val="0"/>
        <w:autoSpaceDE w:val="0"/>
        <w:autoSpaceDN w:val="0"/>
        <w:bidi w:val="0"/>
        <w:spacing w:line="360" w:lineRule="auto"/>
        <w:ind w:firstLine="480" w:firstLineChars="200"/>
        <w:jc w:val="left"/>
        <w:outlineLvl w:val="9"/>
        <w:rPr>
          <w:rStyle w:val="49"/>
          <w:rFonts w:hint="default" w:ascii="Times New Roman" w:hAnsi="Times New Roman" w:eastAsia="宋体" w:cs="Times New Roman"/>
          <w:color w:val="auto"/>
          <w:spacing w:val="0"/>
          <w:kern w:val="0"/>
          <w:highlight w:val="none"/>
        </w:rPr>
      </w:pPr>
    </w:p>
    <w:p w14:paraId="46C00D5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13.2支付方式：</w:t>
      </w:r>
    </w:p>
    <w:p w14:paraId="368A9BE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本合同款项采用分期付款：</w:t>
      </w:r>
    </w:p>
    <w:p w14:paraId="15FEF41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13.2.1湖仓一体底座和数据作业平台部署完成（包括产品的客制化开发完后完成）30个工作日内</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乙方向甲方提供合法足额的增值税专用发票，甲方向乙方支付合同总额的</w:t>
      </w:r>
      <w:r>
        <w:rPr>
          <w:rFonts w:hint="eastAsia" w:ascii="Times New Roman" w:hAnsi="Times New Roman" w:cs="Times New Roman"/>
          <w:color w:val="auto"/>
          <w:spacing w:val="0"/>
          <w:highlight w:val="none"/>
          <w:lang w:val="en-US" w:eastAsia="zh-CN"/>
        </w:rPr>
        <w:t>3</w:t>
      </w:r>
      <w:r>
        <w:rPr>
          <w:rFonts w:hint="default" w:ascii="Times New Roman" w:hAnsi="Times New Roman" w:eastAsia="宋体" w:cs="Times New Roman"/>
          <w:color w:val="auto"/>
          <w:spacing w:val="0"/>
          <w:highlight w:val="none"/>
        </w:rPr>
        <w:t>0％，即</w:t>
      </w:r>
      <w:r>
        <w:rPr>
          <w:rFonts w:hint="default" w:ascii="Times New Roman" w:hAnsi="Times New Roman" w:eastAsia="宋体" w:cs="Times New Roman"/>
          <w:color w:val="auto"/>
          <w:spacing w:val="0"/>
          <w:highlight w:val="none"/>
          <w:u w:val="single"/>
        </w:rPr>
        <w:t xml:space="preserve">      </w:t>
      </w:r>
      <w:r>
        <w:rPr>
          <w:rFonts w:hint="default" w:ascii="Times New Roman" w:hAnsi="Times New Roman" w:eastAsia="宋体" w:cs="Times New Roman"/>
          <w:color w:val="auto"/>
          <w:spacing w:val="0"/>
          <w:highlight w:val="none"/>
        </w:rPr>
        <w:t>元（大写：</w:t>
      </w:r>
      <w:r>
        <w:rPr>
          <w:rFonts w:hint="default" w:ascii="Times New Roman" w:hAnsi="Times New Roman" w:eastAsia="宋体" w:cs="Times New Roman"/>
          <w:color w:val="auto"/>
          <w:spacing w:val="0"/>
          <w:highlight w:val="none"/>
          <w:u w:val="single"/>
        </w:rPr>
        <w:t xml:space="preserve">      元整 </w:t>
      </w:r>
      <w:r>
        <w:rPr>
          <w:rFonts w:hint="default" w:ascii="Times New Roman" w:hAnsi="Times New Roman" w:eastAsia="宋体" w:cs="Times New Roman"/>
          <w:color w:val="auto"/>
          <w:spacing w:val="0"/>
          <w:highlight w:val="none"/>
        </w:rPr>
        <w:t>）。</w:t>
      </w:r>
    </w:p>
    <w:p w14:paraId="2C57951D">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13.2.2项目实施和迁移完成并投入试运行30个工作日内</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乙方向甲方提供合法足额的增值税专用发票，甲方向乙方支付合同总价的30％</w:t>
      </w:r>
      <w:r>
        <w:rPr>
          <w:rFonts w:hint="default" w:ascii="Times New Roman" w:hAnsi="Times New Roman" w:cs="Times New Roman"/>
          <w:color w:val="auto"/>
          <w:spacing w:val="0"/>
          <w:kern w:val="0"/>
          <w:highlight w:val="none"/>
        </w:rPr>
        <w:t>，</w:t>
      </w:r>
      <w:r>
        <w:rPr>
          <w:rFonts w:hint="default" w:ascii="Times New Roman" w:hAnsi="Times New Roman" w:eastAsia="宋体" w:cs="Times New Roman"/>
          <w:color w:val="auto"/>
          <w:spacing w:val="0"/>
          <w:highlight w:val="none"/>
        </w:rPr>
        <w:t>即</w:t>
      </w:r>
      <w:r>
        <w:rPr>
          <w:rFonts w:hint="default" w:ascii="Times New Roman" w:hAnsi="Times New Roman" w:eastAsia="宋体" w:cs="Times New Roman"/>
          <w:color w:val="auto"/>
          <w:spacing w:val="0"/>
          <w:highlight w:val="none"/>
          <w:u w:val="single"/>
        </w:rPr>
        <w:t xml:space="preserve">      </w:t>
      </w:r>
      <w:r>
        <w:rPr>
          <w:rFonts w:hint="default" w:ascii="Times New Roman" w:hAnsi="Times New Roman" w:eastAsia="宋体" w:cs="Times New Roman"/>
          <w:color w:val="auto"/>
          <w:spacing w:val="0"/>
          <w:highlight w:val="none"/>
        </w:rPr>
        <w:t>元（大写：</w:t>
      </w:r>
      <w:r>
        <w:rPr>
          <w:rFonts w:hint="default" w:ascii="Times New Roman" w:hAnsi="Times New Roman" w:eastAsia="宋体" w:cs="Times New Roman"/>
          <w:color w:val="auto"/>
          <w:spacing w:val="0"/>
          <w:highlight w:val="none"/>
          <w:u w:val="single"/>
        </w:rPr>
        <w:t xml:space="preserve">          元整 </w:t>
      </w:r>
      <w:r>
        <w:rPr>
          <w:rFonts w:hint="default" w:ascii="Times New Roman" w:hAnsi="Times New Roman" w:eastAsia="宋体" w:cs="Times New Roman"/>
          <w:color w:val="auto"/>
          <w:spacing w:val="0"/>
          <w:highlight w:val="none"/>
        </w:rPr>
        <w:t>）。</w:t>
      </w:r>
    </w:p>
    <w:p w14:paraId="13C44C86">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13.2.</w:t>
      </w:r>
      <w:r>
        <w:rPr>
          <w:rFonts w:hint="eastAsia" w:ascii="Times New Roman" w:hAnsi="Times New Roman" w:cs="Times New Roman"/>
          <w:color w:val="auto"/>
          <w:spacing w:val="0"/>
          <w:highlight w:val="none"/>
          <w:lang w:val="en-US" w:eastAsia="zh-CN"/>
        </w:rPr>
        <w:t>3</w:t>
      </w:r>
      <w:r>
        <w:rPr>
          <w:rFonts w:hint="default" w:ascii="Times New Roman" w:hAnsi="Times New Roman" w:eastAsia="宋体" w:cs="Times New Roman"/>
          <w:color w:val="auto"/>
          <w:spacing w:val="0"/>
          <w:highlight w:val="none"/>
        </w:rPr>
        <w:t>项目试运行结束并验收合格后30个工作日内</w:t>
      </w:r>
      <w:r>
        <w:rPr>
          <w:rFonts w:hint="eastAsia" w:ascii="Times New Roman" w:hAnsi="Times New Roman" w:cs="Times New Roman"/>
          <w:color w:val="auto"/>
          <w:spacing w:val="0"/>
          <w:highlight w:val="none"/>
          <w:lang w:eastAsia="zh-CN"/>
        </w:rPr>
        <w:t>，</w:t>
      </w:r>
      <w:r>
        <w:rPr>
          <w:rFonts w:hint="default" w:ascii="Times New Roman" w:hAnsi="Times New Roman" w:eastAsia="宋体" w:cs="Times New Roman"/>
          <w:color w:val="auto"/>
          <w:spacing w:val="0"/>
          <w:highlight w:val="none"/>
        </w:rPr>
        <w:t>甲方依据附件五《服务水平协议（SLA）》对乙方服务质量作出评价，评价合格后，乙方向甲方提供合法足额的增值税专用发票，甲方向乙方支付合同总价的30％</w:t>
      </w:r>
      <w:r>
        <w:rPr>
          <w:rFonts w:hint="default" w:ascii="Times New Roman" w:hAnsi="Times New Roman" w:cs="Times New Roman"/>
          <w:color w:val="auto"/>
          <w:spacing w:val="0"/>
          <w:kern w:val="0"/>
          <w:highlight w:val="none"/>
        </w:rPr>
        <w:t>，</w:t>
      </w:r>
      <w:r>
        <w:rPr>
          <w:rFonts w:hint="default" w:ascii="Times New Roman" w:hAnsi="Times New Roman" w:eastAsia="宋体" w:cs="Times New Roman"/>
          <w:color w:val="auto"/>
          <w:spacing w:val="0"/>
          <w:highlight w:val="none"/>
        </w:rPr>
        <w:t>即</w:t>
      </w:r>
      <w:r>
        <w:rPr>
          <w:rFonts w:hint="default" w:ascii="Times New Roman" w:hAnsi="Times New Roman" w:eastAsia="宋体" w:cs="Times New Roman"/>
          <w:color w:val="auto"/>
          <w:spacing w:val="0"/>
          <w:highlight w:val="none"/>
          <w:u w:val="single"/>
        </w:rPr>
        <w:t xml:space="preserve">      </w:t>
      </w:r>
      <w:r>
        <w:rPr>
          <w:rFonts w:hint="default" w:ascii="Times New Roman" w:hAnsi="Times New Roman" w:eastAsia="宋体" w:cs="Times New Roman"/>
          <w:color w:val="auto"/>
          <w:spacing w:val="0"/>
          <w:highlight w:val="none"/>
        </w:rPr>
        <w:t>元（大写：</w:t>
      </w:r>
      <w:r>
        <w:rPr>
          <w:rFonts w:hint="default" w:ascii="Times New Roman" w:hAnsi="Times New Roman" w:eastAsia="宋体" w:cs="Times New Roman"/>
          <w:color w:val="auto"/>
          <w:spacing w:val="0"/>
          <w:highlight w:val="none"/>
          <w:u w:val="single"/>
        </w:rPr>
        <w:t xml:space="preserve">          元整 </w:t>
      </w:r>
      <w:r>
        <w:rPr>
          <w:rFonts w:hint="default" w:ascii="Times New Roman" w:hAnsi="Times New Roman" w:eastAsia="宋体" w:cs="Times New Roman"/>
          <w:color w:val="auto"/>
          <w:spacing w:val="0"/>
          <w:highlight w:val="none"/>
        </w:rPr>
        <w:t>），否则按《服务水平协议（SLA）》进行相应金额扣除。</w:t>
      </w:r>
    </w:p>
    <w:p w14:paraId="7308066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13.2.</w:t>
      </w:r>
      <w:r>
        <w:rPr>
          <w:rFonts w:hint="eastAsia" w:ascii="Times New Roman" w:hAnsi="Times New Roman" w:cs="Times New Roman"/>
          <w:color w:val="auto"/>
          <w:spacing w:val="0"/>
          <w:highlight w:val="none"/>
          <w:lang w:val="en-US" w:eastAsia="zh-CN"/>
        </w:rPr>
        <w:t>4</w:t>
      </w:r>
      <w:r>
        <w:rPr>
          <w:rFonts w:hint="default" w:ascii="Times New Roman" w:hAnsi="Times New Roman" w:eastAsia="宋体" w:cs="Times New Roman"/>
          <w:color w:val="auto"/>
          <w:spacing w:val="0"/>
          <w:highlight w:val="none"/>
        </w:rPr>
        <w:t>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default" w:ascii="Times New Roman" w:hAnsi="Times New Roman" w:eastAsia="宋体" w:cs="Times New Roman"/>
          <w:color w:val="auto"/>
          <w:spacing w:val="0"/>
          <w:highlight w:val="none"/>
          <w:u w:val="single"/>
        </w:rPr>
        <w:t xml:space="preserve">      </w:t>
      </w:r>
      <w:r>
        <w:rPr>
          <w:rFonts w:hint="default" w:ascii="Times New Roman" w:hAnsi="Times New Roman" w:eastAsia="宋体" w:cs="Times New Roman"/>
          <w:color w:val="auto"/>
          <w:spacing w:val="0"/>
          <w:highlight w:val="none"/>
        </w:rPr>
        <w:t>元（大写：</w:t>
      </w:r>
      <w:r>
        <w:rPr>
          <w:rFonts w:hint="default" w:ascii="Times New Roman" w:hAnsi="Times New Roman" w:eastAsia="宋体" w:cs="Times New Roman"/>
          <w:color w:val="auto"/>
          <w:spacing w:val="0"/>
          <w:highlight w:val="none"/>
          <w:u w:val="single"/>
        </w:rPr>
        <w:t xml:space="preserve">      元整 </w:t>
      </w:r>
      <w:r>
        <w:rPr>
          <w:rFonts w:hint="default" w:ascii="Times New Roman" w:hAnsi="Times New Roman" w:eastAsia="宋体" w:cs="Times New Roman"/>
          <w:color w:val="auto"/>
          <w:spacing w:val="0"/>
          <w:highlight w:val="none"/>
        </w:rPr>
        <w:t>），否则按《服务水平协议（SLA）》进行相应金额扣除（13.2.2中已扣除部分，本条不重复扣减）。</w:t>
      </w:r>
    </w:p>
    <w:p w14:paraId="4648B23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13.3发票要求：</w:t>
      </w:r>
    </w:p>
    <w:p w14:paraId="02FC04D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乙方须严格按照合同内容开具</w:t>
      </w:r>
      <w:r>
        <w:rPr>
          <w:rFonts w:hint="eastAsia" w:ascii="Times New Roman" w:hAnsi="Times New Roman" w:cs="Times New Roman"/>
          <w:color w:val="auto"/>
          <w:spacing w:val="0"/>
          <w:highlight w:val="none"/>
          <w:lang w:val="en-US" w:eastAsia="zh-CN"/>
        </w:rPr>
        <w:t>产品</w:t>
      </w:r>
      <w:r>
        <w:rPr>
          <w:rFonts w:hint="default" w:ascii="Times New Roman" w:hAnsi="Times New Roman" w:eastAsia="宋体" w:cs="Times New Roman"/>
          <w:color w:val="auto"/>
          <w:spacing w:val="0"/>
          <w:highlight w:val="none"/>
        </w:rPr>
        <w:t>税率为</w:t>
      </w:r>
      <w:r>
        <w:rPr>
          <w:rFonts w:hint="default" w:ascii="Times New Roman" w:hAnsi="Times New Roman" w:eastAsia="宋体" w:cs="Times New Roman"/>
          <w:color w:val="auto"/>
          <w:spacing w:val="0"/>
          <w:highlight w:val="none"/>
          <w:u w:val="single"/>
        </w:rPr>
        <w:t>13%</w:t>
      </w:r>
      <w:r>
        <w:rPr>
          <w:rFonts w:hint="eastAsia" w:ascii="Times New Roman" w:hAnsi="Times New Roman" w:cs="Times New Roman"/>
          <w:color w:val="auto"/>
          <w:spacing w:val="0"/>
          <w:highlight w:val="none"/>
          <w:u w:val="none"/>
          <w:lang w:eastAsia="zh-CN"/>
        </w:rPr>
        <w:t>，</w:t>
      </w:r>
      <w:r>
        <w:rPr>
          <w:rFonts w:hint="eastAsia" w:ascii="Times New Roman" w:hAnsi="Times New Roman" w:cs="Times New Roman"/>
          <w:color w:val="auto"/>
          <w:spacing w:val="0"/>
          <w:highlight w:val="none"/>
          <w:u w:val="none"/>
          <w:lang w:val="en-US" w:eastAsia="zh-CN"/>
        </w:rPr>
        <w:t>实施服务税率为</w:t>
      </w:r>
      <w:r>
        <w:rPr>
          <w:rFonts w:hint="eastAsia" w:ascii="Times New Roman" w:hAnsi="Times New Roman" w:cs="Times New Roman"/>
          <w:color w:val="auto"/>
          <w:spacing w:val="0"/>
          <w:highlight w:val="none"/>
          <w:u w:val="single"/>
          <w:lang w:val="en-US" w:eastAsia="zh-CN"/>
        </w:rPr>
        <w:t>6%</w:t>
      </w:r>
      <w:r>
        <w:rPr>
          <w:rFonts w:hint="default" w:ascii="Times New Roman" w:hAnsi="Times New Roman" w:eastAsia="宋体" w:cs="Times New Roman"/>
          <w:color w:val="auto"/>
          <w:spacing w:val="0"/>
          <w:highlight w:val="none"/>
        </w:rPr>
        <w:t>的增值税专用发票（若遇国家税率调整另议），乙方在甲方每次付款前30个工作日需向甲方交付合法足额发票，否则甲方有权拒绝支付任何费用且不承担逾期付款违约责任。</w:t>
      </w:r>
    </w:p>
    <w:p w14:paraId="5251318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3109913E">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3" w:name="_Toc84948038"/>
      <w:r>
        <w:rPr>
          <w:rFonts w:hint="default" w:ascii="Times New Roman" w:hAnsi="Times New Roman" w:eastAsia="宋体" w:cs="Times New Roman"/>
          <w:b/>
          <w:color w:val="auto"/>
          <w:spacing w:val="0"/>
          <w:highlight w:val="none"/>
        </w:rPr>
        <w:t>第十四条 风险责任的承担</w:t>
      </w:r>
      <w:bookmarkEnd w:id="283"/>
    </w:p>
    <w:p w14:paraId="7F023B40">
      <w:pPr>
        <w:keepNext w:val="0"/>
        <w:keepLines w:val="0"/>
        <w:pageBreakBefore w:val="0"/>
        <w:tabs>
          <w:tab w:val="left" w:pos="6020"/>
        </w:tabs>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513CEBE6">
      <w:pPr>
        <w:keepNext w:val="0"/>
        <w:keepLines w:val="0"/>
        <w:pageBreakBefore w:val="0"/>
        <w:tabs>
          <w:tab w:val="left" w:pos="6020"/>
        </w:tabs>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759E3168">
      <w:pPr>
        <w:keepNext w:val="0"/>
        <w:keepLines w:val="0"/>
        <w:pageBreakBefore w:val="0"/>
        <w:tabs>
          <w:tab w:val="left" w:pos="6020"/>
        </w:tabs>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39FDA3D">
      <w:pPr>
        <w:keepNext w:val="0"/>
        <w:keepLines w:val="0"/>
        <w:pageBreakBefore w:val="0"/>
        <w:tabs>
          <w:tab w:val="left" w:pos="6020"/>
        </w:tabs>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54689848">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4" w:name="_Toc84948039"/>
      <w:r>
        <w:rPr>
          <w:rFonts w:hint="default" w:ascii="Times New Roman" w:hAnsi="Times New Roman" w:eastAsia="宋体" w:cs="Times New Roman"/>
          <w:b/>
          <w:color w:val="auto"/>
          <w:spacing w:val="0"/>
          <w:highlight w:val="none"/>
        </w:rPr>
        <w:t>第十五条</w:t>
      </w:r>
      <w:bookmarkStart w:id="285" w:name="_Toc58337511"/>
      <w:r>
        <w:rPr>
          <w:rFonts w:hint="default" w:ascii="Times New Roman" w:hAnsi="Times New Roman" w:eastAsia="宋体" w:cs="Times New Roman"/>
          <w:b/>
          <w:color w:val="auto"/>
          <w:spacing w:val="0"/>
          <w:highlight w:val="none"/>
        </w:rPr>
        <w:t xml:space="preserve"> 违约与赔偿</w:t>
      </w:r>
      <w:bookmarkEnd w:id="284"/>
      <w:bookmarkEnd w:id="285"/>
    </w:p>
    <w:p w14:paraId="73A4933A">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15.1因甲方原因未按本合同规定支付第一期款项，且经乙方合理催告后，仍无正当理由并逾期支付达【30】个工作日以上的，乙方有权解除合同。</w:t>
      </w:r>
    </w:p>
    <w:p w14:paraId="2ABEB74D">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15.2因甲方原因逾期支付第二期或第三期款项的，自逾期一个月后的第二天起，每逾期一天支付应付逾期付款金额的万分之五的违约金，违约金总额不超过应付款额的20%。</w:t>
      </w:r>
    </w:p>
    <w:p w14:paraId="1E73140B">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48ABAE0A">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15.4乙方应按本合同规定的研究开发进程完成开发项目。若因乙方自身原因未按时完成开发项目，则按照附件五《服务水平协议（SLA）》扣除延期违约金。</w:t>
      </w:r>
    </w:p>
    <w:p w14:paraId="24D51D9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15.5乙方未能完成甲方委托的开发项目或开发成果不符合本合同约定的要求，乙方承担本合同总额20%的违约金，并返还甲方已支付的费用。</w:t>
      </w:r>
    </w:p>
    <w:p w14:paraId="75DCF61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15.6乙方将甲方支付的费用于履行合同以外的目的，甲方有权制止并要求其纠正。如因此造成本合同项目停滞、延误或失败的，乙方应当承担给甲方造成的损失赔偿责任。</w:t>
      </w:r>
    </w:p>
    <w:p w14:paraId="77882A6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15.7除本条、附件五《服务水平协议（SLA）》及其他条款另有约定外，乙方违反本合同任一条款的，应向甲方支付合同总额5%的违约金并赔偿甲方产生的损失。</w:t>
      </w:r>
    </w:p>
    <w:p w14:paraId="4E24CC0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15.8本合同项下乙方应支付的违约金、赔偿金等，甲方均有权从应支付给乙方的款项中优先扣除，若有不足，乙方应另行筹措资金补足。</w:t>
      </w:r>
    </w:p>
    <w:p w14:paraId="5481D89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4863E8B0">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6" w:name="_Toc84948040"/>
      <w:r>
        <w:rPr>
          <w:rFonts w:hint="default" w:ascii="Times New Roman" w:hAnsi="Times New Roman" w:eastAsia="宋体" w:cs="Times New Roman"/>
          <w:b/>
          <w:color w:val="auto"/>
          <w:spacing w:val="0"/>
          <w:highlight w:val="none"/>
        </w:rPr>
        <w:t>第十六条 合同的解除</w:t>
      </w:r>
      <w:bookmarkEnd w:id="286"/>
    </w:p>
    <w:p w14:paraId="427CEFC5">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16.1如果满足以下条件，任一方在通知对方后，都可以解除本合同。</w:t>
      </w:r>
    </w:p>
    <w:p w14:paraId="0486173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F88B8F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（2）当一方按正常程序停止经营业务、破产、处于付款拖欠、延期偿付、公司重组或倒闭状况，或全部转让利润与债权人、书面承认无力偿还到期债务、委派清算人清算其业务或财产。</w:t>
      </w:r>
    </w:p>
    <w:p w14:paraId="672B81B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16.2除本合同约定的情形外，甲方若认为乙方无法胜任本合同项下工作的，有权随时通知乙方后解除本合同。甲方除据实与乙方结算费用外，不承担其他违约责任。</w:t>
      </w:r>
    </w:p>
    <w:p w14:paraId="6AD2ADE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16.3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2CC7F67E">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p>
    <w:p w14:paraId="6650CE59">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7" w:name="_Toc84948041"/>
      <w:r>
        <w:rPr>
          <w:rFonts w:hint="default" w:ascii="Times New Roman" w:hAnsi="Times New Roman" w:eastAsia="宋体" w:cs="Times New Roman"/>
          <w:b/>
          <w:color w:val="auto"/>
          <w:spacing w:val="0"/>
          <w:highlight w:val="none"/>
        </w:rPr>
        <w:t>第十七条 合同变更及转让</w:t>
      </w:r>
      <w:bookmarkEnd w:id="287"/>
    </w:p>
    <w:p w14:paraId="62F62BA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17.1对本合同及其附件的内容进行变更，必须经双方协商一致并签订补充协议，方能生效，本合同另有约定的除外。</w:t>
      </w:r>
    </w:p>
    <w:p w14:paraId="75E9498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17.2本合同双方在未取得对方事先书面同意的前提下，均不得将各自本合同项下的任何权利或义务转让给第三方。</w:t>
      </w:r>
    </w:p>
    <w:p w14:paraId="7EF8541F">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p>
    <w:p w14:paraId="3D74B829">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8" w:name="_Toc84948042"/>
      <w:r>
        <w:rPr>
          <w:rFonts w:hint="default" w:ascii="Times New Roman" w:hAnsi="Times New Roman" w:eastAsia="宋体" w:cs="Times New Roman"/>
          <w:b/>
          <w:color w:val="auto"/>
          <w:spacing w:val="0"/>
          <w:highlight w:val="none"/>
        </w:rPr>
        <w:t>第十八条 争议解决</w:t>
      </w:r>
      <w:bookmarkEnd w:id="288"/>
    </w:p>
    <w:p w14:paraId="5DDC075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1FE875C3">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p>
    <w:p w14:paraId="615D8AEF">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89" w:name="_Toc84948043"/>
      <w:r>
        <w:rPr>
          <w:rFonts w:hint="default" w:ascii="Times New Roman" w:hAnsi="Times New Roman" w:eastAsia="宋体" w:cs="Times New Roman"/>
          <w:b/>
          <w:color w:val="auto"/>
          <w:spacing w:val="0"/>
          <w:highlight w:val="none"/>
        </w:rPr>
        <w:t>第十九条 通知与送达</w:t>
      </w:r>
      <w:bookmarkEnd w:id="289"/>
    </w:p>
    <w:p w14:paraId="09B7365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96A2A9D">
      <w:pPr>
        <w:keepNext w:val="0"/>
        <w:keepLines w:val="0"/>
        <w:pageBreakBefore w:val="0"/>
        <w:kinsoku/>
        <w:wordWrap/>
        <w:overflowPunct/>
        <w:topLinePunct w:val="0"/>
        <w:autoSpaceDE w:val="0"/>
        <w:autoSpaceDN w:val="0"/>
        <w:bidi w:val="0"/>
        <w:adjustRightInd w:val="0"/>
        <w:spacing w:line="336" w:lineRule="auto"/>
        <w:ind w:firstLine="537" w:firstLineChars="224"/>
        <w:jc w:val="left"/>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12388B5">
      <w:pPr>
        <w:keepNext w:val="0"/>
        <w:keepLines w:val="0"/>
        <w:pageBreakBefore w:val="0"/>
        <w:kinsoku/>
        <w:wordWrap/>
        <w:overflowPunct/>
        <w:topLinePunct w:val="0"/>
        <w:autoSpaceDE w:val="0"/>
        <w:autoSpaceDN w:val="0"/>
        <w:bidi w:val="0"/>
        <w:adjustRightInd w:val="0"/>
        <w:spacing w:line="336" w:lineRule="auto"/>
        <w:ind w:firstLine="537" w:firstLineChars="224"/>
        <w:jc w:val="left"/>
        <w:outlineLvl w:val="9"/>
        <w:rPr>
          <w:rFonts w:hint="default" w:ascii="Times New Roman" w:hAnsi="Times New Roman" w:eastAsia="宋体" w:cs="Times New Roman"/>
          <w:color w:val="auto"/>
          <w:spacing w:val="0"/>
          <w:highlight w:val="none"/>
        </w:rPr>
      </w:pPr>
    </w:p>
    <w:p w14:paraId="30D73C9A">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90" w:name="_Toc84948044"/>
      <w:r>
        <w:rPr>
          <w:rFonts w:hint="default" w:ascii="Times New Roman" w:hAnsi="Times New Roman" w:eastAsia="宋体" w:cs="Times New Roman"/>
          <w:b/>
          <w:color w:val="auto"/>
          <w:spacing w:val="0"/>
          <w:highlight w:val="none"/>
        </w:rPr>
        <w:t>第二十条 合同生效</w:t>
      </w:r>
      <w:bookmarkEnd w:id="290"/>
    </w:p>
    <w:p w14:paraId="18B4B1F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本合同自下列条件全部满足之日起生效：</w:t>
      </w:r>
    </w:p>
    <w:p w14:paraId="09F8D5D2">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双方对本合同及其全部附件内容达成一致并加盖公章。</w:t>
      </w:r>
    </w:p>
    <w:p w14:paraId="12A142C4">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p>
    <w:p w14:paraId="788A6711">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91" w:name="_Toc84948045"/>
      <w:r>
        <w:rPr>
          <w:rFonts w:hint="default" w:ascii="Times New Roman" w:hAnsi="Times New Roman" w:eastAsia="宋体" w:cs="Times New Roman"/>
          <w:b/>
          <w:color w:val="auto"/>
          <w:spacing w:val="0"/>
          <w:highlight w:val="none"/>
        </w:rPr>
        <w:t>第二十一条 不可抗力</w:t>
      </w:r>
      <w:bookmarkEnd w:id="291"/>
    </w:p>
    <w:p w14:paraId="0CBA3EB1">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1DD25AD9">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21.2发生不可抗力的一方应立即通知对方，并在十五天内提供不可抗力的详情及将有关证明文件送交对方。</w:t>
      </w:r>
    </w:p>
    <w:p w14:paraId="61CF6C3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21.3发生不可抗力事件时，甲乙双方应协商以寻找一个合理的解决方法，并尽一切努力减轻不可抗力产生的后果。</w:t>
      </w:r>
    </w:p>
    <w:p w14:paraId="275BA0FF">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21.4如不可抗力事件持续三十天时，甲乙双方应友好协商解决本合同是否继续履行或终止的问题。</w:t>
      </w:r>
    </w:p>
    <w:p w14:paraId="538DA8C0">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p>
    <w:p w14:paraId="41EFFC5B">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92" w:name="_Toc84948046"/>
      <w:r>
        <w:rPr>
          <w:rFonts w:hint="default" w:ascii="Times New Roman" w:hAnsi="Times New Roman" w:eastAsia="宋体" w:cs="Times New Roman"/>
          <w:b/>
          <w:color w:val="auto"/>
          <w:spacing w:val="0"/>
          <w:highlight w:val="none"/>
        </w:rPr>
        <w:t>第二十二条 反商业贿赂</w:t>
      </w:r>
      <w:bookmarkEnd w:id="292"/>
    </w:p>
    <w:p w14:paraId="335D2E5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4EEFE61">
      <w:pPr>
        <w:keepNext w:val="0"/>
        <w:keepLines w:val="0"/>
        <w:pageBreakBefore w:val="0"/>
        <w:kinsoku/>
        <w:wordWrap/>
        <w:overflowPunct/>
        <w:topLinePunct w:val="0"/>
        <w:autoSpaceDE w:val="0"/>
        <w:autoSpaceDN w:val="0"/>
        <w:bidi w:val="0"/>
        <w:spacing w:line="360" w:lineRule="auto"/>
        <w:ind w:firstLine="482" w:firstLineChars="200"/>
        <w:outlineLvl w:val="9"/>
        <w:rPr>
          <w:rFonts w:hint="default" w:ascii="Times New Roman" w:hAnsi="Times New Roman" w:eastAsia="宋体" w:cs="Times New Roman"/>
          <w:b/>
          <w:color w:val="auto"/>
          <w:spacing w:val="0"/>
          <w:highlight w:val="none"/>
        </w:rPr>
      </w:pPr>
    </w:p>
    <w:p w14:paraId="72D90E56">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93" w:name="_Toc84948047"/>
      <w:r>
        <w:rPr>
          <w:rFonts w:hint="default" w:ascii="Times New Roman" w:hAnsi="Times New Roman" w:eastAsia="宋体" w:cs="Times New Roman"/>
          <w:b/>
          <w:color w:val="auto"/>
          <w:spacing w:val="0"/>
          <w:highlight w:val="none"/>
        </w:rPr>
        <w:t>第二十三条 附件</w:t>
      </w:r>
      <w:bookmarkEnd w:id="293"/>
    </w:p>
    <w:p w14:paraId="7DCF3666">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本合同的附件与合同正本具有同等法律效力，主合同与附件如有冲突，以主合同为准。本合同附件如下：</w:t>
      </w:r>
    </w:p>
    <w:p w14:paraId="6168FA04">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附件一：工作（需求）说明书</w:t>
      </w:r>
    </w:p>
    <w:p w14:paraId="0800E318">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附件二：项目人员名单及人员应急退出机制</w:t>
      </w:r>
    </w:p>
    <w:p w14:paraId="5D264C06">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附件三：验收标准及流程</w:t>
      </w:r>
    </w:p>
    <w:p w14:paraId="06BE704D">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附件四：维护服务条款</w:t>
      </w:r>
    </w:p>
    <w:p w14:paraId="66A95DDC">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附件五：服务水平协议（SLA）</w:t>
      </w:r>
    </w:p>
    <w:p w14:paraId="5C5F1DA2">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附件六：服务连续性预案</w:t>
      </w:r>
    </w:p>
    <w:p w14:paraId="1F2417C5">
      <w:pPr>
        <w:keepNext w:val="0"/>
        <w:keepLines w:val="0"/>
        <w:pageBreakBefore w:val="0"/>
        <w:kinsoku/>
        <w:wordWrap/>
        <w:overflowPunct/>
        <w:topLinePunct w:val="0"/>
        <w:autoSpaceDE w:val="0"/>
        <w:autoSpaceDN w:val="0"/>
        <w:bidi w:val="0"/>
        <w:spacing w:line="360" w:lineRule="auto"/>
        <w:ind w:left="560"/>
        <w:outlineLvl w:val="9"/>
        <w:rPr>
          <w:rFonts w:hint="default" w:ascii="Times New Roman" w:hAnsi="Times New Roman" w:eastAsia="宋体" w:cs="Times New Roman"/>
          <w:color w:val="auto"/>
          <w:spacing w:val="0"/>
          <w:highlight w:val="none"/>
        </w:rPr>
      </w:pPr>
    </w:p>
    <w:p w14:paraId="403715E2">
      <w:pPr>
        <w:keepNext w:val="0"/>
        <w:keepLines w:val="0"/>
        <w:pageBreakBefore w:val="0"/>
        <w:kinsoku/>
        <w:wordWrap/>
        <w:overflowPunct/>
        <w:topLinePunct w:val="0"/>
        <w:autoSpaceDE w:val="0"/>
        <w:autoSpaceDN w:val="0"/>
        <w:bidi w:val="0"/>
        <w:spacing w:line="360" w:lineRule="auto"/>
        <w:ind w:firstLine="472" w:firstLineChars="196"/>
        <w:outlineLvl w:val="9"/>
        <w:rPr>
          <w:rFonts w:hint="default" w:ascii="Times New Roman" w:hAnsi="Times New Roman" w:eastAsia="宋体" w:cs="Times New Roman"/>
          <w:b/>
          <w:color w:val="auto"/>
          <w:spacing w:val="0"/>
          <w:highlight w:val="none"/>
        </w:rPr>
      </w:pPr>
      <w:bookmarkStart w:id="294" w:name="_Toc84948048"/>
      <w:r>
        <w:rPr>
          <w:rFonts w:hint="default" w:ascii="Times New Roman" w:hAnsi="Times New Roman" w:eastAsia="宋体" w:cs="Times New Roman"/>
          <w:b/>
          <w:color w:val="auto"/>
          <w:spacing w:val="0"/>
          <w:highlight w:val="none"/>
        </w:rPr>
        <w:t>第二十四条 其他</w:t>
      </w:r>
      <w:bookmarkEnd w:id="294"/>
    </w:p>
    <w:p w14:paraId="387811BF">
      <w:pPr>
        <w:pStyle w:val="15"/>
        <w:keepNext w:val="0"/>
        <w:keepLines w:val="0"/>
        <w:pageBreakBefore w:val="0"/>
        <w:kinsoku/>
        <w:wordWrap/>
        <w:overflowPunct/>
        <w:topLinePunct w:val="0"/>
        <w:autoSpaceDE w:val="0"/>
        <w:autoSpaceDN w:val="0"/>
        <w:bidi w:val="0"/>
        <w:spacing w:beforeLines="0" w:line="360" w:lineRule="auto"/>
        <w:ind w:firstLine="48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24.1除本</w:t>
      </w:r>
      <w:r>
        <w:rPr>
          <w:rFonts w:hint="default" w:ascii="Times New Roman" w:hAnsi="Times New Roman" w:eastAsia="宋体" w:cs="Times New Roman"/>
          <w:color w:val="auto"/>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DA22FD4">
      <w:pPr>
        <w:pStyle w:val="15"/>
        <w:keepNext w:val="0"/>
        <w:keepLines w:val="0"/>
        <w:pageBreakBefore w:val="0"/>
        <w:kinsoku/>
        <w:wordWrap/>
        <w:overflowPunct/>
        <w:topLinePunct w:val="0"/>
        <w:autoSpaceDE w:val="0"/>
        <w:autoSpaceDN w:val="0"/>
        <w:bidi w:val="0"/>
        <w:spacing w:beforeLines="0" w:line="360" w:lineRule="auto"/>
        <w:ind w:firstLine="48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24.</w:t>
      </w:r>
      <w:r>
        <w:rPr>
          <w:rStyle w:val="49"/>
          <w:rFonts w:hint="default" w:ascii="Times New Roman" w:hAnsi="Times New Roman" w:eastAsia="宋体" w:cs="Times New Roman"/>
          <w:color w:val="auto"/>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default" w:ascii="Times New Roman" w:hAnsi="Times New Roman" w:eastAsia="宋体" w:cs="Times New Roman"/>
          <w:color w:val="auto"/>
          <w:spacing w:val="0"/>
          <w:highlight w:val="none"/>
        </w:rPr>
        <w:t>同其他条款或内容的合法性、有效性和可执行性不受影响。</w:t>
      </w:r>
    </w:p>
    <w:p w14:paraId="686E7AF8">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kern w:val="0"/>
          <w:highlight w:val="none"/>
        </w:rPr>
        <w:t>24.3本</w:t>
      </w:r>
      <w:r>
        <w:rPr>
          <w:rFonts w:hint="default" w:ascii="Times New Roman" w:hAnsi="Times New Roman" w:eastAsia="宋体" w:cs="Times New Roman"/>
          <w:color w:val="auto"/>
          <w:spacing w:val="0"/>
          <w:highlight w:val="none"/>
        </w:rPr>
        <w:t>合同签订后，如需要就与合同执行有关的事项签订补充合同，应由双方加盖公章后，补充合同即生效。本合同附件为本合同的组成部分，本合同与附件如有冲突，以本合同为准。</w:t>
      </w:r>
    </w:p>
    <w:p w14:paraId="43CF57BE">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24.4本合同以中文版本为准，除非本合同明确规定或双方另有约定，为履行本合同的所有文件及信函均以中文书写。</w:t>
      </w:r>
    </w:p>
    <w:p w14:paraId="4C125BF4">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b/>
          <w:i/>
          <w:color w:val="auto"/>
          <w:spacing w:val="0"/>
          <w:highlight w:val="none"/>
        </w:rPr>
      </w:pPr>
      <w:r>
        <w:rPr>
          <w:rStyle w:val="49"/>
          <w:rFonts w:hint="default" w:ascii="Times New Roman" w:hAnsi="Times New Roman" w:eastAsia="宋体" w:cs="Times New Roman"/>
          <w:color w:val="auto"/>
          <w:spacing w:val="0"/>
          <w:kern w:val="0"/>
          <w:highlight w:val="none"/>
        </w:rPr>
        <w:t>24.5本合同一式肆份，甲方执贰份，乙方执贰份，每份具有同等法律</w:t>
      </w:r>
      <w:r>
        <w:rPr>
          <w:rFonts w:hint="default" w:ascii="Times New Roman" w:hAnsi="Times New Roman" w:eastAsia="宋体" w:cs="Times New Roman"/>
          <w:color w:val="auto"/>
          <w:spacing w:val="0"/>
          <w:highlight w:val="none"/>
        </w:rPr>
        <w:t>效力。</w:t>
      </w:r>
    </w:p>
    <w:p w14:paraId="736A4C72">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b/>
          <w:iCs/>
          <w:color w:val="auto"/>
          <w:spacing w:val="0"/>
          <w:highlight w:val="none"/>
        </w:rPr>
      </w:pPr>
      <w:r>
        <w:rPr>
          <w:rFonts w:hint="default" w:ascii="Times New Roman" w:hAnsi="Times New Roman" w:eastAsia="宋体" w:cs="Times New Roman"/>
          <w:b/>
          <w:iCs/>
          <w:color w:val="auto"/>
          <w:spacing w:val="0"/>
          <w:highlight w:val="none"/>
        </w:rPr>
        <w:t>（以下无正文）</w:t>
      </w:r>
    </w:p>
    <w:p w14:paraId="247637D4">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b/>
          <w:iCs/>
          <w:color w:val="auto"/>
          <w:spacing w:val="0"/>
          <w:highlight w:val="none"/>
        </w:rPr>
      </w:pPr>
    </w:p>
    <w:p w14:paraId="0687418F">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b/>
          <w:i/>
          <w:color w:val="auto"/>
          <w:spacing w:val="0"/>
          <w:highlight w:val="none"/>
        </w:rPr>
      </w:pPr>
    </w:p>
    <w:p w14:paraId="7AB4073E">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b/>
          <w:i/>
          <w:color w:val="auto"/>
          <w:spacing w:val="0"/>
          <w:highlight w:val="none"/>
        </w:rPr>
      </w:pPr>
    </w:p>
    <w:p w14:paraId="5D54AA51">
      <w:pPr>
        <w:keepNext w:val="0"/>
        <w:keepLines w:val="0"/>
        <w:pageBreakBefore w:val="0"/>
        <w:tabs>
          <w:tab w:val="left" w:pos="851"/>
        </w:tabs>
        <w:kinsoku/>
        <w:wordWrap/>
        <w:overflowPunct/>
        <w:topLinePunct w:val="0"/>
        <w:autoSpaceDE w:val="0"/>
        <w:autoSpaceDN w:val="0"/>
        <w:bidi w:val="0"/>
        <w:adjustRightInd w:val="0"/>
        <w:spacing w:line="360" w:lineRule="auto"/>
        <w:textAlignment w:val="baseline"/>
        <w:outlineLvl w:val="9"/>
        <w:rPr>
          <w:rFonts w:hint="default" w:ascii="Times New Roman" w:hAnsi="Times New Roman" w:eastAsia="宋体" w:cs="Times New Roman"/>
          <w:color w:val="auto"/>
          <w:spacing w:val="0"/>
          <w:kern w:val="0"/>
          <w:highlight w:val="none"/>
        </w:rPr>
      </w:pPr>
      <w:r>
        <w:rPr>
          <w:rFonts w:hint="default" w:ascii="Times New Roman" w:hAnsi="Times New Roman" w:eastAsia="宋体" w:cs="Times New Roman"/>
          <w:color w:val="auto"/>
          <w:spacing w:val="0"/>
          <w:kern w:val="0"/>
          <w:highlight w:val="none"/>
        </w:rPr>
        <w:t>甲方：</w:t>
      </w:r>
      <w:r>
        <w:rPr>
          <w:rFonts w:hint="default" w:ascii="Times New Roman" w:hAnsi="Times New Roman" w:eastAsia="宋体" w:cs="Times New Roman"/>
          <w:b/>
          <w:color w:val="auto"/>
          <w:spacing w:val="0"/>
          <w:highlight w:val="none"/>
        </w:rPr>
        <w:t>重庆三峡银行股份有限公司</w:t>
      </w:r>
      <w:r>
        <w:rPr>
          <w:rFonts w:hint="default" w:ascii="Times New Roman" w:hAnsi="Times New Roman" w:eastAsia="宋体" w:cs="Times New Roman"/>
          <w:color w:val="auto"/>
          <w:spacing w:val="0"/>
          <w:kern w:val="0"/>
          <w:highlight w:val="none"/>
        </w:rPr>
        <w:t>（公章）</w:t>
      </w:r>
    </w:p>
    <w:p w14:paraId="52819A15">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p>
    <w:p w14:paraId="0E3008B1">
      <w:pPr>
        <w:keepNext w:val="0"/>
        <w:keepLines w:val="0"/>
        <w:pageBreakBefore w:val="0"/>
        <w:tabs>
          <w:tab w:val="left" w:pos="851"/>
        </w:tabs>
        <w:kinsoku/>
        <w:wordWrap/>
        <w:overflowPunct/>
        <w:topLinePunct w:val="0"/>
        <w:autoSpaceDE w:val="0"/>
        <w:autoSpaceDN w:val="0"/>
        <w:bidi w:val="0"/>
        <w:adjustRightInd w:val="0"/>
        <w:spacing w:line="360" w:lineRule="auto"/>
        <w:ind w:firstLine="720" w:firstLineChars="300"/>
        <w:textAlignment w:val="baseline"/>
        <w:outlineLvl w:val="9"/>
        <w:rPr>
          <w:rFonts w:hint="default" w:ascii="Times New Roman" w:hAnsi="Times New Roman" w:eastAsia="宋体" w:cs="Times New Roman"/>
          <w:color w:val="auto"/>
          <w:spacing w:val="0"/>
          <w:kern w:val="0"/>
          <w:highlight w:val="none"/>
        </w:rPr>
      </w:pPr>
    </w:p>
    <w:p w14:paraId="4BB10890">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p>
    <w:p w14:paraId="3CE1AC92">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乙方：</w:t>
      </w:r>
      <w:r>
        <w:rPr>
          <w:rFonts w:hint="default" w:ascii="Times New Roman" w:hAnsi="Times New Roman" w:eastAsia="宋体" w:cs="Times New Roman"/>
          <w:b/>
          <w:color w:val="auto"/>
          <w:spacing w:val="0"/>
          <w:highlight w:val="none"/>
        </w:rPr>
        <w:t>XXXXXXXXXXXXXXXX公司</w:t>
      </w:r>
      <w:r>
        <w:rPr>
          <w:rFonts w:hint="default" w:ascii="Times New Roman" w:hAnsi="Times New Roman" w:eastAsia="宋体" w:cs="Times New Roman"/>
          <w:color w:val="auto"/>
          <w:spacing w:val="0"/>
          <w:highlight w:val="none"/>
        </w:rPr>
        <w:t>（公章）</w:t>
      </w:r>
    </w:p>
    <w:p w14:paraId="1AF9290B">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p>
    <w:p w14:paraId="2BAF3DC3">
      <w:pPr>
        <w:keepNext w:val="0"/>
        <w:keepLines w:val="0"/>
        <w:pageBreakBefore w:val="0"/>
        <w:kinsoku/>
        <w:wordWrap/>
        <w:overflowPunct/>
        <w:topLinePunct w:val="0"/>
        <w:autoSpaceDE w:val="0"/>
        <w:autoSpaceDN w:val="0"/>
        <w:bidi w:val="0"/>
        <w:spacing w:line="360" w:lineRule="auto"/>
        <w:ind w:firstLine="5280" w:firstLineChars="2200"/>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日期：  年  月  日</w:t>
      </w:r>
    </w:p>
    <w:p w14:paraId="730F5204">
      <w:pPr>
        <w:keepNext w:val="0"/>
        <w:keepLines w:val="0"/>
        <w:pageBreakBefore w:val="0"/>
        <w:kinsoku/>
        <w:wordWrap/>
        <w:overflowPunct/>
        <w:topLinePunct w:val="0"/>
        <w:autoSpaceDE w:val="0"/>
        <w:autoSpaceDN w:val="0"/>
        <w:bidi w:val="0"/>
        <w:spacing w:before="0" w:after="0"/>
        <w:outlineLvl w:val="9"/>
        <w:rPr>
          <w:rStyle w:val="49"/>
          <w:rFonts w:hint="default" w:ascii="Times New Roman" w:hAnsi="Times New Roman" w:eastAsia="宋体" w:cs="Times New Roman"/>
          <w:color w:val="auto"/>
          <w:spacing w:val="0"/>
          <w:kern w:val="0"/>
          <w:sz w:val="30"/>
          <w:highlight w:val="none"/>
        </w:rPr>
      </w:pPr>
      <w:r>
        <w:rPr>
          <w:rFonts w:hint="default" w:ascii="Times New Roman" w:hAnsi="Times New Roman" w:cs="Times New Roman"/>
          <w:color w:val="auto"/>
          <w:spacing w:val="0"/>
          <w:highlight w:val="none"/>
        </w:rPr>
        <w:br w:type="page"/>
      </w:r>
      <w:bookmarkStart w:id="295" w:name="_Toc84948049"/>
      <w:bookmarkStart w:id="296" w:name="_Toc63757481"/>
      <w:r>
        <w:rPr>
          <w:rStyle w:val="49"/>
          <w:rFonts w:hint="default" w:ascii="Times New Roman" w:hAnsi="Times New Roman" w:eastAsia="宋体" w:cs="Times New Roman"/>
          <w:color w:val="auto"/>
          <w:spacing w:val="0"/>
          <w:kern w:val="0"/>
          <w:sz w:val="30"/>
          <w:highlight w:val="none"/>
        </w:rPr>
        <w:t>附件一：工作（需求）说明书</w:t>
      </w:r>
      <w:bookmarkEnd w:id="295"/>
      <w:bookmarkEnd w:id="296"/>
    </w:p>
    <w:p w14:paraId="5D788AEE">
      <w:pPr>
        <w:keepNext w:val="0"/>
        <w:keepLines w:val="0"/>
        <w:pageBreakBefore w:val="0"/>
        <w:kinsoku/>
        <w:wordWrap/>
        <w:overflowPunct/>
        <w:topLinePunct w:val="0"/>
        <w:autoSpaceDE w:val="0"/>
        <w:autoSpaceDN w:val="0"/>
        <w:bidi w:val="0"/>
        <w:spacing w:line="360" w:lineRule="auto"/>
        <w:ind w:firstLine="600" w:firstLineChars="200"/>
        <w:outlineLvl w:val="9"/>
        <w:rPr>
          <w:rStyle w:val="49"/>
          <w:rFonts w:hint="default" w:ascii="Times New Roman" w:hAnsi="Times New Roman" w:eastAsia="宋体" w:cs="Times New Roman"/>
          <w:color w:val="auto"/>
          <w:spacing w:val="0"/>
          <w:kern w:val="0"/>
          <w:sz w:val="30"/>
          <w:highlight w:val="none"/>
        </w:rPr>
      </w:pPr>
      <w:bookmarkStart w:id="297" w:name="_Toc84948050"/>
      <w:bookmarkStart w:id="298" w:name="_Toc63757482"/>
    </w:p>
    <w:p w14:paraId="60E368CE">
      <w:pPr>
        <w:keepNext w:val="0"/>
        <w:keepLines w:val="0"/>
        <w:pageBreakBefore w:val="0"/>
        <w:kinsoku/>
        <w:wordWrap/>
        <w:overflowPunct/>
        <w:topLinePunct w:val="0"/>
        <w:autoSpaceDE w:val="0"/>
        <w:autoSpaceDN w:val="0"/>
        <w:bidi w:val="0"/>
        <w:spacing w:before="0" w:after="0"/>
        <w:outlineLvl w:val="9"/>
        <w:rPr>
          <w:rStyle w:val="49"/>
          <w:rFonts w:hint="default" w:ascii="Times New Roman" w:hAnsi="Times New Roman" w:eastAsia="宋体" w:cs="Times New Roman"/>
          <w:color w:val="auto"/>
          <w:spacing w:val="0"/>
          <w:kern w:val="0"/>
          <w:sz w:val="30"/>
          <w:highlight w:val="none"/>
        </w:rPr>
      </w:pPr>
      <w:r>
        <w:rPr>
          <w:rStyle w:val="49"/>
          <w:rFonts w:hint="default" w:ascii="Times New Roman" w:hAnsi="Times New Roman" w:eastAsia="宋体" w:cs="Times New Roman"/>
          <w:color w:val="auto"/>
          <w:spacing w:val="0"/>
          <w:kern w:val="0"/>
          <w:sz w:val="30"/>
          <w:highlight w:val="none"/>
        </w:rPr>
        <w:br w:type="page"/>
      </w:r>
      <w:r>
        <w:rPr>
          <w:rStyle w:val="49"/>
          <w:rFonts w:hint="default" w:ascii="Times New Roman" w:hAnsi="Times New Roman" w:eastAsia="宋体" w:cs="Times New Roman"/>
          <w:color w:val="auto"/>
          <w:spacing w:val="0"/>
          <w:kern w:val="0"/>
          <w:sz w:val="30"/>
          <w:highlight w:val="none"/>
        </w:rPr>
        <w:t>附件二：项目人员名单及人员应急退出机制</w:t>
      </w:r>
      <w:bookmarkEnd w:id="297"/>
      <w:bookmarkEnd w:id="298"/>
    </w:p>
    <w:p w14:paraId="4EC61FE7">
      <w:pPr>
        <w:keepNext w:val="0"/>
        <w:keepLines w:val="0"/>
        <w:pageBreakBefore w:val="0"/>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kern w:val="0"/>
          <w:highlight w:val="none"/>
        </w:rPr>
      </w:pPr>
    </w:p>
    <w:p w14:paraId="5E1D1DA0">
      <w:pPr>
        <w:keepNext w:val="0"/>
        <w:keepLines w:val="0"/>
        <w:pageBreakBefore w:val="0"/>
        <w:kinsoku/>
        <w:wordWrap/>
        <w:overflowPunct/>
        <w:topLinePunct w:val="0"/>
        <w:autoSpaceDE w:val="0"/>
        <w:autoSpaceDN w:val="0"/>
        <w:bidi w:val="0"/>
        <w:spacing w:line="360" w:lineRule="auto"/>
        <w:ind w:firstLine="482" w:firstLineChars="200"/>
        <w:outlineLvl w:val="9"/>
        <w:rPr>
          <w:rStyle w:val="49"/>
          <w:rFonts w:hint="default" w:ascii="Times New Roman" w:hAnsi="Times New Roman" w:eastAsia="宋体" w:cs="Times New Roman"/>
          <w:b/>
          <w:color w:val="auto"/>
          <w:spacing w:val="0"/>
          <w:kern w:val="0"/>
          <w:highlight w:val="none"/>
        </w:rPr>
      </w:pPr>
      <w:r>
        <w:rPr>
          <w:rStyle w:val="49"/>
          <w:rFonts w:hint="default" w:ascii="Times New Roman" w:hAnsi="Times New Roman" w:eastAsia="宋体" w:cs="Times New Roman"/>
          <w:b/>
          <w:color w:val="auto"/>
          <w:spacing w:val="0"/>
          <w:kern w:val="0"/>
          <w:highlight w:val="none"/>
        </w:rPr>
        <w:t>一、项目人员名单</w:t>
      </w:r>
    </w:p>
    <w:p w14:paraId="70B15709">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 xml:space="preserve">项目经理： </w:t>
      </w:r>
    </w:p>
    <w:p w14:paraId="54A8CA6C">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技术骨干：</w:t>
      </w:r>
    </w:p>
    <w:p w14:paraId="69D61D9C">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 xml:space="preserve">项目组成员： </w:t>
      </w:r>
    </w:p>
    <w:p w14:paraId="069EF89B">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p>
    <w:p w14:paraId="3504258B">
      <w:pPr>
        <w:keepNext w:val="0"/>
        <w:keepLines w:val="0"/>
        <w:pageBreakBefore w:val="0"/>
        <w:kinsoku/>
        <w:wordWrap/>
        <w:overflowPunct/>
        <w:topLinePunct w:val="0"/>
        <w:autoSpaceDE w:val="0"/>
        <w:autoSpaceDN w:val="0"/>
        <w:bidi w:val="0"/>
        <w:spacing w:line="360" w:lineRule="auto"/>
        <w:ind w:firstLine="482" w:firstLineChars="200"/>
        <w:outlineLvl w:val="9"/>
        <w:rPr>
          <w:rStyle w:val="49"/>
          <w:rFonts w:hint="default" w:ascii="Times New Roman" w:hAnsi="Times New Roman" w:eastAsia="宋体" w:cs="Times New Roman"/>
          <w:b/>
          <w:color w:val="auto"/>
          <w:spacing w:val="0"/>
          <w:kern w:val="0"/>
          <w:highlight w:val="none"/>
        </w:rPr>
      </w:pPr>
      <w:r>
        <w:rPr>
          <w:rStyle w:val="49"/>
          <w:rFonts w:hint="default" w:ascii="Times New Roman" w:hAnsi="Times New Roman" w:eastAsia="宋体" w:cs="Times New Roman"/>
          <w:b/>
          <w:color w:val="auto"/>
          <w:spacing w:val="0"/>
          <w:kern w:val="0"/>
          <w:highlight w:val="none"/>
        </w:rPr>
        <w:t>二、人员应急退出机制</w:t>
      </w:r>
    </w:p>
    <w:p w14:paraId="007F047E">
      <w:pPr>
        <w:keepNext w:val="0"/>
        <w:keepLines w:val="0"/>
        <w:pageBreakBefore w:val="0"/>
        <w:kinsoku/>
        <w:wordWrap/>
        <w:overflowPunct/>
        <w:topLinePunct w:val="0"/>
        <w:autoSpaceDE w:val="0"/>
        <w:autoSpaceDN w:val="0"/>
        <w:bidi w:val="0"/>
        <w:spacing w:line="360" w:lineRule="auto"/>
        <w:ind w:firstLine="480"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43011800">
      <w:pPr>
        <w:keepNext w:val="0"/>
        <w:keepLines w:val="0"/>
        <w:pageBreakBefore w:val="0"/>
        <w:kinsoku/>
        <w:wordWrap/>
        <w:overflowPunct/>
        <w:topLinePunct w:val="0"/>
        <w:autoSpaceDE w:val="0"/>
        <w:autoSpaceDN w:val="0"/>
        <w:bidi w:val="0"/>
        <w:spacing w:line="360" w:lineRule="auto"/>
        <w:ind w:firstLine="465"/>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备用项目经理：</w:t>
      </w:r>
    </w:p>
    <w:p w14:paraId="2EB0660E">
      <w:pPr>
        <w:keepNext w:val="0"/>
        <w:keepLines w:val="0"/>
        <w:pageBreakBefore w:val="0"/>
        <w:kinsoku/>
        <w:wordWrap/>
        <w:overflowPunct/>
        <w:topLinePunct w:val="0"/>
        <w:autoSpaceDE w:val="0"/>
        <w:autoSpaceDN w:val="0"/>
        <w:bidi w:val="0"/>
        <w:spacing w:line="360" w:lineRule="auto"/>
        <w:ind w:firstLine="465"/>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备用技术骨干：</w:t>
      </w:r>
    </w:p>
    <w:p w14:paraId="4DFC2C4E">
      <w:pPr>
        <w:keepNext w:val="0"/>
        <w:keepLines w:val="0"/>
        <w:pageBreakBefore w:val="0"/>
        <w:kinsoku/>
        <w:wordWrap/>
        <w:overflowPunct/>
        <w:topLinePunct w:val="0"/>
        <w:autoSpaceDE w:val="0"/>
        <w:autoSpaceDN w:val="0"/>
        <w:bidi w:val="0"/>
        <w:spacing w:before="0" w:after="0"/>
        <w:outlineLvl w:val="9"/>
        <w:rPr>
          <w:rStyle w:val="49"/>
          <w:rFonts w:hint="default" w:ascii="Times New Roman" w:hAnsi="Times New Roman" w:eastAsia="宋体" w:cs="Times New Roman"/>
          <w:color w:val="auto"/>
          <w:spacing w:val="0"/>
          <w:kern w:val="0"/>
          <w:sz w:val="30"/>
          <w:highlight w:val="none"/>
        </w:rPr>
      </w:pPr>
      <w:r>
        <w:rPr>
          <w:rStyle w:val="49"/>
          <w:rFonts w:hint="default" w:ascii="Times New Roman" w:hAnsi="Times New Roman" w:eastAsia="宋体" w:cs="Times New Roman"/>
          <w:b w:val="0"/>
          <w:color w:val="auto"/>
          <w:spacing w:val="0"/>
          <w:kern w:val="0"/>
          <w:sz w:val="30"/>
          <w:highlight w:val="none"/>
        </w:rPr>
        <w:br w:type="page"/>
      </w:r>
      <w:bookmarkStart w:id="299" w:name="_Toc63757483"/>
      <w:bookmarkStart w:id="300" w:name="_Toc84948051"/>
      <w:r>
        <w:rPr>
          <w:rStyle w:val="49"/>
          <w:rFonts w:hint="default" w:ascii="Times New Roman" w:hAnsi="Times New Roman" w:eastAsia="宋体" w:cs="Times New Roman"/>
          <w:color w:val="auto"/>
          <w:spacing w:val="0"/>
          <w:kern w:val="0"/>
          <w:sz w:val="30"/>
          <w:highlight w:val="none"/>
        </w:rPr>
        <w:t>附件三：验收标准及流程</w:t>
      </w:r>
      <w:bookmarkEnd w:id="299"/>
      <w:bookmarkEnd w:id="300"/>
    </w:p>
    <w:p w14:paraId="0AE23AD0">
      <w:pPr>
        <w:keepNext w:val="0"/>
        <w:keepLines w:val="0"/>
        <w:pageBreakBefore w:val="0"/>
        <w:kinsoku/>
        <w:wordWrap/>
        <w:overflowPunct/>
        <w:topLinePunct w:val="0"/>
        <w:autoSpaceDE w:val="0"/>
        <w:autoSpaceDN w:val="0"/>
        <w:bidi w:val="0"/>
        <w:spacing w:line="360" w:lineRule="auto"/>
        <w:ind w:firstLine="482" w:firstLineChars="20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b/>
          <w:color w:val="auto"/>
          <w:spacing w:val="0"/>
          <w:kern w:val="0"/>
          <w:highlight w:val="none"/>
        </w:rPr>
        <w:t>一、验收标准</w:t>
      </w:r>
    </w:p>
    <w:p w14:paraId="55781A9C">
      <w:pPr>
        <w:keepNext w:val="0"/>
        <w:keepLines w:val="0"/>
        <w:pageBreakBefore w:val="0"/>
        <w:kinsoku/>
        <w:wordWrap/>
        <w:overflowPunct/>
        <w:topLinePunct w:val="0"/>
        <w:autoSpaceDE w:val="0"/>
        <w:autoSpaceDN w:val="0"/>
        <w:bidi w:val="0"/>
        <w:spacing w:line="360" w:lineRule="auto"/>
        <w:ind w:firstLine="360" w:firstLineChars="150"/>
        <w:outlineLvl w:val="9"/>
        <w:rPr>
          <w:rStyle w:val="49"/>
          <w:rFonts w:hint="default" w:ascii="Times New Roman" w:hAnsi="Times New Roman" w:eastAsia="宋体" w:cs="Times New Roman"/>
          <w:color w:val="auto"/>
          <w:spacing w:val="0"/>
          <w:kern w:val="0"/>
          <w:highlight w:val="none"/>
        </w:rPr>
      </w:pPr>
      <w:r>
        <w:rPr>
          <w:rStyle w:val="49"/>
          <w:rFonts w:hint="eastAsia" w:ascii="Times New Roman" w:hAnsi="Times New Roman" w:cs="Times New Roman"/>
          <w:color w:val="auto"/>
          <w:spacing w:val="0"/>
          <w:kern w:val="0"/>
          <w:highlight w:val="none"/>
          <w:lang w:val="en-US" w:eastAsia="zh-CN"/>
        </w:rPr>
        <w:t>1、</w:t>
      </w:r>
      <w:r>
        <w:rPr>
          <w:rStyle w:val="49"/>
          <w:rFonts w:hint="default" w:ascii="Times New Roman" w:hAnsi="Times New Roman" w:eastAsia="宋体" w:cs="Times New Roman"/>
          <w:color w:val="auto"/>
          <w:spacing w:val="0"/>
          <w:kern w:val="0"/>
          <w:highlight w:val="none"/>
        </w:rPr>
        <w:t>验收系统须满足试运行期内项目产品运行稳定、无遗留问题。</w:t>
      </w:r>
    </w:p>
    <w:p w14:paraId="0E7D40B6">
      <w:pPr>
        <w:keepNext w:val="0"/>
        <w:keepLines w:val="0"/>
        <w:pageBreakBefore w:val="0"/>
        <w:kinsoku/>
        <w:wordWrap/>
        <w:overflowPunct/>
        <w:topLinePunct w:val="0"/>
        <w:autoSpaceDE w:val="0"/>
        <w:autoSpaceDN w:val="0"/>
        <w:bidi w:val="0"/>
        <w:spacing w:line="360" w:lineRule="auto"/>
        <w:ind w:firstLine="360" w:firstLineChars="150"/>
        <w:outlineLvl w:val="9"/>
        <w:rPr>
          <w:rStyle w:val="49"/>
          <w:rFonts w:hint="default" w:ascii="Times New Roman" w:hAnsi="Times New Roman" w:eastAsia="宋体" w:cs="Times New Roman"/>
          <w:color w:val="auto"/>
          <w:spacing w:val="0"/>
          <w:kern w:val="0"/>
          <w:highlight w:val="none"/>
        </w:rPr>
      </w:pPr>
      <w:r>
        <w:rPr>
          <w:rStyle w:val="49"/>
          <w:rFonts w:hint="eastAsia" w:ascii="Times New Roman" w:hAnsi="Times New Roman" w:cs="Times New Roman"/>
          <w:color w:val="auto"/>
          <w:spacing w:val="0"/>
          <w:kern w:val="0"/>
          <w:highlight w:val="none"/>
          <w:lang w:val="en-US" w:eastAsia="zh-CN"/>
        </w:rPr>
        <w:t>2、</w:t>
      </w:r>
      <w:r>
        <w:rPr>
          <w:rStyle w:val="49"/>
          <w:rFonts w:hint="default" w:ascii="Times New Roman" w:hAnsi="Times New Roman" w:eastAsia="宋体" w:cs="Times New Roman"/>
          <w:color w:val="auto"/>
          <w:spacing w:val="0"/>
          <w:kern w:val="0"/>
          <w:highlight w:val="none"/>
        </w:rPr>
        <w:t>项目知识及文档已全部完成转移。</w:t>
      </w:r>
    </w:p>
    <w:p w14:paraId="40465673">
      <w:pPr>
        <w:keepNext w:val="0"/>
        <w:keepLines w:val="0"/>
        <w:pageBreakBefore w:val="0"/>
        <w:kinsoku/>
        <w:wordWrap/>
        <w:overflowPunct/>
        <w:topLinePunct w:val="0"/>
        <w:autoSpaceDE w:val="0"/>
        <w:autoSpaceDN w:val="0"/>
        <w:bidi w:val="0"/>
        <w:spacing w:line="360" w:lineRule="auto"/>
        <w:ind w:firstLine="360" w:firstLineChars="15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3、验收交付物包括：</w:t>
      </w:r>
    </w:p>
    <w:p w14:paraId="3D9BCA67">
      <w:pPr>
        <w:keepNext w:val="0"/>
        <w:keepLines w:val="0"/>
        <w:pageBreakBefore w:val="0"/>
        <w:kinsoku/>
        <w:wordWrap/>
        <w:overflowPunct/>
        <w:topLinePunct w:val="0"/>
        <w:autoSpaceDE w:val="0"/>
        <w:autoSpaceDN w:val="0"/>
        <w:bidi w:val="0"/>
        <w:spacing w:line="360" w:lineRule="auto"/>
        <w:outlineLvl w:val="9"/>
        <w:rPr>
          <w:rStyle w:val="49"/>
          <w:rFonts w:hint="default" w:ascii="Times New Roman" w:hAnsi="Times New Roman" w:eastAsia="宋体" w:cs="Times New Roman"/>
          <w:iCs/>
          <w:color w:val="auto"/>
          <w:spacing w:val="0"/>
          <w:kern w:val="0"/>
          <w:highlight w:val="none"/>
          <w:lang w:val="en-US" w:eastAsia="zh-CN"/>
        </w:rPr>
      </w:pPr>
      <w:r>
        <w:rPr>
          <w:rStyle w:val="49"/>
          <w:rFonts w:hint="default" w:ascii="Times New Roman" w:hAnsi="Times New Roman" w:eastAsia="宋体" w:cs="Times New Roman"/>
          <w:iCs/>
          <w:color w:val="auto"/>
          <w:spacing w:val="0"/>
          <w:kern w:val="0"/>
          <w:highlight w:val="none"/>
        </w:rPr>
        <w:t>《项目需求分析说明书》、《概要设计说明书》、《详细设计说明书》、《数据库设计说明书》、《系统安装部署手册》、《系统运行维护手册》、《用户操作手册》、《试运行报告》、《验收报告》</w:t>
      </w:r>
      <w:r>
        <w:rPr>
          <w:rStyle w:val="49"/>
          <w:rFonts w:hint="eastAsia" w:ascii="Times New Roman" w:hAnsi="Times New Roman" w:cs="Times New Roman"/>
          <w:iCs/>
          <w:color w:val="auto"/>
          <w:spacing w:val="0"/>
          <w:kern w:val="0"/>
          <w:highlight w:val="none"/>
          <w:lang w:eastAsia="zh-CN"/>
        </w:rPr>
        <w:t>、《</w:t>
      </w:r>
      <w:r>
        <w:rPr>
          <w:rFonts w:hint="default" w:ascii="Times New Roman" w:hAnsi="Times New Roman" w:cs="Times New Roman"/>
          <w:color w:val="auto"/>
          <w:highlight w:val="none"/>
          <w:lang w:val="en-US" w:eastAsia="zh-CN"/>
        </w:rPr>
        <w:t>数据中台</w:t>
      </w:r>
      <w:r>
        <w:rPr>
          <w:rFonts w:hint="eastAsia" w:ascii="Times New Roman" w:hAnsi="Times New Roman" w:cs="Times New Roman"/>
          <w:color w:val="auto"/>
          <w:highlight w:val="none"/>
          <w:lang w:val="en-US" w:eastAsia="zh-CN"/>
        </w:rPr>
        <w:t>技术</w:t>
      </w:r>
      <w:r>
        <w:rPr>
          <w:rFonts w:hint="default" w:ascii="Times New Roman" w:hAnsi="Times New Roman" w:cs="Times New Roman"/>
          <w:color w:val="auto"/>
          <w:highlight w:val="none"/>
          <w:lang w:val="en-US" w:eastAsia="zh-CN"/>
        </w:rPr>
        <w:t>架构设计方案</w:t>
      </w:r>
      <w:r>
        <w:rPr>
          <w:rStyle w:val="49"/>
          <w:rFonts w:hint="eastAsia" w:ascii="Times New Roman" w:hAnsi="Times New Roman" w:cs="Times New Roman"/>
          <w:iCs/>
          <w:color w:val="auto"/>
          <w:spacing w:val="0"/>
          <w:kern w:val="0"/>
          <w:highlight w:val="none"/>
          <w:lang w:eastAsia="zh-CN"/>
        </w:rPr>
        <w:t>》、《</w:t>
      </w:r>
      <w:r>
        <w:rPr>
          <w:rFonts w:hint="default" w:ascii="Times New Roman" w:hAnsi="Times New Roman" w:cs="Times New Roman"/>
          <w:color w:val="auto"/>
          <w:highlight w:val="none"/>
          <w:lang w:val="en-US" w:eastAsia="zh-CN"/>
        </w:rPr>
        <w:t>数据中台</w:t>
      </w:r>
      <w:r>
        <w:rPr>
          <w:rFonts w:hint="eastAsia" w:ascii="Times New Roman" w:hAnsi="Times New Roman" w:cs="Times New Roman"/>
          <w:color w:val="auto"/>
          <w:highlight w:val="none"/>
          <w:lang w:val="en-US" w:eastAsia="zh-CN"/>
        </w:rPr>
        <w:t>数据</w:t>
      </w:r>
      <w:r>
        <w:rPr>
          <w:rFonts w:hint="default" w:ascii="Times New Roman" w:hAnsi="Times New Roman" w:cs="Times New Roman"/>
          <w:color w:val="auto"/>
          <w:highlight w:val="none"/>
          <w:lang w:val="en-US" w:eastAsia="zh-CN"/>
        </w:rPr>
        <w:t>架构设计方案</w:t>
      </w:r>
      <w:r>
        <w:rPr>
          <w:rStyle w:val="49"/>
          <w:rFonts w:hint="eastAsia" w:ascii="Times New Roman" w:hAnsi="Times New Roman" w:cs="Times New Roman"/>
          <w:iCs/>
          <w:color w:val="auto"/>
          <w:spacing w:val="0"/>
          <w:kern w:val="0"/>
          <w:highlight w:val="none"/>
          <w:lang w:eastAsia="zh-CN"/>
        </w:rPr>
        <w:t>》、《</w:t>
      </w:r>
      <w:r>
        <w:rPr>
          <w:rFonts w:hint="default" w:ascii="Times New Roman" w:hAnsi="Times New Roman" w:cs="Times New Roman"/>
          <w:color w:val="auto"/>
          <w:highlight w:val="none"/>
          <w:lang w:val="en-US" w:eastAsia="zh-CN"/>
        </w:rPr>
        <w:t>数据中台</w:t>
      </w:r>
      <w:r>
        <w:rPr>
          <w:rFonts w:hint="eastAsia" w:ascii="Times New Roman" w:hAnsi="Times New Roman" w:cs="Times New Roman"/>
          <w:color w:val="auto"/>
          <w:highlight w:val="none"/>
          <w:lang w:val="en-US" w:eastAsia="zh-CN"/>
        </w:rPr>
        <w:t>灾备</w:t>
      </w:r>
      <w:r>
        <w:rPr>
          <w:rFonts w:hint="default" w:ascii="Times New Roman" w:hAnsi="Times New Roman" w:cs="Times New Roman"/>
          <w:color w:val="auto"/>
          <w:highlight w:val="none"/>
          <w:lang w:val="en-US" w:eastAsia="zh-CN"/>
        </w:rPr>
        <w:t>方案</w:t>
      </w:r>
      <w:r>
        <w:rPr>
          <w:rStyle w:val="49"/>
          <w:rFonts w:hint="eastAsia" w:ascii="Times New Roman" w:hAnsi="Times New Roman" w:cs="Times New Roman"/>
          <w:iCs/>
          <w:color w:val="auto"/>
          <w:spacing w:val="0"/>
          <w:kern w:val="0"/>
          <w:highlight w:val="none"/>
          <w:lang w:eastAsia="zh-CN"/>
        </w:rPr>
        <w:t>》、《</w:t>
      </w:r>
      <w:r>
        <w:rPr>
          <w:rFonts w:hint="default" w:ascii="Times New Roman" w:hAnsi="Times New Roman" w:cs="Times New Roman"/>
          <w:color w:val="auto"/>
          <w:highlight w:val="none"/>
          <w:lang w:val="en-US" w:eastAsia="zh-CN"/>
        </w:rPr>
        <w:t>数据中台实施</w:t>
      </w:r>
      <w:r>
        <w:rPr>
          <w:rFonts w:hint="eastAsia" w:ascii="Times New Roman" w:hAnsi="Times New Roman" w:cs="Times New Roman"/>
          <w:color w:val="auto"/>
          <w:highlight w:val="none"/>
          <w:lang w:val="en-US" w:eastAsia="zh-CN"/>
        </w:rPr>
        <w:t>和迁移</w:t>
      </w:r>
      <w:r>
        <w:rPr>
          <w:rFonts w:hint="default" w:ascii="Times New Roman" w:hAnsi="Times New Roman" w:cs="Times New Roman"/>
          <w:color w:val="auto"/>
          <w:highlight w:val="none"/>
          <w:lang w:val="en-US" w:eastAsia="zh-CN"/>
        </w:rPr>
        <w:t>方案</w:t>
      </w:r>
      <w:r>
        <w:rPr>
          <w:rStyle w:val="49"/>
          <w:rFonts w:hint="eastAsia" w:ascii="Times New Roman" w:hAnsi="Times New Roman" w:cs="Times New Roman"/>
          <w:iCs/>
          <w:color w:val="auto"/>
          <w:spacing w:val="0"/>
          <w:kern w:val="0"/>
          <w:highlight w:val="none"/>
          <w:lang w:eastAsia="zh-CN"/>
        </w:rPr>
        <w:t>》、</w:t>
      </w:r>
      <w:r>
        <w:rPr>
          <w:rStyle w:val="49"/>
          <w:rFonts w:hint="default" w:ascii="Times New Roman" w:hAnsi="Times New Roman" w:eastAsia="宋体" w:cs="Times New Roman"/>
          <w:color w:val="auto"/>
          <w:spacing w:val="0"/>
          <w:kern w:val="0"/>
          <w:highlight w:val="none"/>
        </w:rPr>
        <w:t>《系统测试计划》</w:t>
      </w:r>
      <w:r>
        <w:rPr>
          <w:rStyle w:val="49"/>
          <w:rFonts w:hint="eastAsia" w:ascii="Times New Roman" w:hAnsi="Times New Roman" w:cs="Times New Roman"/>
          <w:color w:val="auto"/>
          <w:spacing w:val="0"/>
          <w:kern w:val="0"/>
          <w:highlight w:val="none"/>
          <w:lang w:eastAsia="zh-CN"/>
        </w:rPr>
        <w:t>、</w:t>
      </w:r>
      <w:r>
        <w:rPr>
          <w:rStyle w:val="49"/>
          <w:rFonts w:hint="default" w:ascii="Times New Roman" w:hAnsi="Times New Roman" w:eastAsia="宋体" w:cs="Times New Roman"/>
          <w:color w:val="auto"/>
          <w:spacing w:val="0"/>
          <w:kern w:val="0"/>
          <w:highlight w:val="none"/>
        </w:rPr>
        <w:t>《系统测试报告》、《性能测试报告》、《安全测试报告》</w:t>
      </w:r>
      <w:r>
        <w:rPr>
          <w:rStyle w:val="49"/>
          <w:rFonts w:hint="eastAsia" w:ascii="Times New Roman" w:hAnsi="Times New Roman" w:cs="Times New Roman"/>
          <w:color w:val="auto"/>
          <w:spacing w:val="0"/>
          <w:kern w:val="0"/>
          <w:highlight w:val="none"/>
          <w:lang w:eastAsia="zh-CN"/>
        </w:rPr>
        <w:t>、</w:t>
      </w:r>
      <w:r>
        <w:rPr>
          <w:rStyle w:val="49"/>
          <w:rFonts w:hint="default" w:ascii="Times New Roman" w:hAnsi="Times New Roman" w:eastAsia="宋体" w:cs="Times New Roman"/>
          <w:color w:val="auto"/>
          <w:spacing w:val="0"/>
          <w:kern w:val="0"/>
          <w:highlight w:val="none"/>
        </w:rPr>
        <w:t>《软件兼容性方案》</w:t>
      </w:r>
      <w:r>
        <w:rPr>
          <w:rStyle w:val="49"/>
          <w:rFonts w:hint="eastAsia" w:ascii="Times New Roman" w:hAnsi="Times New Roman" w:cs="Times New Roman"/>
          <w:color w:val="auto"/>
          <w:spacing w:val="0"/>
          <w:kern w:val="0"/>
          <w:highlight w:val="none"/>
          <w:lang w:eastAsia="zh-CN"/>
        </w:rPr>
        <w:t>、</w:t>
      </w:r>
      <w:r>
        <w:rPr>
          <w:rStyle w:val="49"/>
          <w:rFonts w:hint="eastAsia" w:ascii="Times New Roman" w:hAnsi="Times New Roman" w:cs="Times New Roman"/>
          <w:color w:val="auto"/>
          <w:spacing w:val="0"/>
          <w:kern w:val="0"/>
          <w:highlight w:val="none"/>
          <w:lang w:val="en-US" w:eastAsia="zh-CN"/>
        </w:rPr>
        <w:t>系统源代码。</w:t>
      </w:r>
    </w:p>
    <w:p w14:paraId="5DDD5145">
      <w:pPr>
        <w:keepNext w:val="0"/>
        <w:keepLines w:val="0"/>
        <w:pageBreakBefore w:val="0"/>
        <w:kinsoku/>
        <w:wordWrap/>
        <w:overflowPunct/>
        <w:topLinePunct w:val="0"/>
        <w:autoSpaceDE w:val="0"/>
        <w:autoSpaceDN w:val="0"/>
        <w:bidi w:val="0"/>
        <w:spacing w:line="360" w:lineRule="auto"/>
        <w:ind w:firstLine="482" w:firstLineChars="200"/>
        <w:outlineLvl w:val="9"/>
        <w:rPr>
          <w:rStyle w:val="49"/>
          <w:rFonts w:hint="default" w:ascii="Times New Roman" w:hAnsi="Times New Roman" w:eastAsia="宋体" w:cs="Times New Roman"/>
          <w:b/>
          <w:color w:val="auto"/>
          <w:spacing w:val="0"/>
          <w:kern w:val="0"/>
          <w:highlight w:val="none"/>
        </w:rPr>
      </w:pPr>
      <w:r>
        <w:rPr>
          <w:rStyle w:val="49"/>
          <w:rFonts w:hint="default" w:ascii="Times New Roman" w:hAnsi="Times New Roman" w:eastAsia="宋体" w:cs="Times New Roman"/>
          <w:b/>
          <w:color w:val="auto"/>
          <w:spacing w:val="0"/>
          <w:kern w:val="0"/>
          <w:highlight w:val="none"/>
        </w:rPr>
        <w:t>二、验收流程</w:t>
      </w:r>
    </w:p>
    <w:p w14:paraId="19082A6B">
      <w:pPr>
        <w:keepNext w:val="0"/>
        <w:keepLines w:val="0"/>
        <w:pageBreakBefore w:val="0"/>
        <w:kinsoku/>
        <w:wordWrap/>
        <w:overflowPunct/>
        <w:topLinePunct w:val="0"/>
        <w:autoSpaceDE w:val="0"/>
        <w:autoSpaceDN w:val="0"/>
        <w:bidi w:val="0"/>
        <w:spacing w:line="360" w:lineRule="auto"/>
        <w:ind w:left="2" w:leftChars="1" w:firstLine="360" w:firstLineChars="15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8F91DCA">
      <w:pPr>
        <w:keepNext w:val="0"/>
        <w:keepLines w:val="0"/>
        <w:pageBreakBefore w:val="0"/>
        <w:kinsoku/>
        <w:wordWrap/>
        <w:overflowPunct/>
        <w:topLinePunct w:val="0"/>
        <w:autoSpaceDE w:val="0"/>
        <w:autoSpaceDN w:val="0"/>
        <w:bidi w:val="0"/>
        <w:spacing w:line="360" w:lineRule="auto"/>
        <w:ind w:left="-358"/>
        <w:outlineLvl w:val="9"/>
        <w:rPr>
          <w:rStyle w:val="49"/>
          <w:rFonts w:hint="default" w:ascii="Times New Roman" w:hAnsi="Times New Roman" w:eastAsia="宋体" w:cs="Times New Roman"/>
          <w:color w:val="auto"/>
          <w:spacing w:val="0"/>
          <w:kern w:val="0"/>
          <w:highlight w:val="none"/>
        </w:rPr>
      </w:pPr>
    </w:p>
    <w:p w14:paraId="670F8C7D">
      <w:pPr>
        <w:keepNext w:val="0"/>
        <w:keepLines w:val="0"/>
        <w:pageBreakBefore w:val="0"/>
        <w:kinsoku/>
        <w:wordWrap/>
        <w:overflowPunct/>
        <w:topLinePunct w:val="0"/>
        <w:autoSpaceDE w:val="0"/>
        <w:autoSpaceDN w:val="0"/>
        <w:bidi w:val="0"/>
        <w:spacing w:before="0" w:after="0"/>
        <w:outlineLvl w:val="9"/>
        <w:rPr>
          <w:rStyle w:val="49"/>
          <w:rFonts w:hint="default" w:ascii="Times New Roman" w:hAnsi="Times New Roman" w:eastAsia="宋体" w:cs="Times New Roman"/>
          <w:color w:val="auto"/>
          <w:spacing w:val="0"/>
          <w:kern w:val="0"/>
          <w:sz w:val="30"/>
          <w:highlight w:val="none"/>
        </w:rPr>
      </w:pPr>
      <w:r>
        <w:rPr>
          <w:rStyle w:val="49"/>
          <w:rFonts w:hint="default" w:ascii="Times New Roman" w:hAnsi="Times New Roman" w:eastAsia="宋体" w:cs="Times New Roman"/>
          <w:b w:val="0"/>
          <w:color w:val="auto"/>
          <w:spacing w:val="0"/>
          <w:kern w:val="0"/>
          <w:sz w:val="30"/>
          <w:highlight w:val="none"/>
        </w:rPr>
        <w:br w:type="page"/>
      </w:r>
      <w:bookmarkStart w:id="301" w:name="_Toc63757484"/>
      <w:bookmarkStart w:id="302" w:name="_Toc84948052"/>
      <w:r>
        <w:rPr>
          <w:rStyle w:val="49"/>
          <w:rFonts w:hint="default" w:ascii="Times New Roman" w:hAnsi="Times New Roman" w:eastAsia="宋体" w:cs="Times New Roman"/>
          <w:color w:val="auto"/>
          <w:spacing w:val="0"/>
          <w:kern w:val="0"/>
          <w:sz w:val="30"/>
          <w:highlight w:val="none"/>
        </w:rPr>
        <w:t>附件四：维护服务条款</w:t>
      </w:r>
      <w:bookmarkEnd w:id="301"/>
      <w:bookmarkEnd w:id="302"/>
    </w:p>
    <w:p w14:paraId="587C3CA1">
      <w:pPr>
        <w:keepNext w:val="0"/>
        <w:keepLines w:val="0"/>
        <w:pageBreakBefore w:val="0"/>
        <w:kinsoku/>
        <w:wordWrap/>
        <w:overflowPunct/>
        <w:topLinePunct w:val="0"/>
        <w:autoSpaceDE w:val="0"/>
        <w:autoSpaceDN w:val="0"/>
        <w:bidi w:val="0"/>
        <w:spacing w:line="360" w:lineRule="auto"/>
        <w:ind w:firstLine="480"/>
        <w:outlineLvl w:val="9"/>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t>乙方业务代表作为技术服务的第一联系人，项目经理作为该项目的技术服务第二联系人，随时接受客户的电话服务支持，并申请调配相关资源为客户提供及时服务。</w:t>
      </w:r>
    </w:p>
    <w:p w14:paraId="56696BB7">
      <w:pPr>
        <w:keepNext w:val="0"/>
        <w:keepLines w:val="0"/>
        <w:pageBreakBefore w:val="0"/>
        <w:numPr>
          <w:ilvl w:val="0"/>
          <w:numId w:val="39"/>
        </w:numPr>
        <w:tabs>
          <w:tab w:val="left" w:pos="420"/>
          <w:tab w:val="clear" w:pos="0"/>
        </w:tabs>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系统正式验收通过，上线后提供三个月免费人员现场驻场维护，</w:t>
      </w:r>
      <w:r>
        <w:rPr>
          <w:rFonts w:hint="default" w:ascii="Times New Roman" w:hAnsi="Times New Roman" w:eastAsia="宋体" w:cs="Times New Roman"/>
          <w:color w:val="auto"/>
          <w:spacing w:val="0"/>
          <w:kern w:val="0"/>
          <w:highlight w:val="none"/>
        </w:rPr>
        <w:t>正式</w:t>
      </w:r>
      <w:r>
        <w:rPr>
          <w:rFonts w:hint="default" w:ascii="Times New Roman" w:hAnsi="Times New Roman" w:eastAsia="宋体" w:cs="Times New Roman"/>
          <w:color w:val="auto"/>
          <w:spacing w:val="0"/>
          <w:highlight w:val="none"/>
        </w:rPr>
        <w:t>验收合格次日</w:t>
      </w:r>
      <w:r>
        <w:rPr>
          <w:rStyle w:val="49"/>
          <w:rFonts w:hint="default" w:ascii="Times New Roman" w:hAnsi="Times New Roman" w:eastAsia="宋体" w:cs="Times New Roman"/>
          <w:color w:val="auto"/>
          <w:spacing w:val="0"/>
          <w:highlight w:val="none"/>
        </w:rPr>
        <w:t>至次年</w:t>
      </w:r>
      <w:r>
        <w:rPr>
          <w:rFonts w:hint="default" w:ascii="Times New Roman" w:hAnsi="Times New Roman" w:eastAsia="宋体" w:cs="Times New Roman"/>
          <w:color w:val="auto"/>
          <w:spacing w:val="0"/>
          <w:highlight w:val="none"/>
        </w:rPr>
        <w:t>并延期至6月30日或12月31日中较近日期（即维保延期最长不超过半年）</w:t>
      </w:r>
      <w:r>
        <w:rPr>
          <w:rStyle w:val="49"/>
          <w:rFonts w:hint="default" w:ascii="Times New Roman" w:hAnsi="Times New Roman" w:eastAsia="宋体" w:cs="Times New Roman"/>
          <w:color w:val="auto"/>
          <w:spacing w:val="0"/>
          <w:highlight w:val="none"/>
        </w:rPr>
        <w:t>提供支持和服务。</w:t>
      </w:r>
    </w:p>
    <w:p w14:paraId="676EACF2">
      <w:pPr>
        <w:keepNext w:val="0"/>
        <w:keepLines w:val="0"/>
        <w:pageBreakBefore w:val="0"/>
        <w:numPr>
          <w:ilvl w:val="0"/>
          <w:numId w:val="39"/>
        </w:numPr>
        <w:tabs>
          <w:tab w:val="left" w:pos="420"/>
          <w:tab w:val="clear" w:pos="0"/>
        </w:tabs>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维护期内，提供平台升级及优化服务。</w:t>
      </w:r>
    </w:p>
    <w:p w14:paraId="37530029">
      <w:pPr>
        <w:keepNext w:val="0"/>
        <w:keepLines w:val="0"/>
        <w:pageBreakBefore w:val="0"/>
        <w:numPr>
          <w:ilvl w:val="0"/>
          <w:numId w:val="39"/>
        </w:numPr>
        <w:tabs>
          <w:tab w:val="left" w:pos="420"/>
          <w:tab w:val="clear" w:pos="0"/>
        </w:tabs>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系统上线后，提供二次系统和产品的培训，时间为每次1天。在维护期内，也可以根据用户需求，随时到客户现场进行系统和产品的培训。</w:t>
      </w:r>
    </w:p>
    <w:p w14:paraId="51558228">
      <w:pPr>
        <w:keepNext w:val="0"/>
        <w:keepLines w:val="0"/>
        <w:pageBreakBefore w:val="0"/>
        <w:numPr>
          <w:ilvl w:val="0"/>
          <w:numId w:val="39"/>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Style w:val="49"/>
          <w:rFonts w:hint="default" w:ascii="Times New Roman" w:hAnsi="Times New Roman" w:eastAsia="宋体" w:cs="Times New Roman"/>
          <w:color w:val="auto"/>
          <w:spacing w:val="0"/>
          <w:highlight w:val="none"/>
        </w:rPr>
        <w:t>维护期内，每季度派工程师现场巡检一次，并在巡检后提交巡检报告，针对巡检中发现的问题立即组织整改。</w:t>
      </w:r>
    </w:p>
    <w:p w14:paraId="62EE21AE">
      <w:pPr>
        <w:keepNext w:val="0"/>
        <w:keepLines w:val="0"/>
        <w:pageBreakBefore w:val="0"/>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支持方式和手段</w:t>
      </w:r>
    </w:p>
    <w:p w14:paraId="3F11E537">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热线电话</w:t>
      </w:r>
      <w:r>
        <w:rPr>
          <w:rFonts w:hint="default" w:ascii="Times New Roman" w:hAnsi="Times New Roman" w:eastAsia="宋体" w:cs="Times New Roman"/>
          <w:color w:val="auto"/>
          <w:spacing w:val="0"/>
          <w:highlight w:val="none"/>
        </w:rPr>
        <w:br w:type="textWrapping"/>
      </w:r>
      <w:r>
        <w:rPr>
          <w:rFonts w:hint="default" w:ascii="Times New Roman" w:hAnsi="Times New Roman" w:eastAsia="宋体" w:cs="Times New Roman"/>
          <w:color w:val="auto"/>
          <w:spacing w:val="0"/>
          <w:highlight w:val="none"/>
        </w:rPr>
        <w:t>针对具体业务过程中产生的各种技术咨询，开设专线，提供7*24小时的技术服务支持。</w:t>
      </w:r>
    </w:p>
    <w:p w14:paraId="4BECC64F">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E-mail</w:t>
      </w:r>
      <w:r>
        <w:rPr>
          <w:rFonts w:hint="default" w:ascii="Times New Roman" w:hAnsi="Times New Roman" w:eastAsia="宋体" w:cs="Times New Roman"/>
          <w:color w:val="auto"/>
          <w:spacing w:val="0"/>
          <w:highlight w:val="none"/>
        </w:rPr>
        <w:br w:type="textWrapping"/>
      </w:r>
      <w:r>
        <w:rPr>
          <w:rFonts w:hint="default" w:ascii="Times New Roman" w:hAnsi="Times New Roman" w:eastAsia="宋体" w:cs="Times New Roman"/>
          <w:color w:val="auto"/>
          <w:spacing w:val="0"/>
          <w:highlight w:val="none"/>
        </w:rPr>
        <w:t>客户建议、意见及技术支持同样可以通过</w:t>
      </w:r>
      <w:r>
        <w:rPr>
          <w:rFonts w:hint="default" w:ascii="Times New Roman" w:hAnsi="Times New Roman" w:eastAsia="宋体" w:cs="Times New Roman"/>
          <w:color w:val="auto"/>
          <w:spacing w:val="0"/>
          <w:highlight w:val="none"/>
          <w:u w:val="single"/>
        </w:rPr>
        <w:t xml:space="preserve">    XXXXX公司（乙方）  </w:t>
      </w:r>
      <w:r>
        <w:rPr>
          <w:rFonts w:hint="default" w:ascii="Times New Roman" w:hAnsi="Times New Roman" w:eastAsia="宋体" w:cs="Times New Roman"/>
          <w:color w:val="auto"/>
          <w:spacing w:val="0"/>
          <w:highlight w:val="none"/>
        </w:rPr>
        <w:t>提供的服务支持电子信箱获得响应，我们将做出详细、全面的服务解答，在半天内给予E-mail回复。</w:t>
      </w:r>
    </w:p>
    <w:p w14:paraId="4D0CC050">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远程登录</w:t>
      </w:r>
      <w:r>
        <w:rPr>
          <w:rFonts w:hint="default" w:ascii="Times New Roman" w:hAnsi="Times New Roman" w:eastAsia="宋体" w:cs="Times New Roman"/>
          <w:color w:val="auto"/>
          <w:spacing w:val="0"/>
          <w:highlight w:val="none"/>
        </w:rPr>
        <w:br w:type="textWrapping"/>
      </w:r>
      <w:r>
        <w:rPr>
          <w:rFonts w:hint="default" w:ascii="Times New Roman" w:hAnsi="Times New Roman" w:eastAsia="宋体" w:cs="Times New Roman"/>
          <w:color w:val="auto"/>
          <w:spacing w:val="0"/>
          <w:highlight w:val="none"/>
        </w:rPr>
        <w:t>对客户所遇到技术问题可以在客户条件许可的情况下进行远程访问排除故障，以方便客户能够及时解决疑难杂症。</w:t>
      </w:r>
    </w:p>
    <w:p w14:paraId="7E644FC2">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现场支持</w:t>
      </w:r>
      <w:r>
        <w:rPr>
          <w:rFonts w:hint="default" w:ascii="Times New Roman" w:hAnsi="Times New Roman" w:eastAsia="宋体" w:cs="Times New Roman"/>
          <w:color w:val="auto"/>
          <w:spacing w:val="0"/>
          <w:highlight w:val="none"/>
        </w:rPr>
        <w:br w:type="textWrapping"/>
      </w:r>
      <w:r>
        <w:rPr>
          <w:rFonts w:hint="default" w:ascii="Times New Roman" w:hAnsi="Times New Roman" w:eastAsia="宋体" w:cs="Times New Roman"/>
          <w:color w:val="auto"/>
          <w:spacing w:val="0"/>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4A18315">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运行日志定期检查</w:t>
      </w:r>
      <w:r>
        <w:rPr>
          <w:rFonts w:hint="default" w:ascii="Times New Roman" w:hAnsi="Times New Roman" w:eastAsia="宋体" w:cs="Times New Roman"/>
          <w:color w:val="auto"/>
          <w:spacing w:val="0"/>
          <w:highlight w:val="none"/>
        </w:rPr>
        <w:br w:type="textWrapping"/>
      </w:r>
      <w:r>
        <w:rPr>
          <w:rFonts w:hint="default" w:ascii="Times New Roman" w:hAnsi="Times New Roman" w:eastAsia="宋体" w:cs="Times New Roman"/>
          <w:color w:val="auto"/>
          <w:spacing w:val="0"/>
          <w:highlight w:val="none"/>
        </w:rPr>
        <w:t>最好的服务方式是提前发现问题，将问题解决于发生前，在</w:t>
      </w:r>
      <w:r>
        <w:rPr>
          <w:rStyle w:val="49"/>
          <w:rFonts w:hint="default" w:ascii="Times New Roman" w:hAnsi="Times New Roman" w:eastAsia="宋体" w:cs="Times New Roman"/>
          <w:color w:val="auto"/>
          <w:spacing w:val="0"/>
          <w:kern w:val="0"/>
          <w:highlight w:val="none"/>
        </w:rPr>
        <w:t>乙方</w:t>
      </w:r>
      <w:r>
        <w:rPr>
          <w:rFonts w:hint="default" w:ascii="Times New Roman" w:hAnsi="Times New Roman" w:eastAsia="宋体" w:cs="Times New Roman"/>
          <w:color w:val="auto"/>
          <w:spacing w:val="0"/>
          <w:highlight w:val="none"/>
        </w:rPr>
        <w:t>实施的系统中，提供了相关的运行日志，通过和客户的协商，通过客户定期提供的运行日志，可实现定期的日志检查，可以提前发现系统的运行问题，以起到防患于未然的效果。</w:t>
      </w:r>
    </w:p>
    <w:p w14:paraId="784625F6">
      <w:pPr>
        <w:keepNext w:val="0"/>
        <w:keepLines w:val="0"/>
        <w:pageBreakBefore w:val="0"/>
        <w:numPr>
          <w:ilvl w:val="0"/>
          <w:numId w:val="40"/>
        </w:numPr>
        <w:tabs>
          <w:tab w:val="left" w:pos="420"/>
          <w:tab w:val="clear" w:pos="0"/>
        </w:tabs>
        <w:kinsoku/>
        <w:wordWrap/>
        <w:overflowPunct/>
        <w:topLinePunct w:val="0"/>
        <w:autoSpaceDE w:val="0"/>
        <w:autoSpaceDN w:val="0"/>
        <w:bidi w:val="0"/>
        <w:spacing w:line="360" w:lineRule="auto"/>
        <w:outlineLvl w:val="9"/>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rPr>
        <w:t>故障处理流程</w:t>
      </w:r>
    </w:p>
    <w:p w14:paraId="66E5C257">
      <w:pPr>
        <w:keepNext w:val="0"/>
        <w:keepLines w:val="0"/>
        <w:pageBreakBefore w:val="0"/>
        <w:kinsoku/>
        <w:wordWrap/>
        <w:overflowPunct/>
        <w:topLinePunct w:val="0"/>
        <w:autoSpaceDE w:val="0"/>
        <w:autoSpaceDN w:val="0"/>
        <w:bidi w:val="0"/>
        <w:spacing w:line="360" w:lineRule="auto"/>
        <w:ind w:left="420"/>
        <w:outlineLvl w:val="9"/>
        <w:rPr>
          <w:rFonts w:hint="default" w:ascii="Times New Roman" w:hAnsi="Times New Roman" w:eastAsia="宋体" w:cs="Times New Roman"/>
          <w:color w:val="auto"/>
          <w:spacing w:val="0"/>
          <w:highlight w:val="none"/>
        </w:rPr>
        <w:sectPr>
          <w:headerReference r:id="rId7" w:type="first"/>
          <w:footerReference r:id="rId10" w:type="first"/>
          <w:headerReference r:id="rId6" w:type="default"/>
          <w:footerReference r:id="rId8" w:type="default"/>
          <w:footerReference r:id="rId9"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26" w:charSpace="-4913"/>
        </w:sectPr>
      </w:pPr>
      <w:r>
        <w:rPr>
          <w:rFonts w:hint="default" w:ascii="Times New Roman" w:hAnsi="Times New Roman" w:eastAsia="宋体" w:cs="Times New Roman"/>
          <w:color w:val="auto"/>
          <w:spacing w:val="0"/>
          <w:highlight w:val="none"/>
        </w:rPr>
        <w:t>通过现象定位错误原因，编写处理说明书（包含处理完成时间）。</w:t>
      </w:r>
    </w:p>
    <w:p w14:paraId="53972A83">
      <w:pPr>
        <w:keepNext w:val="0"/>
        <w:keepLines w:val="0"/>
        <w:pageBreakBefore w:val="0"/>
        <w:kinsoku/>
        <w:wordWrap/>
        <w:overflowPunct/>
        <w:topLinePunct w:val="0"/>
        <w:autoSpaceDE w:val="0"/>
        <w:autoSpaceDN w:val="0"/>
        <w:bidi w:val="0"/>
        <w:spacing w:before="0" w:after="0"/>
        <w:outlineLvl w:val="9"/>
        <w:rPr>
          <w:rFonts w:hint="default" w:ascii="Times New Roman" w:hAnsi="Times New Roman" w:cs="Times New Roman"/>
          <w:color w:val="auto"/>
          <w:highlight w:val="none"/>
        </w:rPr>
      </w:pPr>
      <w:bookmarkStart w:id="303" w:name="_Toc84948053"/>
      <w:bookmarkStart w:id="304" w:name="_Toc63757485"/>
      <w:r>
        <w:rPr>
          <w:rStyle w:val="49"/>
          <w:rFonts w:hint="default" w:ascii="Times New Roman" w:hAnsi="Times New Roman" w:eastAsia="宋体" w:cs="Times New Roman"/>
          <w:color w:val="auto"/>
          <w:spacing w:val="0"/>
          <w:kern w:val="0"/>
          <w:sz w:val="30"/>
          <w:highlight w:val="none"/>
        </w:rPr>
        <w:t>附件五：服务水平协议（SLA）</w:t>
      </w:r>
      <w:bookmarkEnd w:id="303"/>
      <w:bookmarkEnd w:id="304"/>
    </w:p>
    <w:p w14:paraId="3FFEC120">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szCs w:val="24"/>
          <w:highlight w:val="none"/>
        </w:rPr>
      </w:pPr>
      <w:bookmarkStart w:id="305" w:name="_Toc254884639"/>
      <w:r>
        <w:rPr>
          <w:rFonts w:hint="default" w:ascii="Times New Roman" w:hAnsi="Times New Roman" w:eastAsia="宋体" w:cs="Times New Roman"/>
          <w:b/>
          <w:bCs/>
          <w:color w:val="auto"/>
          <w:spacing w:val="0"/>
          <w:kern w:val="32"/>
          <w:szCs w:val="24"/>
          <w:highlight w:val="none"/>
        </w:rPr>
        <w:t>1. 目标</w:t>
      </w:r>
      <w:bookmarkEnd w:id="305"/>
    </w:p>
    <w:p w14:paraId="3EEFC440">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本服务水平协议（SLA）的目标是为了清晰地定义由XXXXXXXXXXXXXXXXXXX公司（乙方）在本项目中为重庆三峡银行（甲方）提供的服务水平，本SLA主要：</w:t>
      </w:r>
    </w:p>
    <w:p w14:paraId="404DD3C9">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明确甲方对外包乙方所提供服务水平的期望</w:t>
      </w:r>
    </w:p>
    <w:p w14:paraId="73F30AB7">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规范和加强甲方对乙方所提供服务水平的控制</w:t>
      </w:r>
    </w:p>
    <w:p w14:paraId="5344477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双方将针对本项目制定明确的职责分工表用来确定计划和管理服务水平协议的角色和职责。</w:t>
      </w:r>
    </w:p>
    <w:p w14:paraId="09749A0B">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06" w:name="_Toc254884640"/>
      <w:r>
        <w:rPr>
          <w:rFonts w:hint="default" w:ascii="Times New Roman" w:hAnsi="Times New Roman" w:eastAsia="宋体" w:cs="Times New Roman"/>
          <w:b/>
          <w:bCs/>
          <w:color w:val="auto"/>
          <w:spacing w:val="0"/>
          <w:kern w:val="32"/>
          <w:szCs w:val="24"/>
          <w:highlight w:val="none"/>
        </w:rPr>
        <w:t>2. 协议期限</w:t>
      </w:r>
      <w:bookmarkEnd w:id="306"/>
    </w:p>
    <w:p w14:paraId="0E62C9BE">
      <w:pPr>
        <w:keepNext w:val="0"/>
        <w:keepLines w:val="0"/>
        <w:pageBreakBefore w:val="0"/>
        <w:kinsoku/>
        <w:wordWrap/>
        <w:overflowPunct/>
        <w:topLinePunct w:val="0"/>
        <w:autoSpaceDE w:val="0"/>
        <w:autoSpaceDN w:val="0"/>
        <w:bidi w:val="0"/>
        <w:spacing w:line="360" w:lineRule="auto"/>
        <w:ind w:firstLine="424" w:firstLineChars="177"/>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根据双方达成的一致要求，本协议的有效期从本项目实施之日起到合同正文</w:t>
      </w:r>
      <w:r>
        <w:rPr>
          <w:rFonts w:hint="default" w:ascii="Times New Roman" w:hAnsi="Times New Roman" w:eastAsia="宋体" w:cs="Times New Roman"/>
          <w:color w:val="auto"/>
          <w:spacing w:val="0"/>
          <w:highlight w:val="none"/>
        </w:rPr>
        <w:t>6.1承诺的</w:t>
      </w:r>
      <w:r>
        <w:rPr>
          <w:rFonts w:hint="default" w:ascii="Times New Roman" w:hAnsi="Times New Roman" w:eastAsia="宋体" w:cs="Times New Roman"/>
          <w:color w:val="auto"/>
          <w:spacing w:val="0"/>
          <w:szCs w:val="24"/>
          <w:highlight w:val="none"/>
        </w:rPr>
        <w:t>维护期结束。</w:t>
      </w:r>
    </w:p>
    <w:p w14:paraId="4D52C272">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07" w:name="_Toc254884641"/>
      <w:r>
        <w:rPr>
          <w:rFonts w:hint="default" w:ascii="Times New Roman" w:hAnsi="Times New Roman" w:eastAsia="宋体" w:cs="Times New Roman"/>
          <w:b/>
          <w:bCs/>
          <w:color w:val="auto"/>
          <w:spacing w:val="0"/>
          <w:kern w:val="32"/>
          <w:szCs w:val="24"/>
          <w:highlight w:val="none"/>
        </w:rPr>
        <w:t>3. 双方职责</w:t>
      </w:r>
      <w:bookmarkEnd w:id="307"/>
    </w:p>
    <w:p w14:paraId="0D86CF81">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08" w:name="_Toc254884642"/>
      <w:r>
        <w:rPr>
          <w:rFonts w:hint="default" w:ascii="Times New Roman" w:hAnsi="Times New Roman" w:eastAsia="宋体" w:cs="Times New Roman"/>
          <w:b/>
          <w:bCs/>
          <w:color w:val="auto"/>
          <w:spacing w:val="0"/>
          <w:kern w:val="32"/>
          <w:szCs w:val="24"/>
          <w:highlight w:val="none"/>
        </w:rPr>
        <w:t>3.1乙方</w:t>
      </w:r>
      <w:bookmarkEnd w:id="308"/>
    </w:p>
    <w:p w14:paraId="4A4A736E">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除本协议描述的服务水平衡量和目标外，乙方还应：</w:t>
      </w:r>
    </w:p>
    <w:p w14:paraId="77B3510E">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尽快向甲方管理层汇报发现的问题；</w:t>
      </w:r>
    </w:p>
    <w:p w14:paraId="0ACABA7D">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任何可能影响SLA中规定服务的服务能力的事件，乙方应尽早向甲方提供预警信息，以及可能的影响和处置措施。事件包括：</w:t>
      </w:r>
    </w:p>
    <w:p w14:paraId="1A56ABEB">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组织架构变更</w:t>
      </w:r>
    </w:p>
    <w:p w14:paraId="4DD91BB9">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技术变更</w:t>
      </w:r>
    </w:p>
    <w:p w14:paraId="1D3CDA36">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职能变更</w:t>
      </w:r>
    </w:p>
    <w:p w14:paraId="7E62C550">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其他可能影响对甲方服务的突发事件</w:t>
      </w:r>
    </w:p>
    <w:p w14:paraId="09F26392">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协助甲方及时解决生产事件。当问题产生时，应尽快采取适当的措施识别并修复问题。</w:t>
      </w:r>
    </w:p>
    <w:p w14:paraId="5AB22F0A">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r>
        <w:rPr>
          <w:rFonts w:hint="default" w:ascii="Times New Roman" w:hAnsi="Times New Roman" w:eastAsia="宋体" w:cs="Times New Roman"/>
          <w:b/>
          <w:bCs/>
          <w:color w:val="auto"/>
          <w:spacing w:val="0"/>
          <w:kern w:val="32"/>
          <w:szCs w:val="24"/>
          <w:highlight w:val="none"/>
        </w:rPr>
        <w:t>3.2甲方</w:t>
      </w:r>
    </w:p>
    <w:p w14:paraId="0034BB9C">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甲方将尽快将问题汇报给乙方管理层；</w:t>
      </w:r>
    </w:p>
    <w:p w14:paraId="58287631">
      <w:pPr>
        <w:keepNext w:val="0"/>
        <w:keepLines w:val="0"/>
        <w:pageBreakBefore w:val="0"/>
        <w:widowControl/>
        <w:numPr>
          <w:ilvl w:val="0"/>
          <w:numId w:val="41"/>
        </w:numPr>
        <w:kinsoku/>
        <w:wordWrap/>
        <w:overflowPunct/>
        <w:topLinePunct w:val="0"/>
        <w:autoSpaceDE w:val="0"/>
        <w:autoSpaceDN w:val="0"/>
        <w:bidi w:val="0"/>
        <w:adjustRightInd/>
        <w:snapToGrid/>
        <w:spacing w:line="360" w:lineRule="auto"/>
        <w:ind w:left="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提供任何可能影响乙方向甲方提供SLA中规定服务的服务能力的事件信息，包括：</w:t>
      </w:r>
    </w:p>
    <w:p w14:paraId="10E7D8A8">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组织架构变更</w:t>
      </w:r>
    </w:p>
    <w:p w14:paraId="1ACAE005">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技术变更</w:t>
      </w:r>
    </w:p>
    <w:p w14:paraId="6B83DA18">
      <w:pPr>
        <w:keepNext w:val="0"/>
        <w:keepLines w:val="0"/>
        <w:pageBreakBefore w:val="0"/>
        <w:widowControl/>
        <w:numPr>
          <w:ilvl w:val="0"/>
          <w:numId w:val="42"/>
        </w:numPr>
        <w:tabs>
          <w:tab w:val="left" w:pos="0"/>
          <w:tab w:val="clear" w:pos="420"/>
        </w:tabs>
        <w:kinsoku/>
        <w:wordWrap/>
        <w:overflowPunct/>
        <w:topLinePunct w:val="0"/>
        <w:autoSpaceDE w:val="0"/>
        <w:autoSpaceDN w:val="0"/>
        <w:bidi w:val="0"/>
        <w:adjustRightInd/>
        <w:snapToGrid/>
        <w:spacing w:line="360" w:lineRule="auto"/>
        <w:ind w:left="420" w:leftChars="0"/>
        <w:jc w:val="left"/>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职能变更</w:t>
      </w:r>
    </w:p>
    <w:p w14:paraId="512F80A0">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09" w:name="_Toc254884644"/>
      <w:r>
        <w:rPr>
          <w:rFonts w:hint="default" w:ascii="Times New Roman" w:hAnsi="Times New Roman" w:eastAsia="宋体" w:cs="Times New Roman"/>
          <w:b/>
          <w:bCs/>
          <w:color w:val="auto"/>
          <w:spacing w:val="0"/>
          <w:kern w:val="32"/>
          <w:szCs w:val="24"/>
          <w:highlight w:val="none"/>
        </w:rPr>
        <w:t>4. 服务内容</w:t>
      </w:r>
      <w:bookmarkEnd w:id="309"/>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46394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6E9595C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b/>
                <w:bCs/>
                <w:color w:val="auto"/>
                <w:spacing w:val="0"/>
                <w:kern w:val="32"/>
                <w:sz w:val="21"/>
                <w:szCs w:val="21"/>
                <w:highlight w:val="none"/>
              </w:rPr>
              <w:t>4.1技术管理</w:t>
            </w:r>
          </w:p>
        </w:tc>
      </w:tr>
      <w:tr w14:paraId="438A1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3F10E8B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4.1.1</w:t>
            </w:r>
          </w:p>
        </w:tc>
        <w:tc>
          <w:tcPr>
            <w:tcW w:w="2022" w:type="dxa"/>
            <w:tcBorders>
              <w:tl2br w:val="nil"/>
              <w:tr2bl w:val="nil"/>
            </w:tcBorders>
            <w:vAlign w:val="center"/>
          </w:tcPr>
          <w:p w14:paraId="1E4EF8E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项目执行控制</w:t>
            </w:r>
          </w:p>
        </w:tc>
        <w:tc>
          <w:tcPr>
            <w:tcW w:w="6059" w:type="dxa"/>
            <w:tcBorders>
              <w:tl2br w:val="nil"/>
              <w:tr2bl w:val="nil"/>
            </w:tcBorders>
            <w:vAlign w:val="center"/>
          </w:tcPr>
          <w:p w14:paraId="79412F4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管理目标、沟通和范围</w:t>
            </w:r>
          </w:p>
        </w:tc>
      </w:tr>
      <w:tr w14:paraId="458E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29D85B5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4.1.2</w:t>
            </w:r>
          </w:p>
        </w:tc>
        <w:tc>
          <w:tcPr>
            <w:tcW w:w="2022" w:type="dxa"/>
            <w:tcBorders>
              <w:tl2br w:val="nil"/>
              <w:tr2bl w:val="nil"/>
            </w:tcBorders>
            <w:vAlign w:val="center"/>
          </w:tcPr>
          <w:p w14:paraId="774269B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系统部署</w:t>
            </w:r>
          </w:p>
        </w:tc>
        <w:tc>
          <w:tcPr>
            <w:tcW w:w="6059" w:type="dxa"/>
            <w:tcBorders>
              <w:tl2br w:val="nil"/>
              <w:tr2bl w:val="nil"/>
            </w:tcBorders>
            <w:vAlign w:val="center"/>
          </w:tcPr>
          <w:p w14:paraId="23A10A6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在甲方所提供的技术环境内配置和部署系统接入所需的资源</w:t>
            </w:r>
          </w:p>
        </w:tc>
      </w:tr>
      <w:tr w14:paraId="4229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6A80552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4.1.3</w:t>
            </w:r>
          </w:p>
        </w:tc>
        <w:tc>
          <w:tcPr>
            <w:tcW w:w="2022" w:type="dxa"/>
            <w:tcBorders>
              <w:tl2br w:val="nil"/>
              <w:tr2bl w:val="nil"/>
            </w:tcBorders>
            <w:vAlign w:val="center"/>
          </w:tcPr>
          <w:p w14:paraId="3D42341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管理系统</w:t>
            </w:r>
          </w:p>
        </w:tc>
        <w:tc>
          <w:tcPr>
            <w:tcW w:w="6059" w:type="dxa"/>
            <w:tcBorders>
              <w:tl2br w:val="nil"/>
              <w:tr2bl w:val="nil"/>
            </w:tcBorders>
            <w:vAlign w:val="center"/>
          </w:tcPr>
          <w:p w14:paraId="6673F12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管理运行过程中的各个环节和环境（如测试、培训、维护等）</w:t>
            </w:r>
          </w:p>
        </w:tc>
      </w:tr>
      <w:tr w14:paraId="0BCA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2A2ABD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4.2系统处理</w:t>
            </w:r>
          </w:p>
        </w:tc>
      </w:tr>
      <w:tr w14:paraId="2484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0D08A43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4.2.1</w:t>
            </w:r>
          </w:p>
        </w:tc>
        <w:tc>
          <w:tcPr>
            <w:tcW w:w="2022" w:type="dxa"/>
            <w:tcBorders>
              <w:tl2br w:val="nil"/>
              <w:tr2bl w:val="nil"/>
            </w:tcBorders>
            <w:vAlign w:val="center"/>
          </w:tcPr>
          <w:p w14:paraId="1707C95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备份</w:t>
            </w:r>
          </w:p>
        </w:tc>
        <w:tc>
          <w:tcPr>
            <w:tcW w:w="6059" w:type="dxa"/>
            <w:tcBorders>
              <w:tl2br w:val="nil"/>
              <w:tr2bl w:val="nil"/>
            </w:tcBorders>
            <w:vAlign w:val="center"/>
          </w:tcPr>
          <w:p w14:paraId="7A8D8A4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提供数据容量规划咨询，设计系统的备份策略，完成其有效性验证</w:t>
            </w:r>
          </w:p>
        </w:tc>
      </w:tr>
      <w:tr w14:paraId="0BF8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7E07B8D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4.2.2</w:t>
            </w:r>
          </w:p>
        </w:tc>
        <w:tc>
          <w:tcPr>
            <w:tcW w:w="2022" w:type="dxa"/>
            <w:tcBorders>
              <w:tl2br w:val="nil"/>
              <w:tr2bl w:val="nil"/>
            </w:tcBorders>
            <w:vAlign w:val="center"/>
          </w:tcPr>
          <w:p w14:paraId="2C06F8D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恢复</w:t>
            </w:r>
          </w:p>
        </w:tc>
        <w:tc>
          <w:tcPr>
            <w:tcW w:w="6059" w:type="dxa"/>
            <w:tcBorders>
              <w:tl2br w:val="nil"/>
              <w:tr2bl w:val="nil"/>
            </w:tcBorders>
            <w:vAlign w:val="center"/>
          </w:tcPr>
          <w:p w14:paraId="1562A0E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设计系统的恢复策略，完成其有效性验证</w:t>
            </w:r>
          </w:p>
        </w:tc>
      </w:tr>
      <w:tr w14:paraId="3AA51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0ADE5CD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4.3软件开发及测试</w:t>
            </w:r>
          </w:p>
        </w:tc>
      </w:tr>
      <w:tr w14:paraId="1ACA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7710285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4.3.1</w:t>
            </w:r>
          </w:p>
        </w:tc>
        <w:tc>
          <w:tcPr>
            <w:tcW w:w="2022" w:type="dxa"/>
            <w:tcBorders>
              <w:tl2br w:val="nil"/>
              <w:tr2bl w:val="nil"/>
            </w:tcBorders>
            <w:vAlign w:val="center"/>
          </w:tcPr>
          <w:p w14:paraId="21B7CBD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软件管理</w:t>
            </w:r>
          </w:p>
        </w:tc>
        <w:tc>
          <w:tcPr>
            <w:tcW w:w="6059" w:type="dxa"/>
            <w:tcBorders>
              <w:tl2br w:val="nil"/>
              <w:tr2bl w:val="nil"/>
            </w:tcBorders>
            <w:vAlign w:val="center"/>
          </w:tcPr>
          <w:p w14:paraId="5AFD0F0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负责管理和设计应用软件，配合进行软件过程开发管理</w:t>
            </w:r>
          </w:p>
        </w:tc>
      </w:tr>
      <w:tr w14:paraId="2256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exact"/>
        </w:trPr>
        <w:tc>
          <w:tcPr>
            <w:tcW w:w="816" w:type="dxa"/>
            <w:tcBorders>
              <w:tl2br w:val="nil"/>
              <w:tr2bl w:val="nil"/>
            </w:tcBorders>
            <w:vAlign w:val="center"/>
          </w:tcPr>
          <w:p w14:paraId="02335C6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4.3.2</w:t>
            </w:r>
          </w:p>
        </w:tc>
        <w:tc>
          <w:tcPr>
            <w:tcW w:w="2022" w:type="dxa"/>
            <w:tcBorders>
              <w:tl2br w:val="nil"/>
              <w:tr2bl w:val="nil"/>
            </w:tcBorders>
            <w:vAlign w:val="center"/>
          </w:tcPr>
          <w:p w14:paraId="40092A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系统接口开发</w:t>
            </w:r>
          </w:p>
        </w:tc>
        <w:tc>
          <w:tcPr>
            <w:tcW w:w="6059" w:type="dxa"/>
            <w:tcBorders>
              <w:tl2br w:val="nil"/>
              <w:tr2bl w:val="nil"/>
            </w:tcBorders>
            <w:vAlign w:val="center"/>
          </w:tcPr>
          <w:p w14:paraId="04CC2AE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设计和开发系统内部各模块的接口以及与外部系统进行数据交互的接口</w:t>
            </w:r>
          </w:p>
        </w:tc>
      </w:tr>
      <w:tr w14:paraId="77BA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03E79F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4.3.3</w:t>
            </w:r>
          </w:p>
        </w:tc>
        <w:tc>
          <w:tcPr>
            <w:tcW w:w="2022" w:type="dxa"/>
            <w:tcBorders>
              <w:tl2br w:val="nil"/>
              <w:tr2bl w:val="nil"/>
            </w:tcBorders>
            <w:vAlign w:val="center"/>
          </w:tcPr>
          <w:p w14:paraId="18A48F4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代码开发和测试</w:t>
            </w:r>
          </w:p>
        </w:tc>
        <w:tc>
          <w:tcPr>
            <w:tcW w:w="6059" w:type="dxa"/>
            <w:tcBorders>
              <w:tl2br w:val="nil"/>
              <w:tr2bl w:val="nil"/>
            </w:tcBorders>
            <w:vAlign w:val="center"/>
          </w:tcPr>
          <w:p w14:paraId="0351AD4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编写代码并且完成开发自测与系统测试</w:t>
            </w:r>
          </w:p>
        </w:tc>
      </w:tr>
      <w:tr w14:paraId="4C52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01C4CA9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4.3.4</w:t>
            </w:r>
          </w:p>
        </w:tc>
        <w:tc>
          <w:tcPr>
            <w:tcW w:w="2022" w:type="dxa"/>
            <w:tcBorders>
              <w:tl2br w:val="nil"/>
              <w:tr2bl w:val="nil"/>
            </w:tcBorders>
            <w:vAlign w:val="center"/>
          </w:tcPr>
          <w:p w14:paraId="2E22BF7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知识转移</w:t>
            </w:r>
          </w:p>
        </w:tc>
        <w:tc>
          <w:tcPr>
            <w:tcW w:w="6059" w:type="dxa"/>
            <w:tcBorders>
              <w:tl2br w:val="nil"/>
              <w:tr2bl w:val="nil"/>
            </w:tcBorders>
            <w:vAlign w:val="center"/>
          </w:tcPr>
          <w:p w14:paraId="1A969D8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负责现场培训</w:t>
            </w:r>
          </w:p>
        </w:tc>
      </w:tr>
      <w:tr w14:paraId="0F27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1E898F1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4.4 支持和维护</w:t>
            </w:r>
          </w:p>
        </w:tc>
      </w:tr>
      <w:tr w14:paraId="6A9E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exact"/>
        </w:trPr>
        <w:tc>
          <w:tcPr>
            <w:tcW w:w="816" w:type="dxa"/>
            <w:tcBorders>
              <w:tl2br w:val="nil"/>
              <w:tr2bl w:val="nil"/>
            </w:tcBorders>
            <w:vAlign w:val="center"/>
          </w:tcPr>
          <w:p w14:paraId="1B9B750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4.4.1</w:t>
            </w:r>
          </w:p>
        </w:tc>
        <w:tc>
          <w:tcPr>
            <w:tcW w:w="2022" w:type="dxa"/>
            <w:tcBorders>
              <w:tl2br w:val="nil"/>
              <w:tr2bl w:val="nil"/>
            </w:tcBorders>
            <w:vAlign w:val="center"/>
          </w:tcPr>
          <w:p w14:paraId="1E2C251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变更管理</w:t>
            </w:r>
          </w:p>
        </w:tc>
        <w:tc>
          <w:tcPr>
            <w:tcW w:w="6059" w:type="dxa"/>
            <w:tcBorders>
              <w:tl2br w:val="nil"/>
              <w:tr2bl w:val="nil"/>
            </w:tcBorders>
            <w:vAlign w:val="center"/>
          </w:tcPr>
          <w:p w14:paraId="77102B5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根据变更需求在甲方的技术环境内设计并且执行所有平台和应用软件变更程序</w:t>
            </w:r>
          </w:p>
        </w:tc>
      </w:tr>
      <w:tr w14:paraId="05C7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16" w:type="dxa"/>
            <w:tcBorders>
              <w:tl2br w:val="nil"/>
              <w:tr2bl w:val="nil"/>
            </w:tcBorders>
            <w:vAlign w:val="center"/>
          </w:tcPr>
          <w:p w14:paraId="17E5AEA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4.4.2</w:t>
            </w:r>
          </w:p>
        </w:tc>
        <w:tc>
          <w:tcPr>
            <w:tcW w:w="2022" w:type="dxa"/>
            <w:tcBorders>
              <w:tl2br w:val="nil"/>
              <w:tr2bl w:val="nil"/>
            </w:tcBorders>
            <w:vAlign w:val="center"/>
          </w:tcPr>
          <w:p w14:paraId="5409DF7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系统监控</w:t>
            </w:r>
          </w:p>
        </w:tc>
        <w:tc>
          <w:tcPr>
            <w:tcW w:w="6059" w:type="dxa"/>
            <w:tcBorders>
              <w:tl2br w:val="nil"/>
              <w:tr2bl w:val="nil"/>
            </w:tcBorders>
            <w:vAlign w:val="center"/>
          </w:tcPr>
          <w:p w14:paraId="413F6C4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提供对系统监控的支持，包括专有硬件设备（如有）、应用系统进程、日志、连接等</w:t>
            </w:r>
          </w:p>
        </w:tc>
      </w:tr>
      <w:tr w14:paraId="7A64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exact"/>
        </w:trPr>
        <w:tc>
          <w:tcPr>
            <w:tcW w:w="816" w:type="dxa"/>
            <w:tcBorders>
              <w:tl2br w:val="nil"/>
              <w:tr2bl w:val="nil"/>
            </w:tcBorders>
            <w:vAlign w:val="center"/>
          </w:tcPr>
          <w:p w14:paraId="6D9697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4.4.3</w:t>
            </w:r>
          </w:p>
        </w:tc>
        <w:tc>
          <w:tcPr>
            <w:tcW w:w="2022" w:type="dxa"/>
            <w:tcBorders>
              <w:tl2br w:val="nil"/>
              <w:tr2bl w:val="nil"/>
            </w:tcBorders>
            <w:vAlign w:val="center"/>
          </w:tcPr>
          <w:p w14:paraId="291AE16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发布管理</w:t>
            </w:r>
          </w:p>
        </w:tc>
        <w:tc>
          <w:tcPr>
            <w:tcW w:w="6059" w:type="dxa"/>
            <w:tcBorders>
              <w:tl2br w:val="nil"/>
              <w:tr2bl w:val="nil"/>
            </w:tcBorders>
            <w:vAlign w:val="center"/>
          </w:tcPr>
          <w:p w14:paraId="1F4CD9F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制定测试环境发布方案，协助将具体的目标系统从测试环境移植到生产的上线方案</w:t>
            </w:r>
          </w:p>
        </w:tc>
      </w:tr>
      <w:tr w14:paraId="1C73D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exact"/>
        </w:trPr>
        <w:tc>
          <w:tcPr>
            <w:tcW w:w="816" w:type="dxa"/>
            <w:tcBorders>
              <w:tl2br w:val="nil"/>
              <w:tr2bl w:val="nil"/>
            </w:tcBorders>
            <w:vAlign w:val="center"/>
          </w:tcPr>
          <w:p w14:paraId="2A91D4C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4.4.4</w:t>
            </w:r>
          </w:p>
        </w:tc>
        <w:tc>
          <w:tcPr>
            <w:tcW w:w="2022" w:type="dxa"/>
            <w:tcBorders>
              <w:tl2br w:val="nil"/>
              <w:tr2bl w:val="nil"/>
            </w:tcBorders>
            <w:vAlign w:val="center"/>
          </w:tcPr>
          <w:p w14:paraId="7DF963F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安全管理</w:t>
            </w:r>
          </w:p>
        </w:tc>
        <w:tc>
          <w:tcPr>
            <w:tcW w:w="6059" w:type="dxa"/>
            <w:tcBorders>
              <w:tl2br w:val="nil"/>
              <w:tr2bl w:val="nil"/>
            </w:tcBorders>
            <w:vAlign w:val="center"/>
          </w:tcPr>
          <w:p w14:paraId="1946A4D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配合甲方完成上线前的漏洞扫描、渗透测试等安全评估工作，根据甲方要求完成发现漏洞的整改工作</w:t>
            </w:r>
          </w:p>
        </w:tc>
      </w:tr>
      <w:tr w14:paraId="0CF50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1E9F801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4.5 后续支持</w:t>
            </w:r>
          </w:p>
        </w:tc>
      </w:tr>
      <w:tr w14:paraId="7A8A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03D3EFD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4.5.1</w:t>
            </w:r>
          </w:p>
        </w:tc>
        <w:tc>
          <w:tcPr>
            <w:tcW w:w="2022" w:type="dxa"/>
            <w:tcBorders>
              <w:tl2br w:val="nil"/>
              <w:tr2bl w:val="nil"/>
            </w:tcBorders>
            <w:vAlign w:val="center"/>
          </w:tcPr>
          <w:p w14:paraId="329A875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版本安装、更新和升级</w:t>
            </w:r>
          </w:p>
        </w:tc>
        <w:tc>
          <w:tcPr>
            <w:tcW w:w="6059" w:type="dxa"/>
            <w:tcBorders>
              <w:tl2br w:val="nil"/>
              <w:tr2bl w:val="nil"/>
            </w:tcBorders>
            <w:vAlign w:val="center"/>
          </w:tcPr>
          <w:p w14:paraId="08A41FE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提供系统版本安装和升级支持，包括响应甲方对生产、测试、开发、培训环境的安装和升级要求；提供硬件更换服务</w:t>
            </w:r>
          </w:p>
        </w:tc>
      </w:tr>
      <w:tr w14:paraId="37C2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12ADCA4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4.5.2</w:t>
            </w:r>
          </w:p>
        </w:tc>
        <w:tc>
          <w:tcPr>
            <w:tcW w:w="2022" w:type="dxa"/>
            <w:tcBorders>
              <w:tl2br w:val="nil"/>
              <w:tr2bl w:val="nil"/>
            </w:tcBorders>
            <w:vAlign w:val="center"/>
          </w:tcPr>
          <w:p w14:paraId="27EEBAF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安全漏洞整改</w:t>
            </w:r>
          </w:p>
        </w:tc>
        <w:tc>
          <w:tcPr>
            <w:tcW w:w="6059" w:type="dxa"/>
            <w:tcBorders>
              <w:tl2br w:val="nil"/>
              <w:tr2bl w:val="nil"/>
            </w:tcBorders>
            <w:vAlign w:val="center"/>
          </w:tcPr>
          <w:p w14:paraId="18086BF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针对系统运行过程中发现的安全漏洞，根据甲方要求完成整改工作</w:t>
            </w:r>
          </w:p>
        </w:tc>
      </w:tr>
      <w:tr w14:paraId="52C5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67A50BF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4.5.3</w:t>
            </w:r>
          </w:p>
        </w:tc>
        <w:tc>
          <w:tcPr>
            <w:tcW w:w="2022" w:type="dxa"/>
            <w:tcBorders>
              <w:tl2br w:val="nil"/>
              <w:tr2bl w:val="nil"/>
            </w:tcBorders>
            <w:vAlign w:val="center"/>
          </w:tcPr>
          <w:p w14:paraId="30498E4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服务台支持</w:t>
            </w:r>
          </w:p>
        </w:tc>
        <w:tc>
          <w:tcPr>
            <w:tcW w:w="6059" w:type="dxa"/>
            <w:tcBorders>
              <w:tl2br w:val="nil"/>
              <w:tr2bl w:val="nil"/>
            </w:tcBorders>
            <w:vAlign w:val="center"/>
          </w:tcPr>
          <w:p w14:paraId="164ADB9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提供7×24小时的技术支持服务</w:t>
            </w:r>
          </w:p>
        </w:tc>
      </w:tr>
      <w:tr w14:paraId="5923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4189124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4.5.4</w:t>
            </w:r>
          </w:p>
        </w:tc>
        <w:tc>
          <w:tcPr>
            <w:tcW w:w="2022" w:type="dxa"/>
            <w:tcBorders>
              <w:tl2br w:val="nil"/>
              <w:tr2bl w:val="nil"/>
            </w:tcBorders>
            <w:vAlign w:val="center"/>
          </w:tcPr>
          <w:p w14:paraId="5D3D5CC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巡检服务</w:t>
            </w:r>
          </w:p>
        </w:tc>
        <w:tc>
          <w:tcPr>
            <w:tcW w:w="6059" w:type="dxa"/>
            <w:tcBorders>
              <w:tl2br w:val="nil"/>
              <w:tr2bl w:val="nil"/>
            </w:tcBorders>
            <w:vAlign w:val="center"/>
          </w:tcPr>
          <w:p w14:paraId="0217225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提供系统运行状况报告</w:t>
            </w:r>
          </w:p>
        </w:tc>
      </w:tr>
      <w:tr w14:paraId="649D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1361BC4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4.5.5</w:t>
            </w:r>
          </w:p>
        </w:tc>
        <w:tc>
          <w:tcPr>
            <w:tcW w:w="2022" w:type="dxa"/>
            <w:tcBorders>
              <w:tl2br w:val="nil"/>
              <w:tr2bl w:val="nil"/>
            </w:tcBorders>
            <w:vAlign w:val="center"/>
          </w:tcPr>
          <w:p w14:paraId="4492BD4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现场问题解决</w:t>
            </w:r>
          </w:p>
        </w:tc>
        <w:tc>
          <w:tcPr>
            <w:tcW w:w="6059" w:type="dxa"/>
            <w:tcBorders>
              <w:tl2br w:val="nil"/>
              <w:tr2bl w:val="nil"/>
            </w:tcBorders>
            <w:vAlign w:val="center"/>
          </w:tcPr>
          <w:p w14:paraId="3965A2B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提供重大问题现场解决，提供系统性能、容量、问题报告</w:t>
            </w:r>
          </w:p>
        </w:tc>
      </w:tr>
      <w:tr w14:paraId="3DCC9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2" w:hRule="exact"/>
        </w:trPr>
        <w:tc>
          <w:tcPr>
            <w:tcW w:w="816" w:type="dxa"/>
            <w:tcBorders>
              <w:tl2br w:val="nil"/>
              <w:tr2bl w:val="nil"/>
            </w:tcBorders>
            <w:vAlign w:val="center"/>
          </w:tcPr>
          <w:p w14:paraId="7CEC7A6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4.5.6</w:t>
            </w:r>
          </w:p>
        </w:tc>
        <w:tc>
          <w:tcPr>
            <w:tcW w:w="2022" w:type="dxa"/>
            <w:tcBorders>
              <w:tl2br w:val="nil"/>
              <w:tr2bl w:val="nil"/>
            </w:tcBorders>
            <w:vAlign w:val="center"/>
          </w:tcPr>
          <w:p w14:paraId="2F82C44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响应要求</w:t>
            </w:r>
          </w:p>
        </w:tc>
        <w:tc>
          <w:tcPr>
            <w:tcW w:w="6059" w:type="dxa"/>
            <w:tcBorders>
              <w:tl2br w:val="nil"/>
              <w:tr2bl w:val="nil"/>
            </w:tcBorders>
            <w:vAlign w:val="center"/>
          </w:tcPr>
          <w:p w14:paraId="3C27BE0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要求按服务水平和指标及时响应：</w:t>
            </w:r>
          </w:p>
          <w:p w14:paraId="4C726A4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一级响应：系统崩溃</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rPr>
              <w:t>不能使用或效能严重削弱, 系统的某个主要功能不能正常工作，对业务的正常运行造成重大影响。响应时间15分钟，2小时到达现场，4小时内排除问题或给出备份解决方案，故障排除后三天内提交分析报告；</w:t>
            </w:r>
          </w:p>
          <w:p w14:paraId="6C32746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二级响应：系统的运行性能严重下降，或性能明显下降，对业务运作产生明显影响。响应时间1小时内，必要时4小时到达，8小时内排除问题；</w:t>
            </w:r>
          </w:p>
          <w:p w14:paraId="09121A7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三级响应：系统的运作性能受损，但业务仍可正常运行，响应时间12小时内，必要时24小时到达，1周内排除问题；</w:t>
            </w:r>
          </w:p>
          <w:p w14:paraId="73974DA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四级响应：对系统安装或配置方面需要咨询或支援，很显然对业务运作几乎无影响，或根本没有影响。响应时间24小时内，必要时48小时到达，2周内排除问题。</w:t>
            </w:r>
          </w:p>
        </w:tc>
      </w:tr>
    </w:tbl>
    <w:p w14:paraId="05FCC9E2">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0" w:name="_Toc254884645"/>
      <w:r>
        <w:rPr>
          <w:rFonts w:hint="default" w:ascii="Times New Roman" w:hAnsi="Times New Roman" w:eastAsia="宋体" w:cs="Times New Roman"/>
          <w:b/>
          <w:bCs/>
          <w:color w:val="auto"/>
          <w:spacing w:val="0"/>
          <w:kern w:val="32"/>
          <w:szCs w:val="24"/>
          <w:highlight w:val="none"/>
        </w:rPr>
        <w:t>5. 问题管理流程</w:t>
      </w:r>
      <w:bookmarkEnd w:id="310"/>
    </w:p>
    <w:p w14:paraId="13582F47">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1" w:name="_Toc254884646"/>
      <w:r>
        <w:rPr>
          <w:rFonts w:hint="default" w:ascii="Times New Roman" w:hAnsi="Times New Roman" w:eastAsia="宋体" w:cs="Times New Roman"/>
          <w:b/>
          <w:bCs/>
          <w:color w:val="auto"/>
          <w:spacing w:val="0"/>
          <w:kern w:val="32"/>
          <w:szCs w:val="24"/>
          <w:highlight w:val="none"/>
        </w:rPr>
        <w:t>5.1问题处理流程</w:t>
      </w:r>
      <w:bookmarkEnd w:id="311"/>
    </w:p>
    <w:p w14:paraId="5E0DC8A9">
      <w:pPr>
        <w:keepNext w:val="0"/>
        <w:keepLines w:val="0"/>
        <w:pageBreakBefore w:val="0"/>
        <w:widowControl/>
        <w:numPr>
          <w:ilvl w:val="0"/>
          <w:numId w:val="43"/>
        </w:numPr>
        <w:kinsoku/>
        <w:wordWrap/>
        <w:overflowPunct/>
        <w:topLinePunct w:val="0"/>
        <w:autoSpaceDE w:val="0"/>
        <w:autoSpaceDN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甲方或乙方均可以首先提出对问题解决方案有不同意见的看法；</w:t>
      </w:r>
    </w:p>
    <w:p w14:paraId="0D441923">
      <w:pPr>
        <w:keepNext w:val="0"/>
        <w:keepLines w:val="0"/>
        <w:pageBreakBefore w:val="0"/>
        <w:widowControl/>
        <w:numPr>
          <w:ilvl w:val="0"/>
          <w:numId w:val="43"/>
        </w:numPr>
        <w:kinsoku/>
        <w:wordWrap/>
        <w:overflowPunct/>
        <w:topLinePunct w:val="0"/>
        <w:autoSpaceDE w:val="0"/>
        <w:autoSpaceDN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甲方管理层和乙方管理层将决定问题是否需要提升到更高的管理层；</w:t>
      </w:r>
    </w:p>
    <w:p w14:paraId="2C6DCF64">
      <w:pPr>
        <w:keepNext w:val="0"/>
        <w:keepLines w:val="0"/>
        <w:pageBreakBefore w:val="0"/>
        <w:widowControl/>
        <w:numPr>
          <w:ilvl w:val="0"/>
          <w:numId w:val="43"/>
        </w:numPr>
        <w:kinsoku/>
        <w:wordWrap/>
        <w:overflowPunct/>
        <w:topLinePunct w:val="0"/>
        <w:autoSpaceDE w:val="0"/>
        <w:autoSpaceDN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及时召开相关的会议讨论和解决问题，问题的相关文档应提前一天发送到与会者；</w:t>
      </w:r>
    </w:p>
    <w:p w14:paraId="552DDC64">
      <w:pPr>
        <w:keepNext w:val="0"/>
        <w:keepLines w:val="0"/>
        <w:pageBreakBefore w:val="0"/>
        <w:widowControl/>
        <w:numPr>
          <w:ilvl w:val="0"/>
          <w:numId w:val="43"/>
        </w:numPr>
        <w:kinsoku/>
        <w:wordWrap/>
        <w:overflowPunct/>
        <w:topLinePunct w:val="0"/>
        <w:autoSpaceDE w:val="0"/>
        <w:autoSpaceDN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4F622093">
      <w:pPr>
        <w:keepNext w:val="0"/>
        <w:keepLines w:val="0"/>
        <w:pageBreakBefore w:val="0"/>
        <w:widowControl/>
        <w:numPr>
          <w:ilvl w:val="0"/>
          <w:numId w:val="43"/>
        </w:numPr>
        <w:kinsoku/>
        <w:wordWrap/>
        <w:overflowPunct/>
        <w:topLinePunct w:val="0"/>
        <w:autoSpaceDE w:val="0"/>
        <w:autoSpaceDN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如果问题最终仍没解决，甲方和乙方双方可以申请仲裁来达成最终的一致方案。</w:t>
      </w:r>
    </w:p>
    <w:p w14:paraId="09166C85">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2" w:name="_Toc254884647"/>
      <w:r>
        <w:rPr>
          <w:rFonts w:hint="default" w:ascii="Times New Roman" w:hAnsi="Times New Roman" w:eastAsia="宋体" w:cs="Times New Roman"/>
          <w:b/>
          <w:bCs/>
          <w:color w:val="auto"/>
          <w:spacing w:val="0"/>
          <w:kern w:val="32"/>
          <w:szCs w:val="24"/>
          <w:highlight w:val="none"/>
        </w:rPr>
        <w:t>5.2问题升级流程</w:t>
      </w:r>
      <w:bookmarkEnd w:id="312"/>
    </w:p>
    <w:p w14:paraId="22696991">
      <w:pPr>
        <w:keepNext w:val="0"/>
        <w:keepLines w:val="0"/>
        <w:pageBreakBefore w:val="0"/>
        <w:widowControl/>
        <w:numPr>
          <w:ilvl w:val="0"/>
          <w:numId w:val="44"/>
        </w:numPr>
        <w:kinsoku/>
        <w:wordWrap/>
        <w:overflowPunct/>
        <w:topLinePunct w:val="0"/>
        <w:autoSpaceDE w:val="0"/>
        <w:autoSpaceDN w:val="0"/>
        <w:bidi w:val="0"/>
        <w:adjustRightInd/>
        <w:snapToGrid/>
        <w:spacing w:line="600" w:lineRule="exact"/>
        <w:ind w:left="0" w:leftChars="0" w:firstLine="480" w:firstLineChars="200"/>
        <w:textAlignment w:val="auto"/>
        <w:outlineLvl w:val="9"/>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甲方或者乙方都有可能首先提出该流程；</w:t>
      </w:r>
    </w:p>
    <w:p w14:paraId="188DAD97">
      <w:pPr>
        <w:keepNext w:val="0"/>
        <w:keepLines w:val="0"/>
        <w:pageBreakBefore w:val="0"/>
        <w:widowControl/>
        <w:numPr>
          <w:ilvl w:val="0"/>
          <w:numId w:val="44"/>
        </w:numPr>
        <w:kinsoku/>
        <w:wordWrap/>
        <w:overflowPunct/>
        <w:topLinePunct w:val="0"/>
        <w:autoSpaceDE w:val="0"/>
        <w:autoSpaceDN w:val="0"/>
        <w:bidi w:val="0"/>
        <w:adjustRightInd/>
        <w:snapToGrid/>
        <w:spacing w:line="600" w:lineRule="exact"/>
        <w:ind w:left="0" w:leftChars="0" w:firstLine="480" w:firstLineChars="200"/>
        <w:textAlignment w:val="auto"/>
        <w:outlineLvl w:val="9"/>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首先提出的一方应及时通知对方问题升级流程已经启动；</w:t>
      </w:r>
    </w:p>
    <w:p w14:paraId="0DD89A50">
      <w:pPr>
        <w:keepNext w:val="0"/>
        <w:keepLines w:val="0"/>
        <w:pageBreakBefore w:val="0"/>
        <w:widowControl/>
        <w:numPr>
          <w:ilvl w:val="0"/>
          <w:numId w:val="44"/>
        </w:numPr>
        <w:kinsoku/>
        <w:wordWrap/>
        <w:overflowPunct/>
        <w:topLinePunct w:val="0"/>
        <w:autoSpaceDE w:val="0"/>
        <w:autoSpaceDN w:val="0"/>
        <w:bidi w:val="0"/>
        <w:adjustRightInd/>
        <w:snapToGrid/>
        <w:spacing w:line="600" w:lineRule="exact"/>
        <w:ind w:left="0" w:leftChars="0" w:firstLine="480" w:firstLineChars="200"/>
        <w:textAlignment w:val="auto"/>
        <w:outlineLvl w:val="9"/>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问题升级到的管理层应当事先定义在联络人表中；</w:t>
      </w:r>
    </w:p>
    <w:p w14:paraId="74152280">
      <w:pPr>
        <w:keepNext w:val="0"/>
        <w:keepLines w:val="0"/>
        <w:pageBreakBefore w:val="0"/>
        <w:widowControl/>
        <w:numPr>
          <w:ilvl w:val="0"/>
          <w:numId w:val="44"/>
        </w:numPr>
        <w:kinsoku/>
        <w:wordWrap/>
        <w:overflowPunct/>
        <w:topLinePunct w:val="0"/>
        <w:autoSpaceDE w:val="0"/>
        <w:autoSpaceDN w:val="0"/>
        <w:bidi w:val="0"/>
        <w:adjustRightInd/>
        <w:snapToGrid/>
        <w:spacing w:line="600" w:lineRule="exact"/>
        <w:ind w:left="0" w:leftChars="0" w:firstLine="480" w:firstLineChars="200"/>
        <w:textAlignment w:val="auto"/>
        <w:outlineLvl w:val="9"/>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问题升级的层次在甲方和乙方之间应当保持一致，直至解决该问题。</w:t>
      </w:r>
    </w:p>
    <w:p w14:paraId="103B5CC3">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3" w:name="_Toc254884648"/>
      <w:r>
        <w:rPr>
          <w:rFonts w:hint="default" w:ascii="Times New Roman" w:hAnsi="Times New Roman" w:eastAsia="宋体" w:cs="Times New Roman"/>
          <w:b/>
          <w:bCs/>
          <w:color w:val="auto"/>
          <w:spacing w:val="0"/>
          <w:kern w:val="32"/>
          <w:szCs w:val="24"/>
          <w:highlight w:val="none"/>
        </w:rPr>
        <w:t>5.3联络表</w:t>
      </w:r>
      <w:bookmarkEnd w:id="313"/>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30CF7443">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BE4230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b/>
                <w:color w:val="auto"/>
                <w:spacing w:val="0"/>
                <w:sz w:val="21"/>
                <w:szCs w:val="21"/>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BE72A5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874CB2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电话</w:t>
            </w:r>
          </w:p>
        </w:tc>
      </w:tr>
      <w:tr w14:paraId="79F5E8C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2DAAAA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E95FCD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4C707A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r>
      <w:tr w14:paraId="26BD256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6E4B9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14240E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A19AF6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r>
      <w:tr w14:paraId="4C2820B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408A84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C13B4D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D939CB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r>
      <w:tr w14:paraId="577C723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59E748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EED806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97ED57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p>
        </w:tc>
      </w:tr>
    </w:tbl>
    <w:p w14:paraId="15F892A1">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4" w:name="_Toc254884649"/>
      <w:r>
        <w:rPr>
          <w:rFonts w:hint="default" w:ascii="Times New Roman" w:hAnsi="Times New Roman" w:eastAsia="宋体" w:cs="Times New Roman"/>
          <w:b/>
          <w:bCs/>
          <w:color w:val="auto"/>
          <w:spacing w:val="0"/>
          <w:kern w:val="32"/>
          <w:szCs w:val="24"/>
          <w:highlight w:val="none"/>
        </w:rPr>
        <w:t>6. 汇报内容及流程</w:t>
      </w:r>
      <w:bookmarkEnd w:id="314"/>
    </w:p>
    <w:p w14:paraId="16119867">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60C66794">
      <w:pPr>
        <w:keepNext w:val="0"/>
        <w:keepLines w:val="0"/>
        <w:pageBreakBefore w:val="0"/>
        <w:kinsoku/>
        <w:wordWrap/>
        <w:overflowPunct/>
        <w:topLinePunct w:val="0"/>
        <w:autoSpaceDE w:val="0"/>
        <w:autoSpaceDN w:val="0"/>
        <w:bidi w:val="0"/>
        <w:outlineLvl w:val="9"/>
        <w:rPr>
          <w:rFonts w:hint="default" w:ascii="Times New Roman" w:hAnsi="Times New Roman" w:eastAsia="宋体" w:cs="Times New Roman"/>
          <w:b/>
          <w:bCs/>
          <w:color w:val="auto"/>
          <w:spacing w:val="0"/>
          <w:kern w:val="32"/>
          <w:szCs w:val="24"/>
          <w:highlight w:val="none"/>
        </w:rPr>
      </w:pPr>
      <w:bookmarkStart w:id="315" w:name="_Toc254884650"/>
      <w:r>
        <w:rPr>
          <w:rFonts w:hint="default" w:ascii="Times New Roman" w:hAnsi="Times New Roman" w:eastAsia="宋体" w:cs="Times New Roman"/>
          <w:b/>
          <w:bCs/>
          <w:color w:val="auto"/>
          <w:spacing w:val="0"/>
          <w:kern w:val="32"/>
          <w:szCs w:val="24"/>
          <w:highlight w:val="none"/>
        </w:rPr>
        <w:t>7. 服务水平和指标</w:t>
      </w:r>
      <w:bookmarkEnd w:id="315"/>
    </w:p>
    <w:p w14:paraId="3F5F61FC">
      <w:pPr>
        <w:keepNext w:val="0"/>
        <w:keepLines w:val="0"/>
        <w:pageBreakBefore w:val="0"/>
        <w:kinsoku/>
        <w:wordWrap/>
        <w:overflowPunct/>
        <w:topLinePunct w:val="0"/>
        <w:autoSpaceDE w:val="0"/>
        <w:autoSpaceDN w:val="0"/>
        <w:bidi w:val="0"/>
        <w:spacing w:line="360" w:lineRule="auto"/>
        <w:ind w:firstLine="480"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98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559"/>
        <w:gridCol w:w="1691"/>
        <w:gridCol w:w="1757"/>
        <w:gridCol w:w="694"/>
      </w:tblGrid>
      <w:tr w14:paraId="7429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shd w:val="clear" w:color="auto" w:fill="auto"/>
            <w:vAlign w:val="center"/>
          </w:tcPr>
          <w:p w14:paraId="782AD303">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序号</w:t>
            </w:r>
          </w:p>
        </w:tc>
        <w:tc>
          <w:tcPr>
            <w:tcW w:w="710" w:type="dxa"/>
            <w:shd w:val="clear" w:color="auto" w:fill="auto"/>
            <w:vAlign w:val="center"/>
          </w:tcPr>
          <w:p w14:paraId="3BE8D29A">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服务内容</w:t>
            </w:r>
          </w:p>
        </w:tc>
        <w:tc>
          <w:tcPr>
            <w:tcW w:w="1134" w:type="dxa"/>
            <w:shd w:val="clear" w:color="auto" w:fill="auto"/>
            <w:vAlign w:val="center"/>
          </w:tcPr>
          <w:p w14:paraId="5561E430">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服务定义</w:t>
            </w:r>
          </w:p>
        </w:tc>
        <w:tc>
          <w:tcPr>
            <w:tcW w:w="1701" w:type="dxa"/>
            <w:shd w:val="clear" w:color="auto" w:fill="auto"/>
            <w:vAlign w:val="center"/>
          </w:tcPr>
          <w:p w14:paraId="2D1B6F3A">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服务标准</w:t>
            </w:r>
          </w:p>
        </w:tc>
        <w:tc>
          <w:tcPr>
            <w:tcW w:w="1559" w:type="dxa"/>
            <w:shd w:val="clear" w:color="auto" w:fill="auto"/>
            <w:vAlign w:val="center"/>
          </w:tcPr>
          <w:p w14:paraId="131F4D4B">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指标计算</w:t>
            </w:r>
          </w:p>
        </w:tc>
        <w:tc>
          <w:tcPr>
            <w:tcW w:w="1691" w:type="dxa"/>
            <w:shd w:val="clear" w:color="auto" w:fill="auto"/>
            <w:vAlign w:val="center"/>
          </w:tcPr>
          <w:p w14:paraId="12F1DB13">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服务水平要求</w:t>
            </w:r>
          </w:p>
        </w:tc>
        <w:tc>
          <w:tcPr>
            <w:tcW w:w="1757" w:type="dxa"/>
            <w:shd w:val="clear" w:color="auto" w:fill="auto"/>
            <w:vAlign w:val="center"/>
          </w:tcPr>
          <w:p w14:paraId="51E6F3AA">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违约金标准</w:t>
            </w:r>
          </w:p>
        </w:tc>
        <w:tc>
          <w:tcPr>
            <w:tcW w:w="694" w:type="dxa"/>
            <w:vAlign w:val="center"/>
          </w:tcPr>
          <w:p w14:paraId="57F3A8AB">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是否满足</w:t>
            </w:r>
          </w:p>
        </w:tc>
      </w:tr>
      <w:tr w14:paraId="77A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shd w:val="clear" w:color="auto" w:fill="auto"/>
            <w:vAlign w:val="center"/>
          </w:tcPr>
          <w:p w14:paraId="0F22DF8E">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w:t>
            </w:r>
          </w:p>
        </w:tc>
        <w:tc>
          <w:tcPr>
            <w:tcW w:w="710" w:type="dxa"/>
            <w:shd w:val="clear" w:color="auto" w:fill="auto"/>
            <w:vAlign w:val="center"/>
          </w:tcPr>
          <w:p w14:paraId="35E1A64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任务响应</w:t>
            </w:r>
          </w:p>
        </w:tc>
        <w:tc>
          <w:tcPr>
            <w:tcW w:w="1134" w:type="dxa"/>
            <w:shd w:val="clear" w:color="auto" w:fill="auto"/>
            <w:vAlign w:val="center"/>
          </w:tcPr>
          <w:p w14:paraId="333ECCE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衡量乙方在需求与问题响应方面的能力</w:t>
            </w:r>
          </w:p>
        </w:tc>
        <w:tc>
          <w:tcPr>
            <w:tcW w:w="1701" w:type="dxa"/>
            <w:shd w:val="clear" w:color="auto" w:fill="auto"/>
            <w:vAlign w:val="center"/>
          </w:tcPr>
          <w:p w14:paraId="625DCE3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乙方在收到甲方任务后2个工作日内，向甲方反馈确认任务的实施方案、计划和工作量等</w:t>
            </w:r>
          </w:p>
        </w:tc>
        <w:tc>
          <w:tcPr>
            <w:tcW w:w="1559" w:type="dxa"/>
            <w:shd w:val="clear" w:color="auto" w:fill="auto"/>
            <w:vAlign w:val="center"/>
          </w:tcPr>
          <w:p w14:paraId="77573E7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甲方应当明确任务提出时间，乙方应当向甲方发出一个确认任务响应信息</w:t>
            </w:r>
          </w:p>
        </w:tc>
        <w:tc>
          <w:tcPr>
            <w:tcW w:w="1691" w:type="dxa"/>
            <w:shd w:val="clear" w:color="auto" w:fill="auto"/>
            <w:vAlign w:val="center"/>
          </w:tcPr>
          <w:p w14:paraId="404BC93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乙方不得违反承诺响应时间</w:t>
            </w:r>
          </w:p>
        </w:tc>
        <w:tc>
          <w:tcPr>
            <w:tcW w:w="1757" w:type="dxa"/>
            <w:shd w:val="clear" w:color="auto" w:fill="auto"/>
            <w:vAlign w:val="center"/>
          </w:tcPr>
          <w:p w14:paraId="350CE08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如违反承诺的响应时间要求，每次扣除1000元违约金</w:t>
            </w:r>
          </w:p>
        </w:tc>
        <w:tc>
          <w:tcPr>
            <w:tcW w:w="694" w:type="dxa"/>
          </w:tcPr>
          <w:p w14:paraId="177FE8B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3D31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67" w:type="dxa"/>
            <w:shd w:val="clear" w:color="auto" w:fill="auto"/>
            <w:vAlign w:val="center"/>
          </w:tcPr>
          <w:p w14:paraId="51DDE87C">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w:t>
            </w:r>
          </w:p>
        </w:tc>
        <w:tc>
          <w:tcPr>
            <w:tcW w:w="710" w:type="dxa"/>
            <w:shd w:val="clear" w:color="auto" w:fill="auto"/>
            <w:vAlign w:val="center"/>
          </w:tcPr>
          <w:p w14:paraId="238F5D2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项目延期</w:t>
            </w:r>
          </w:p>
        </w:tc>
        <w:tc>
          <w:tcPr>
            <w:tcW w:w="1134" w:type="dxa"/>
            <w:shd w:val="clear" w:color="auto" w:fill="auto"/>
            <w:vAlign w:val="center"/>
          </w:tcPr>
          <w:p w14:paraId="2405442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衡量乙方对项目整体实施进度的控制能力</w:t>
            </w:r>
          </w:p>
        </w:tc>
        <w:tc>
          <w:tcPr>
            <w:tcW w:w="1701" w:type="dxa"/>
            <w:shd w:val="clear" w:color="auto" w:fill="auto"/>
            <w:vAlign w:val="center"/>
          </w:tcPr>
          <w:p w14:paraId="57D4756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乙方原因导致的项目进度偏差</w:t>
            </w:r>
          </w:p>
        </w:tc>
        <w:tc>
          <w:tcPr>
            <w:tcW w:w="1559" w:type="dxa"/>
            <w:shd w:val="clear" w:color="auto" w:fill="auto"/>
            <w:vAlign w:val="center"/>
          </w:tcPr>
          <w:p w14:paraId="615BEEB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按项目计划为基准计算进度偏差天数（进度偏差率≤20%）</w:t>
            </w:r>
          </w:p>
        </w:tc>
        <w:tc>
          <w:tcPr>
            <w:tcW w:w="1691" w:type="dxa"/>
            <w:shd w:val="clear" w:color="auto" w:fill="auto"/>
            <w:vAlign w:val="center"/>
          </w:tcPr>
          <w:p w14:paraId="3ED7268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进度偏差率=进度偏差天数/项目计划中进度天数（进度偏差率≤20%）</w:t>
            </w:r>
          </w:p>
        </w:tc>
        <w:tc>
          <w:tcPr>
            <w:tcW w:w="1757" w:type="dxa"/>
            <w:shd w:val="clear" w:color="auto" w:fill="auto"/>
            <w:vAlign w:val="center"/>
          </w:tcPr>
          <w:p w14:paraId="2EE8A7C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20%＜进度偏差率≤30%，每偏差一天按合同总金额的0.1%计违约金，进度偏差率＞30%并且延期3个月以上，违约金为合同总金额的10%</w:t>
            </w:r>
          </w:p>
        </w:tc>
        <w:tc>
          <w:tcPr>
            <w:tcW w:w="694" w:type="dxa"/>
          </w:tcPr>
          <w:p w14:paraId="2CAE909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601E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shd w:val="clear" w:color="auto" w:fill="auto"/>
            <w:vAlign w:val="center"/>
          </w:tcPr>
          <w:p w14:paraId="161C4761">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3</w:t>
            </w:r>
          </w:p>
        </w:tc>
        <w:tc>
          <w:tcPr>
            <w:tcW w:w="710" w:type="dxa"/>
            <w:shd w:val="clear" w:color="auto" w:fill="auto"/>
            <w:vAlign w:val="center"/>
          </w:tcPr>
          <w:p w14:paraId="6CEBA70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任务完成情况</w:t>
            </w:r>
          </w:p>
        </w:tc>
        <w:tc>
          <w:tcPr>
            <w:tcW w:w="1134" w:type="dxa"/>
            <w:shd w:val="clear" w:color="auto" w:fill="auto"/>
            <w:vAlign w:val="center"/>
          </w:tcPr>
          <w:p w14:paraId="47C3375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衡量乙方按计划完成任务的能力</w:t>
            </w:r>
          </w:p>
        </w:tc>
        <w:tc>
          <w:tcPr>
            <w:tcW w:w="1701" w:type="dxa"/>
            <w:shd w:val="clear" w:color="auto" w:fill="auto"/>
            <w:vAlign w:val="center"/>
          </w:tcPr>
          <w:p w14:paraId="0721A57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乙方应当在双方确认的时间内完成任务</w:t>
            </w:r>
          </w:p>
        </w:tc>
        <w:tc>
          <w:tcPr>
            <w:tcW w:w="1559" w:type="dxa"/>
            <w:shd w:val="clear" w:color="auto" w:fill="auto"/>
            <w:vAlign w:val="center"/>
          </w:tcPr>
          <w:p w14:paraId="1C857C6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p w14:paraId="7C840C3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甲方标识出每一项任务完成的具体时间，对比乙方给出的任务完成计划时间</w:t>
            </w:r>
          </w:p>
        </w:tc>
        <w:tc>
          <w:tcPr>
            <w:tcW w:w="1691" w:type="dxa"/>
            <w:shd w:val="clear" w:color="auto" w:fill="auto"/>
            <w:vAlign w:val="center"/>
          </w:tcPr>
          <w:p w14:paraId="20238EE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1.需求分析说明、概要设计、详细设计100%完成；</w:t>
            </w:r>
          </w:p>
          <w:p w14:paraId="585A23B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2.软件编码100%完成；</w:t>
            </w:r>
          </w:p>
          <w:p w14:paraId="0795AE6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3.测试案例需求覆盖率100%，且测试案例执行率100%</w:t>
            </w:r>
          </w:p>
        </w:tc>
        <w:tc>
          <w:tcPr>
            <w:tcW w:w="1757" w:type="dxa"/>
            <w:shd w:val="clear" w:color="auto" w:fill="auto"/>
            <w:vAlign w:val="center"/>
          </w:tcPr>
          <w:p w14:paraId="6341E9A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以上三个指标之一低于90%甲方有权终止合同，追回支付款项，要求赔偿损失</w:t>
            </w:r>
          </w:p>
        </w:tc>
        <w:tc>
          <w:tcPr>
            <w:tcW w:w="694" w:type="dxa"/>
          </w:tcPr>
          <w:p w14:paraId="09A09E9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5CF1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7" w:type="dxa"/>
            <w:shd w:val="clear" w:color="auto" w:fill="auto"/>
            <w:vAlign w:val="center"/>
          </w:tcPr>
          <w:p w14:paraId="2A871666">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4</w:t>
            </w:r>
          </w:p>
        </w:tc>
        <w:tc>
          <w:tcPr>
            <w:tcW w:w="710" w:type="dxa"/>
            <w:shd w:val="clear" w:color="auto" w:fill="auto"/>
            <w:vAlign w:val="center"/>
          </w:tcPr>
          <w:p w14:paraId="3379540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上线后重大质量缺陷</w:t>
            </w:r>
          </w:p>
        </w:tc>
        <w:tc>
          <w:tcPr>
            <w:tcW w:w="1134" w:type="dxa"/>
            <w:shd w:val="clear" w:color="auto" w:fill="auto"/>
            <w:vAlign w:val="center"/>
          </w:tcPr>
          <w:p w14:paraId="27DB060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衡量乙方在系统上线运行后的稳定性</w:t>
            </w:r>
          </w:p>
        </w:tc>
        <w:tc>
          <w:tcPr>
            <w:tcW w:w="1701" w:type="dxa"/>
            <w:shd w:val="clear" w:color="auto" w:fill="auto"/>
            <w:vAlign w:val="center"/>
          </w:tcPr>
          <w:p w14:paraId="64DD181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系统上线后不能发生较大运营中断事件和重大质量缺陷</w:t>
            </w:r>
          </w:p>
        </w:tc>
        <w:tc>
          <w:tcPr>
            <w:tcW w:w="1559" w:type="dxa"/>
            <w:shd w:val="clear" w:color="auto" w:fill="auto"/>
            <w:vAlign w:val="center"/>
          </w:tcPr>
          <w:p w14:paraId="7C77355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甲方根据系统生产缺陷程度和数量判定</w:t>
            </w:r>
          </w:p>
        </w:tc>
        <w:tc>
          <w:tcPr>
            <w:tcW w:w="1691" w:type="dxa"/>
            <w:shd w:val="clear" w:color="auto" w:fill="auto"/>
            <w:vAlign w:val="center"/>
          </w:tcPr>
          <w:p w14:paraId="55D792D0">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1、应用软件未出现III级(含)以上的运营中断事件；</w:t>
            </w:r>
          </w:p>
          <w:p w14:paraId="62BDF23F">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2、应用软件未出现严重缺陷和致命缺陷；</w:t>
            </w:r>
          </w:p>
          <w:p w14:paraId="7CAADC7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 xml:space="preserve">3、一般和微小缺陷逃逸率≤4.5% </w:t>
            </w:r>
          </w:p>
        </w:tc>
        <w:tc>
          <w:tcPr>
            <w:tcW w:w="1757" w:type="dxa"/>
            <w:shd w:val="clear" w:color="auto" w:fill="auto"/>
            <w:vAlign w:val="center"/>
          </w:tcPr>
          <w:p w14:paraId="6988ED5C">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不满足该项任一标准扣除2万元违约金并要求乙方赔偿损失</w:t>
            </w:r>
          </w:p>
        </w:tc>
        <w:tc>
          <w:tcPr>
            <w:tcW w:w="694" w:type="dxa"/>
          </w:tcPr>
          <w:p w14:paraId="3D3D473C">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p>
        </w:tc>
      </w:tr>
      <w:tr w14:paraId="6CCC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67" w:type="dxa"/>
            <w:shd w:val="clear" w:color="auto" w:fill="auto"/>
            <w:vAlign w:val="center"/>
          </w:tcPr>
          <w:p w14:paraId="416B9A90">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5</w:t>
            </w:r>
          </w:p>
        </w:tc>
        <w:tc>
          <w:tcPr>
            <w:tcW w:w="710" w:type="dxa"/>
            <w:shd w:val="clear" w:color="auto" w:fill="auto"/>
            <w:vAlign w:val="center"/>
          </w:tcPr>
          <w:p w14:paraId="5729E95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上线后重大问题处理</w:t>
            </w:r>
          </w:p>
        </w:tc>
        <w:tc>
          <w:tcPr>
            <w:tcW w:w="1134" w:type="dxa"/>
            <w:shd w:val="clear" w:color="auto" w:fill="auto"/>
            <w:vAlign w:val="center"/>
          </w:tcPr>
          <w:p w14:paraId="43A0F2F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衡量乙方在系统上线运行后及时处理重大问题的能力</w:t>
            </w:r>
          </w:p>
        </w:tc>
        <w:tc>
          <w:tcPr>
            <w:tcW w:w="1701" w:type="dxa"/>
            <w:shd w:val="clear" w:color="auto" w:fill="auto"/>
            <w:vAlign w:val="center"/>
          </w:tcPr>
          <w:p w14:paraId="21FB10E2">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上线后遗留问题或生产缺陷解决的及时性</w:t>
            </w:r>
          </w:p>
        </w:tc>
        <w:tc>
          <w:tcPr>
            <w:tcW w:w="1559" w:type="dxa"/>
            <w:shd w:val="clear" w:color="auto" w:fill="auto"/>
            <w:vAlign w:val="center"/>
          </w:tcPr>
          <w:p w14:paraId="4705B5E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甲方根据系统上线运行后的重大问题处理情况判定</w:t>
            </w:r>
          </w:p>
        </w:tc>
        <w:tc>
          <w:tcPr>
            <w:tcW w:w="1691" w:type="dxa"/>
            <w:shd w:val="clear" w:color="auto" w:fill="auto"/>
            <w:vAlign w:val="center"/>
          </w:tcPr>
          <w:p w14:paraId="2FC1852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生产缺陷解决及时率=100%</w:t>
            </w:r>
          </w:p>
        </w:tc>
        <w:tc>
          <w:tcPr>
            <w:tcW w:w="1757" w:type="dxa"/>
            <w:shd w:val="clear" w:color="auto" w:fill="auto"/>
            <w:vAlign w:val="center"/>
          </w:tcPr>
          <w:p w14:paraId="1A4B4C7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重大生产缺陷、问题不能得到及时解决，每次按合同总金额的5%计违约金</w:t>
            </w:r>
          </w:p>
        </w:tc>
        <w:tc>
          <w:tcPr>
            <w:tcW w:w="694" w:type="dxa"/>
          </w:tcPr>
          <w:p w14:paraId="2787401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15F8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67" w:type="dxa"/>
            <w:shd w:val="clear" w:color="auto" w:fill="auto"/>
            <w:vAlign w:val="center"/>
          </w:tcPr>
          <w:p w14:paraId="40C8EDA7">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10" w:type="dxa"/>
            <w:shd w:val="clear" w:color="auto" w:fill="auto"/>
            <w:vAlign w:val="center"/>
          </w:tcPr>
          <w:p w14:paraId="5C6146A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人力资源投入及人员稳定性</w:t>
            </w:r>
          </w:p>
        </w:tc>
        <w:tc>
          <w:tcPr>
            <w:tcW w:w="1134" w:type="dxa"/>
            <w:shd w:val="clear" w:color="auto" w:fill="auto"/>
            <w:vAlign w:val="center"/>
          </w:tcPr>
          <w:p w14:paraId="7A0B0B22">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衡量乙方人员服务的符合度及人员稳定性</w:t>
            </w:r>
          </w:p>
        </w:tc>
        <w:tc>
          <w:tcPr>
            <w:tcW w:w="1701" w:type="dxa"/>
            <w:shd w:val="clear" w:color="auto" w:fill="auto"/>
            <w:vAlign w:val="center"/>
          </w:tcPr>
          <w:p w14:paraId="1457C372">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投入人员情况符合投标文件或合同要求，乙方项目组人员变动比例不得高于30%</w:t>
            </w:r>
          </w:p>
        </w:tc>
        <w:tc>
          <w:tcPr>
            <w:tcW w:w="1559" w:type="dxa"/>
            <w:shd w:val="clear" w:color="auto" w:fill="auto"/>
            <w:vAlign w:val="center"/>
          </w:tcPr>
          <w:p w14:paraId="60B10D6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甲方按合同要求判定乙方人员投入及变动情况</w:t>
            </w:r>
          </w:p>
        </w:tc>
        <w:tc>
          <w:tcPr>
            <w:tcW w:w="1691" w:type="dxa"/>
            <w:shd w:val="clear" w:color="auto" w:fill="auto"/>
            <w:vAlign w:val="center"/>
          </w:tcPr>
          <w:p w14:paraId="48FC0D7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人员数量差异=承诺人数-实际人数</w:t>
            </w:r>
          </w:p>
          <w:p w14:paraId="00FB5826">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人员变动率=人员变动人数/原项目组人员总人数</w:t>
            </w:r>
            <w:r>
              <w:rPr>
                <w:rFonts w:hint="default" w:ascii="Times New Roman" w:hAnsi="Times New Roman" w:eastAsia="宋体" w:cs="Times New Roman"/>
                <w:color w:val="auto"/>
                <w:spacing w:val="0"/>
                <w:sz w:val="21"/>
                <w:szCs w:val="21"/>
                <w:highlight w:val="none"/>
              </w:rPr>
              <w:br w:type="textWrapping"/>
            </w:r>
            <w:r>
              <w:rPr>
                <w:rFonts w:hint="default" w:ascii="Times New Roman" w:hAnsi="Times New Roman" w:eastAsia="宋体" w:cs="Times New Roman"/>
                <w:color w:val="auto"/>
                <w:spacing w:val="0"/>
                <w:sz w:val="21"/>
                <w:szCs w:val="21"/>
                <w:highlight w:val="none"/>
              </w:rPr>
              <w:t>（人员数量差异≤2；技术骨干及项目经理不得变动；技术人员变动率≤30%）</w:t>
            </w:r>
          </w:p>
        </w:tc>
        <w:tc>
          <w:tcPr>
            <w:tcW w:w="1757" w:type="dxa"/>
            <w:shd w:val="clear" w:color="auto" w:fill="auto"/>
            <w:vAlign w:val="center"/>
          </w:tcPr>
          <w:p w14:paraId="06F4160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技术骨干及项目经理变动扣除技术骨干人月单价（至少不低于3万元），技术人员变动超过30%，扣除合同总金额10%</w:t>
            </w:r>
          </w:p>
        </w:tc>
        <w:tc>
          <w:tcPr>
            <w:tcW w:w="694" w:type="dxa"/>
          </w:tcPr>
          <w:p w14:paraId="078C944B">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15DD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67" w:type="dxa"/>
            <w:shd w:val="clear" w:color="auto" w:fill="auto"/>
            <w:vAlign w:val="center"/>
          </w:tcPr>
          <w:p w14:paraId="4243958A">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7</w:t>
            </w:r>
          </w:p>
        </w:tc>
        <w:tc>
          <w:tcPr>
            <w:tcW w:w="710" w:type="dxa"/>
            <w:shd w:val="clear" w:color="auto" w:fill="auto"/>
            <w:vAlign w:val="center"/>
          </w:tcPr>
          <w:p w14:paraId="2CAE6CC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测试人员配置</w:t>
            </w:r>
          </w:p>
        </w:tc>
        <w:tc>
          <w:tcPr>
            <w:tcW w:w="1134" w:type="dxa"/>
            <w:shd w:val="clear" w:color="auto" w:fill="auto"/>
            <w:vAlign w:val="center"/>
          </w:tcPr>
          <w:p w14:paraId="1C934D3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衡量乙方投入系统测试人员的符合度</w:t>
            </w:r>
          </w:p>
        </w:tc>
        <w:tc>
          <w:tcPr>
            <w:tcW w:w="1701" w:type="dxa"/>
            <w:shd w:val="clear" w:color="auto" w:fill="auto"/>
            <w:vAlign w:val="center"/>
          </w:tcPr>
          <w:p w14:paraId="703AD50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投入系统测试人员情况符合投标文件或合同要求</w:t>
            </w:r>
          </w:p>
        </w:tc>
        <w:tc>
          <w:tcPr>
            <w:tcW w:w="1559" w:type="dxa"/>
            <w:shd w:val="clear" w:color="auto" w:fill="auto"/>
            <w:vAlign w:val="center"/>
          </w:tcPr>
          <w:p w14:paraId="00B3835B">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甲方按照合同或标书要求判定乙方测试人员投入情况</w:t>
            </w:r>
          </w:p>
        </w:tc>
        <w:tc>
          <w:tcPr>
            <w:tcW w:w="1691" w:type="dxa"/>
            <w:shd w:val="clear" w:color="auto" w:fill="auto"/>
            <w:vAlign w:val="center"/>
          </w:tcPr>
          <w:p w14:paraId="10DC655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人员重合率=测试人员/开发人员（人员重合率=0）</w:t>
            </w:r>
          </w:p>
        </w:tc>
        <w:tc>
          <w:tcPr>
            <w:tcW w:w="1757" w:type="dxa"/>
            <w:shd w:val="clear" w:color="auto" w:fill="auto"/>
            <w:vAlign w:val="center"/>
          </w:tcPr>
          <w:p w14:paraId="457258B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c>
          <w:tcPr>
            <w:tcW w:w="694" w:type="dxa"/>
          </w:tcPr>
          <w:p w14:paraId="0E09FFE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2A0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7" w:type="dxa"/>
            <w:shd w:val="clear" w:color="auto" w:fill="auto"/>
            <w:vAlign w:val="center"/>
          </w:tcPr>
          <w:p w14:paraId="7CA68912">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8</w:t>
            </w:r>
          </w:p>
        </w:tc>
        <w:tc>
          <w:tcPr>
            <w:tcW w:w="710" w:type="dxa"/>
            <w:shd w:val="clear" w:color="auto" w:fill="auto"/>
            <w:vAlign w:val="center"/>
          </w:tcPr>
          <w:p w14:paraId="4D52359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人员异常退出</w:t>
            </w:r>
          </w:p>
        </w:tc>
        <w:tc>
          <w:tcPr>
            <w:tcW w:w="1134" w:type="dxa"/>
            <w:shd w:val="clear" w:color="auto" w:fill="auto"/>
            <w:vAlign w:val="center"/>
          </w:tcPr>
          <w:p w14:paraId="6B8CCA7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衡量乙方人员是否提供持续服务</w:t>
            </w:r>
          </w:p>
        </w:tc>
        <w:tc>
          <w:tcPr>
            <w:tcW w:w="1701" w:type="dxa"/>
            <w:shd w:val="clear" w:color="auto" w:fill="auto"/>
            <w:vAlign w:val="center"/>
          </w:tcPr>
          <w:p w14:paraId="2EB9A4D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未经甲方同意，乙方人员辞职和离职或无计划的调离项目组</w:t>
            </w:r>
          </w:p>
        </w:tc>
        <w:tc>
          <w:tcPr>
            <w:tcW w:w="1559" w:type="dxa"/>
            <w:shd w:val="clear" w:color="auto" w:fill="auto"/>
            <w:vAlign w:val="center"/>
          </w:tcPr>
          <w:p w14:paraId="168977B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甲方根据乙方人员退出的具体时间和原因测算</w:t>
            </w:r>
          </w:p>
        </w:tc>
        <w:tc>
          <w:tcPr>
            <w:tcW w:w="1691" w:type="dxa"/>
            <w:shd w:val="clear" w:color="auto" w:fill="auto"/>
            <w:vAlign w:val="center"/>
          </w:tcPr>
          <w:p w14:paraId="0934A74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人员异常退出次数=0</w:t>
            </w:r>
          </w:p>
        </w:tc>
        <w:tc>
          <w:tcPr>
            <w:tcW w:w="1757" w:type="dxa"/>
            <w:shd w:val="clear" w:color="auto" w:fill="auto"/>
            <w:vAlign w:val="center"/>
          </w:tcPr>
          <w:p w14:paraId="11C0961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每次人员异常退出扣除乙方金额人民币1000元</w:t>
            </w:r>
          </w:p>
        </w:tc>
        <w:tc>
          <w:tcPr>
            <w:tcW w:w="694" w:type="dxa"/>
          </w:tcPr>
          <w:p w14:paraId="34096C7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417C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shd w:val="clear" w:color="auto" w:fill="auto"/>
            <w:vAlign w:val="center"/>
          </w:tcPr>
          <w:p w14:paraId="07B0E806">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9</w:t>
            </w:r>
          </w:p>
        </w:tc>
        <w:tc>
          <w:tcPr>
            <w:tcW w:w="710" w:type="dxa"/>
            <w:shd w:val="clear" w:color="auto" w:fill="auto"/>
            <w:vAlign w:val="center"/>
          </w:tcPr>
          <w:p w14:paraId="56FFB65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人员纪律性</w:t>
            </w:r>
          </w:p>
        </w:tc>
        <w:tc>
          <w:tcPr>
            <w:tcW w:w="1134" w:type="dxa"/>
            <w:shd w:val="clear" w:color="auto" w:fill="auto"/>
            <w:vAlign w:val="center"/>
          </w:tcPr>
          <w:p w14:paraId="2C1E1F9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衡量乙方人员是否遵守甲方的日常规章和操作规范</w:t>
            </w:r>
          </w:p>
        </w:tc>
        <w:tc>
          <w:tcPr>
            <w:tcW w:w="1701" w:type="dxa"/>
            <w:shd w:val="clear" w:color="auto" w:fill="auto"/>
            <w:vAlign w:val="center"/>
          </w:tcPr>
          <w:p w14:paraId="6A954F88">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乙方人员不得违反甲方的各项规章制度和操作规范</w:t>
            </w:r>
          </w:p>
        </w:tc>
        <w:tc>
          <w:tcPr>
            <w:tcW w:w="1559" w:type="dxa"/>
            <w:shd w:val="clear" w:color="auto" w:fill="auto"/>
            <w:vAlign w:val="center"/>
          </w:tcPr>
          <w:p w14:paraId="7FD5F7B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甲方根据自身检查及其他管理部门的检查结果为依据统计乙方人员违规次数。</w:t>
            </w:r>
          </w:p>
        </w:tc>
        <w:tc>
          <w:tcPr>
            <w:tcW w:w="1691" w:type="dxa"/>
            <w:shd w:val="clear" w:color="auto" w:fill="auto"/>
            <w:vAlign w:val="center"/>
          </w:tcPr>
          <w:p w14:paraId="60FD39E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人员违规次数=0次</w:t>
            </w:r>
          </w:p>
        </w:tc>
        <w:tc>
          <w:tcPr>
            <w:tcW w:w="1757" w:type="dxa"/>
            <w:shd w:val="clear" w:color="auto" w:fill="auto"/>
            <w:vAlign w:val="center"/>
          </w:tcPr>
          <w:p w14:paraId="3A47918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乙方人员违反甲方规章制度或操作规范，每次扣除乙方金额人民币500元</w:t>
            </w:r>
          </w:p>
        </w:tc>
        <w:tc>
          <w:tcPr>
            <w:tcW w:w="694" w:type="dxa"/>
          </w:tcPr>
          <w:p w14:paraId="4D5F410F">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7E2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shd w:val="clear" w:color="auto" w:fill="auto"/>
            <w:vAlign w:val="center"/>
          </w:tcPr>
          <w:p w14:paraId="70449320">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10</w:t>
            </w:r>
          </w:p>
        </w:tc>
        <w:tc>
          <w:tcPr>
            <w:tcW w:w="710" w:type="dxa"/>
            <w:shd w:val="clear" w:color="auto" w:fill="auto"/>
            <w:vAlign w:val="center"/>
          </w:tcPr>
          <w:p w14:paraId="4B0B66B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安全管理</w:t>
            </w:r>
          </w:p>
        </w:tc>
        <w:tc>
          <w:tcPr>
            <w:tcW w:w="1134" w:type="dxa"/>
            <w:shd w:val="clear" w:color="auto" w:fill="auto"/>
            <w:vAlign w:val="center"/>
          </w:tcPr>
          <w:p w14:paraId="7029CF72">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衡量乙方网络和信息安全服务的管理能力</w:t>
            </w:r>
          </w:p>
        </w:tc>
        <w:tc>
          <w:tcPr>
            <w:tcW w:w="1701" w:type="dxa"/>
            <w:shd w:val="clear" w:color="auto" w:fill="auto"/>
            <w:vAlign w:val="center"/>
          </w:tcPr>
          <w:p w14:paraId="050A4AA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针对发现的安全漏洞及安全缺陷（包括源代码、第三方SDK或第三方小程序、第三方软件产品及开源组件等），须按甲方要求完成整改。</w:t>
            </w:r>
          </w:p>
        </w:tc>
        <w:tc>
          <w:tcPr>
            <w:tcW w:w="1559" w:type="dxa"/>
            <w:shd w:val="clear" w:color="auto" w:fill="auto"/>
            <w:vAlign w:val="center"/>
          </w:tcPr>
          <w:p w14:paraId="711283A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甲方根据整改情况统计整改及时性及整改通过率。</w:t>
            </w:r>
          </w:p>
        </w:tc>
        <w:tc>
          <w:tcPr>
            <w:tcW w:w="1691" w:type="dxa"/>
            <w:shd w:val="clear" w:color="auto" w:fill="auto"/>
            <w:vAlign w:val="center"/>
          </w:tcPr>
          <w:p w14:paraId="357299D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互联网或电子银行类系统：</w:t>
            </w:r>
          </w:p>
          <w:p w14:paraId="630BEF1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1.安全漏洞及安全缺陷整改及时率=100%</w:t>
            </w:r>
          </w:p>
          <w:p w14:paraId="001CF256">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2.安全漏洞及安全缺陷整改通过率=100%</w:t>
            </w:r>
          </w:p>
          <w:p w14:paraId="13094A3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非互联网或电子银行类系统：</w:t>
            </w:r>
          </w:p>
          <w:p w14:paraId="2064F4A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1.中高危安全漏洞及安全缺陷整改及时率=100%</w:t>
            </w:r>
          </w:p>
          <w:p w14:paraId="365DA90B">
            <w:pPr>
              <w:keepNext w:val="0"/>
              <w:keepLines w:val="0"/>
              <w:pageBreakBefore w:val="0"/>
              <w:kinsoku/>
              <w:wordWrap/>
              <w:overflowPunct/>
              <w:topLinePunct w:val="0"/>
              <w:autoSpaceDE w:val="0"/>
              <w:autoSpaceDN w:val="0"/>
              <w:bidi w:val="0"/>
              <w:adjustRightInd/>
              <w:spacing w:line="400" w:lineRule="exact"/>
              <w:ind w:firstLine="0" w:firstLineChars="0"/>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2.中高危安全漏洞及安全缺陷整改通过率=100%</w:t>
            </w:r>
          </w:p>
        </w:tc>
        <w:tc>
          <w:tcPr>
            <w:tcW w:w="1757" w:type="dxa"/>
            <w:shd w:val="clear" w:color="auto" w:fill="auto"/>
            <w:vAlign w:val="center"/>
          </w:tcPr>
          <w:p w14:paraId="5E65791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不满足该项任一标准扣除2万元违约金并要求乙方赔偿损失</w:t>
            </w:r>
          </w:p>
        </w:tc>
        <w:tc>
          <w:tcPr>
            <w:tcW w:w="694" w:type="dxa"/>
          </w:tcPr>
          <w:p w14:paraId="2FAE05D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5E88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shd w:val="clear" w:color="auto" w:fill="auto"/>
            <w:vAlign w:val="center"/>
          </w:tcPr>
          <w:p w14:paraId="17701E1D">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11</w:t>
            </w:r>
          </w:p>
        </w:tc>
        <w:tc>
          <w:tcPr>
            <w:tcW w:w="710" w:type="dxa"/>
            <w:shd w:val="clear" w:color="auto" w:fill="auto"/>
            <w:vAlign w:val="center"/>
          </w:tcPr>
          <w:p w14:paraId="7FA8AFE1">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网络安全事件</w:t>
            </w:r>
          </w:p>
        </w:tc>
        <w:tc>
          <w:tcPr>
            <w:tcW w:w="1134" w:type="dxa"/>
            <w:shd w:val="clear" w:color="auto" w:fill="auto"/>
            <w:vAlign w:val="center"/>
          </w:tcPr>
          <w:p w14:paraId="33DB3C3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控制网络安全风险</w:t>
            </w:r>
          </w:p>
        </w:tc>
        <w:tc>
          <w:tcPr>
            <w:tcW w:w="1701" w:type="dxa"/>
            <w:shd w:val="clear" w:color="auto" w:fill="auto"/>
            <w:vAlign w:val="center"/>
          </w:tcPr>
          <w:p w14:paraId="760D2E9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不得因乙方原因（含乙方合作的第三方）导致甲方发生网络安全事件</w:t>
            </w:r>
          </w:p>
        </w:tc>
        <w:tc>
          <w:tcPr>
            <w:tcW w:w="1559" w:type="dxa"/>
            <w:shd w:val="clear" w:color="auto" w:fill="auto"/>
            <w:vAlign w:val="center"/>
          </w:tcPr>
          <w:p w14:paraId="25228A9B">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甲方根据监管及本行要求及事件危害程度判定。</w:t>
            </w:r>
          </w:p>
        </w:tc>
        <w:tc>
          <w:tcPr>
            <w:tcW w:w="1691" w:type="dxa"/>
            <w:shd w:val="clear" w:color="auto" w:fill="auto"/>
            <w:vAlign w:val="center"/>
          </w:tcPr>
          <w:p w14:paraId="05F8583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网络安全事件=0</w:t>
            </w:r>
          </w:p>
        </w:tc>
        <w:tc>
          <w:tcPr>
            <w:tcW w:w="1757" w:type="dxa"/>
            <w:shd w:val="clear" w:color="auto" w:fill="auto"/>
            <w:vAlign w:val="center"/>
          </w:tcPr>
          <w:p w14:paraId="70EB382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每发生一次网络安全事件扣除乙方合同金额不低于3%,并要求乙方赔偿实际损失。</w:t>
            </w:r>
          </w:p>
        </w:tc>
        <w:tc>
          <w:tcPr>
            <w:tcW w:w="694" w:type="dxa"/>
          </w:tcPr>
          <w:p w14:paraId="65BA6F8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1C6B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67" w:type="dxa"/>
            <w:shd w:val="clear" w:color="auto" w:fill="auto"/>
            <w:vAlign w:val="center"/>
          </w:tcPr>
          <w:p w14:paraId="2E2195E5">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12</w:t>
            </w:r>
          </w:p>
        </w:tc>
        <w:tc>
          <w:tcPr>
            <w:tcW w:w="710" w:type="dxa"/>
            <w:shd w:val="clear" w:color="auto" w:fill="auto"/>
            <w:vAlign w:val="center"/>
          </w:tcPr>
          <w:p w14:paraId="75649CC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外包安全事件</w:t>
            </w:r>
          </w:p>
        </w:tc>
        <w:tc>
          <w:tcPr>
            <w:tcW w:w="1134" w:type="dxa"/>
            <w:shd w:val="clear" w:color="auto" w:fill="auto"/>
            <w:vAlign w:val="center"/>
          </w:tcPr>
          <w:p w14:paraId="0F88C7C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控制外包操作风险</w:t>
            </w:r>
          </w:p>
        </w:tc>
        <w:tc>
          <w:tcPr>
            <w:tcW w:w="1701" w:type="dxa"/>
            <w:shd w:val="clear" w:color="auto" w:fill="auto"/>
            <w:vAlign w:val="center"/>
          </w:tcPr>
          <w:p w14:paraId="7937FB36">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乙方不得出现危害甲方生产运行安全、数据安全等并造成后果的外包安全事件。</w:t>
            </w:r>
          </w:p>
        </w:tc>
        <w:tc>
          <w:tcPr>
            <w:tcW w:w="1559" w:type="dxa"/>
            <w:shd w:val="clear" w:color="auto" w:fill="auto"/>
            <w:vAlign w:val="center"/>
          </w:tcPr>
          <w:p w14:paraId="3B5C558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根据甲方监管要求定义的安全事件，包括不限于造成办公环境物理安全隐患，破坏测试环境数据，在生产运营系统上违反规定进行数据操作或在实施过程中留下信息系统后门等行为。</w:t>
            </w:r>
          </w:p>
        </w:tc>
        <w:tc>
          <w:tcPr>
            <w:tcW w:w="1691" w:type="dxa"/>
            <w:shd w:val="clear" w:color="auto" w:fill="auto"/>
            <w:vAlign w:val="center"/>
          </w:tcPr>
          <w:p w14:paraId="6CE1125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外包安全事件=0</w:t>
            </w:r>
          </w:p>
        </w:tc>
        <w:tc>
          <w:tcPr>
            <w:tcW w:w="1757" w:type="dxa"/>
            <w:shd w:val="clear" w:color="auto" w:fill="auto"/>
            <w:vAlign w:val="center"/>
          </w:tcPr>
          <w:p w14:paraId="480A808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每次事件扣罚乙方金额不低于人民币1000元，并要求乙方赔偿实际损失。</w:t>
            </w:r>
          </w:p>
        </w:tc>
        <w:tc>
          <w:tcPr>
            <w:tcW w:w="694" w:type="dxa"/>
          </w:tcPr>
          <w:p w14:paraId="7CC18976">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008B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7" w:type="dxa"/>
            <w:shd w:val="clear" w:color="auto" w:fill="auto"/>
            <w:vAlign w:val="center"/>
          </w:tcPr>
          <w:p w14:paraId="0CFF4129">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13</w:t>
            </w:r>
          </w:p>
        </w:tc>
        <w:tc>
          <w:tcPr>
            <w:tcW w:w="710" w:type="dxa"/>
            <w:shd w:val="clear" w:color="auto" w:fill="auto"/>
            <w:vAlign w:val="center"/>
          </w:tcPr>
          <w:p w14:paraId="4CADB22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交付文档数量及质量</w:t>
            </w:r>
          </w:p>
        </w:tc>
        <w:tc>
          <w:tcPr>
            <w:tcW w:w="1134" w:type="dxa"/>
            <w:shd w:val="clear" w:color="auto" w:fill="auto"/>
            <w:vAlign w:val="center"/>
          </w:tcPr>
          <w:p w14:paraId="3D7DE31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衡量甲方内部人员对乙方所提供文档的满意情况</w:t>
            </w:r>
          </w:p>
        </w:tc>
        <w:tc>
          <w:tcPr>
            <w:tcW w:w="1701" w:type="dxa"/>
            <w:shd w:val="clear" w:color="auto" w:fill="auto"/>
            <w:vAlign w:val="center"/>
          </w:tcPr>
          <w:p w14:paraId="69677CA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交付文档数量及质量满足甲方要求</w:t>
            </w:r>
          </w:p>
        </w:tc>
        <w:tc>
          <w:tcPr>
            <w:tcW w:w="1559" w:type="dxa"/>
            <w:shd w:val="clear" w:color="auto" w:fill="auto"/>
            <w:vAlign w:val="center"/>
          </w:tcPr>
          <w:p w14:paraId="10B56B08">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甲方根据乙方实际交付的文档数量及文档质量计算</w:t>
            </w:r>
          </w:p>
        </w:tc>
        <w:tc>
          <w:tcPr>
            <w:tcW w:w="1691" w:type="dxa"/>
            <w:shd w:val="clear" w:color="auto" w:fill="auto"/>
            <w:vAlign w:val="center"/>
          </w:tcPr>
          <w:p w14:paraId="4F58963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文档实际交付数量不少于甲方要求数量（文档实际交付数量是指文档交付甲方后甲方确认文档质量并实际接收的文档数量）</w:t>
            </w:r>
          </w:p>
        </w:tc>
        <w:tc>
          <w:tcPr>
            <w:tcW w:w="1757" w:type="dxa"/>
            <w:shd w:val="clear" w:color="auto" w:fill="auto"/>
            <w:vAlign w:val="center"/>
          </w:tcPr>
          <w:p w14:paraId="56C4565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文档每缺少一个扣除合同金额2000元；每有一个文档质量不合格扣除合同金额2000元</w:t>
            </w:r>
          </w:p>
        </w:tc>
        <w:tc>
          <w:tcPr>
            <w:tcW w:w="694" w:type="dxa"/>
            <w:vAlign w:val="center"/>
          </w:tcPr>
          <w:p w14:paraId="700E2F1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0E0A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567" w:type="dxa"/>
            <w:shd w:val="clear" w:color="auto" w:fill="auto"/>
            <w:vAlign w:val="center"/>
          </w:tcPr>
          <w:p w14:paraId="397ABD7B">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14</w:t>
            </w:r>
          </w:p>
        </w:tc>
        <w:tc>
          <w:tcPr>
            <w:tcW w:w="710" w:type="dxa"/>
            <w:shd w:val="clear" w:color="auto" w:fill="auto"/>
            <w:vAlign w:val="center"/>
          </w:tcPr>
          <w:p w14:paraId="0F824419">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服务满意度</w:t>
            </w:r>
          </w:p>
        </w:tc>
        <w:tc>
          <w:tcPr>
            <w:tcW w:w="1134" w:type="dxa"/>
            <w:shd w:val="clear" w:color="auto" w:fill="auto"/>
            <w:vAlign w:val="center"/>
          </w:tcPr>
          <w:p w14:paraId="4561A91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衡量甲方内部人员对乙方所提供服务的满意情况</w:t>
            </w:r>
          </w:p>
        </w:tc>
        <w:tc>
          <w:tcPr>
            <w:tcW w:w="1701" w:type="dxa"/>
            <w:shd w:val="clear" w:color="auto" w:fill="auto"/>
            <w:vAlign w:val="center"/>
          </w:tcPr>
          <w:p w14:paraId="5AFE5CC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服务满意度指标</w:t>
            </w:r>
          </w:p>
        </w:tc>
        <w:tc>
          <w:tcPr>
            <w:tcW w:w="1559" w:type="dxa"/>
            <w:shd w:val="clear" w:color="auto" w:fill="auto"/>
            <w:vAlign w:val="center"/>
          </w:tcPr>
          <w:p w14:paraId="11A6635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服务满意度评级判定</w:t>
            </w:r>
          </w:p>
        </w:tc>
        <w:tc>
          <w:tcPr>
            <w:tcW w:w="1691" w:type="dxa"/>
            <w:shd w:val="clear" w:color="auto" w:fill="auto"/>
            <w:vAlign w:val="center"/>
          </w:tcPr>
          <w:p w14:paraId="1239DEF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客户满意度级别为：1级（非常不满意）；2级（不满意）；3级（一般满意）；4级（满意）；5级（非常满意）（服务满意不低于3级）</w:t>
            </w:r>
          </w:p>
        </w:tc>
        <w:tc>
          <w:tcPr>
            <w:tcW w:w="1757" w:type="dxa"/>
            <w:shd w:val="clear" w:color="auto" w:fill="auto"/>
            <w:vAlign w:val="center"/>
          </w:tcPr>
          <w:p w14:paraId="690E181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　</w:t>
            </w:r>
          </w:p>
        </w:tc>
        <w:tc>
          <w:tcPr>
            <w:tcW w:w="694" w:type="dxa"/>
          </w:tcPr>
          <w:p w14:paraId="2EC2DFA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5744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67" w:type="dxa"/>
            <w:shd w:val="clear" w:color="auto" w:fill="auto"/>
            <w:noWrap/>
            <w:vAlign w:val="center"/>
          </w:tcPr>
          <w:p w14:paraId="744083B8">
            <w:pPr>
              <w:keepNext w:val="0"/>
              <w:keepLines w:val="0"/>
              <w:pageBreakBefore w:val="0"/>
              <w:widowControl/>
              <w:kinsoku/>
              <w:wordWrap/>
              <w:overflowPunct/>
              <w:topLinePunct w:val="0"/>
              <w:autoSpaceDE w:val="0"/>
              <w:autoSpaceDN w:val="0"/>
              <w:bidi w:val="0"/>
              <w:adjustRightInd/>
              <w:spacing w:line="400" w:lineRule="exact"/>
              <w:ind w:firstLine="0" w:firstLineChars="0"/>
              <w:jc w:val="center"/>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合计</w:t>
            </w:r>
          </w:p>
        </w:tc>
        <w:tc>
          <w:tcPr>
            <w:tcW w:w="710" w:type="dxa"/>
            <w:shd w:val="clear" w:color="auto" w:fill="auto"/>
            <w:noWrap/>
            <w:vAlign w:val="center"/>
          </w:tcPr>
          <w:p w14:paraId="229C26E5">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SLA满足率</w:t>
            </w:r>
          </w:p>
        </w:tc>
        <w:tc>
          <w:tcPr>
            <w:tcW w:w="1134" w:type="dxa"/>
            <w:shd w:val="clear" w:color="auto" w:fill="auto"/>
            <w:noWrap/>
            <w:vAlign w:val="center"/>
          </w:tcPr>
          <w:p w14:paraId="0521A326">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此数据是衡量满足要求的SLA个数与整体SLA个数的百分之整体的比率</w:t>
            </w:r>
          </w:p>
        </w:tc>
        <w:tc>
          <w:tcPr>
            <w:tcW w:w="1701" w:type="dxa"/>
            <w:shd w:val="clear" w:color="auto" w:fill="auto"/>
            <w:noWrap/>
            <w:vAlign w:val="center"/>
          </w:tcPr>
          <w:p w14:paraId="26C6F8C4">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衡量乙方达到要求的SLA占全部SLA的百分比。</w:t>
            </w:r>
          </w:p>
        </w:tc>
        <w:tc>
          <w:tcPr>
            <w:tcW w:w="1559" w:type="dxa"/>
            <w:shd w:val="clear" w:color="auto" w:fill="auto"/>
            <w:noWrap/>
            <w:vAlign w:val="center"/>
          </w:tcPr>
          <w:p w14:paraId="5C2F112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为了这个度量报告，需要持续汇报SOW中所有SLA情况。</w:t>
            </w:r>
          </w:p>
        </w:tc>
        <w:tc>
          <w:tcPr>
            <w:tcW w:w="1691" w:type="dxa"/>
            <w:shd w:val="clear" w:color="auto" w:fill="auto"/>
            <w:noWrap/>
            <w:vAlign w:val="center"/>
          </w:tcPr>
          <w:p w14:paraId="78A8A8C2">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SLA满足率＝（满足SLA的个数/总体SLA的个数）×100%（SLA满足率≥70%）</w:t>
            </w:r>
          </w:p>
        </w:tc>
        <w:tc>
          <w:tcPr>
            <w:tcW w:w="1757" w:type="dxa"/>
            <w:shd w:val="clear" w:color="auto" w:fill="auto"/>
            <w:noWrap/>
            <w:vAlign w:val="center"/>
          </w:tcPr>
          <w:p w14:paraId="587BE5E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SLA满足率每低于标准5%，扣除合同总金额的1%</w:t>
            </w:r>
          </w:p>
        </w:tc>
        <w:tc>
          <w:tcPr>
            <w:tcW w:w="694" w:type="dxa"/>
          </w:tcPr>
          <w:p w14:paraId="3792C4AC">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tc>
      </w:tr>
      <w:tr w14:paraId="748D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813" w:type="dxa"/>
            <w:gridSpan w:val="8"/>
            <w:shd w:val="clear" w:color="auto" w:fill="auto"/>
            <w:noWrap/>
            <w:vAlign w:val="center"/>
          </w:tcPr>
          <w:p w14:paraId="509839BB">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综合评价：</w:t>
            </w:r>
          </w:p>
          <w:p w14:paraId="24929923">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p w14:paraId="34DB8ED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p w14:paraId="56206C9E">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p>
          <w:p w14:paraId="7F137A5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outlineLvl w:val="9"/>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 xml:space="preserve">评价人：    </w:t>
            </w:r>
          </w:p>
        </w:tc>
      </w:tr>
    </w:tbl>
    <w:p w14:paraId="4E921F94">
      <w:pPr>
        <w:keepNext w:val="0"/>
        <w:keepLines w:val="0"/>
        <w:pageBreakBefore w:val="0"/>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kern w:val="0"/>
          <w:highlight w:val="none"/>
        </w:rPr>
      </w:pPr>
    </w:p>
    <w:p w14:paraId="3450B50E">
      <w:pPr>
        <w:keepNext w:val="0"/>
        <w:keepLines w:val="0"/>
        <w:pageBreakBefore w:val="0"/>
        <w:kinsoku/>
        <w:wordWrap/>
        <w:overflowPunct/>
        <w:topLinePunct w:val="0"/>
        <w:autoSpaceDE w:val="0"/>
        <w:autoSpaceDN w:val="0"/>
        <w:bidi w:val="0"/>
        <w:spacing w:line="360" w:lineRule="auto"/>
        <w:outlineLvl w:val="9"/>
        <w:rPr>
          <w:rStyle w:val="49"/>
          <w:rFonts w:hint="default" w:ascii="Times New Roman" w:hAnsi="Times New Roman" w:eastAsia="宋体" w:cs="Times New Roman"/>
          <w:color w:val="auto"/>
          <w:spacing w:val="0"/>
          <w:kern w:val="0"/>
          <w:highlight w:val="none"/>
        </w:rPr>
      </w:pPr>
    </w:p>
    <w:p w14:paraId="1CCC7AC8">
      <w:pPr>
        <w:rPr>
          <w:rStyle w:val="49"/>
          <w:rFonts w:hint="default" w:ascii="Times New Roman" w:hAnsi="Times New Roman" w:eastAsia="宋体" w:cs="Times New Roman"/>
          <w:color w:val="auto"/>
          <w:spacing w:val="0"/>
          <w:kern w:val="0"/>
          <w:highlight w:val="none"/>
        </w:rPr>
      </w:pPr>
      <w:r>
        <w:rPr>
          <w:rStyle w:val="49"/>
          <w:rFonts w:hint="default" w:ascii="Times New Roman" w:hAnsi="Times New Roman" w:eastAsia="宋体" w:cs="Times New Roman"/>
          <w:color w:val="auto"/>
          <w:spacing w:val="0"/>
          <w:kern w:val="0"/>
          <w:highlight w:val="none"/>
        </w:rPr>
        <w:br w:type="page"/>
      </w:r>
    </w:p>
    <w:p w14:paraId="7F8CCF5D">
      <w:pPr>
        <w:keepNext w:val="0"/>
        <w:keepLines w:val="0"/>
        <w:pageBreakBefore w:val="0"/>
        <w:kinsoku/>
        <w:wordWrap/>
        <w:overflowPunct/>
        <w:topLinePunct w:val="0"/>
        <w:autoSpaceDE w:val="0"/>
        <w:autoSpaceDN w:val="0"/>
        <w:bidi w:val="0"/>
        <w:spacing w:before="0" w:after="0"/>
        <w:outlineLvl w:val="9"/>
        <w:rPr>
          <w:rStyle w:val="49"/>
          <w:rFonts w:hint="default" w:ascii="Times New Roman" w:hAnsi="Times New Roman" w:eastAsia="宋体" w:cs="Times New Roman"/>
          <w:color w:val="auto"/>
          <w:spacing w:val="0"/>
          <w:kern w:val="0"/>
          <w:sz w:val="30"/>
          <w:highlight w:val="none"/>
        </w:rPr>
      </w:pPr>
      <w:r>
        <w:rPr>
          <w:rStyle w:val="49"/>
          <w:rFonts w:hint="default" w:ascii="Times New Roman" w:hAnsi="Times New Roman" w:eastAsia="宋体" w:cs="Times New Roman"/>
          <w:color w:val="auto"/>
          <w:spacing w:val="0"/>
          <w:kern w:val="0"/>
          <w:sz w:val="30"/>
          <w:highlight w:val="none"/>
        </w:rPr>
        <w:t>附件六：服务连续性预案</w:t>
      </w:r>
    </w:p>
    <w:p w14:paraId="5F6E7D98">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一、目的</w:t>
      </w:r>
    </w:p>
    <w:p w14:paraId="642E28A4">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72F04BBD">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二、应急组织架构及职责</w:t>
      </w:r>
    </w:p>
    <w:p w14:paraId="7ED9A16E">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E9F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C41B0D0">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278A089E">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3B05772">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33C1AC6">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职责</w:t>
            </w:r>
          </w:p>
        </w:tc>
      </w:tr>
      <w:tr w14:paraId="495D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2E1B3A5">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480AEACB">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231A982E">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F2F68FF">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r w14:paraId="4864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323F51C">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2A2EE2A">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5617D36">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CA9132F">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r w14:paraId="4663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8E2BFB2">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470E6316">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2FA7AE0">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21ABF84">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bl>
    <w:p w14:paraId="115D8998">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79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88796ED">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2E80EE4">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5693DF4">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42512C14">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职责</w:t>
            </w:r>
          </w:p>
        </w:tc>
      </w:tr>
      <w:tr w14:paraId="5690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02EED5E2">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62FF088">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38FD0EE">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53EAA2C">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r w14:paraId="1809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508A4AF4">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4A2178C">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0DC0E7F">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256F7095">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bl>
    <w:p w14:paraId="46C2F410">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75C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62E937A">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80A5602">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B16ED45">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7C7E7CD">
            <w:pPr>
              <w:keepNext w:val="0"/>
              <w:keepLines w:val="0"/>
              <w:pageBreakBefore w:val="0"/>
              <w:kinsoku/>
              <w:wordWrap/>
              <w:overflowPunct/>
              <w:topLinePunct w:val="0"/>
              <w:autoSpaceDE w:val="0"/>
              <w:autoSpaceDN w:val="0"/>
              <w:bidi w:val="0"/>
              <w:spacing w:line="360" w:lineRule="auto"/>
              <w:jc w:val="center"/>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职责</w:t>
            </w:r>
          </w:p>
        </w:tc>
      </w:tr>
      <w:tr w14:paraId="0495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AAC8291">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121E443">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5637C6B">
            <w:pPr>
              <w:keepNext w:val="0"/>
              <w:keepLines w:val="0"/>
              <w:pageBreakBefore w:val="0"/>
              <w:widowControl/>
              <w:kinsoku/>
              <w:wordWrap/>
              <w:overflowPunct/>
              <w:topLinePunct w:val="0"/>
              <w:autoSpaceDE w:val="0"/>
              <w:autoSpaceDN w:val="0"/>
              <w:bidi w:val="0"/>
              <w:outlineLvl w:val="9"/>
              <w:rPr>
                <w:rFonts w:hint="default" w:ascii="Times New Roman" w:hAnsi="Times New Roman" w:eastAsia="宋体" w:cs="Times New Roman"/>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0201636">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r w14:paraId="6A3F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3FDD670">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12FC93F">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C0392CB">
            <w:pPr>
              <w:keepNext w:val="0"/>
              <w:keepLines w:val="0"/>
              <w:pageBreakBefore w:val="0"/>
              <w:widowControl/>
              <w:kinsoku/>
              <w:wordWrap/>
              <w:overflowPunct/>
              <w:topLinePunct w:val="0"/>
              <w:autoSpaceDE w:val="0"/>
              <w:autoSpaceDN w:val="0"/>
              <w:bidi w:val="0"/>
              <w:outlineLvl w:val="9"/>
              <w:rPr>
                <w:rFonts w:hint="default" w:ascii="Times New Roman" w:hAnsi="Times New Roman" w:eastAsia="宋体" w:cs="Times New Roman"/>
                <w:color w:val="auto"/>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8401B48">
            <w:pPr>
              <w:keepNext w:val="0"/>
              <w:keepLines w:val="0"/>
              <w:pageBreakBefore w:val="0"/>
              <w:widowControl/>
              <w:kinsoku/>
              <w:wordWrap/>
              <w:overflowPunct/>
              <w:topLinePunct w:val="0"/>
              <w:autoSpaceDE w:val="0"/>
              <w:autoSpaceDN w:val="0"/>
              <w:bidi w:val="0"/>
              <w:jc w:val="center"/>
              <w:outlineLvl w:val="9"/>
              <w:rPr>
                <w:rFonts w:hint="default" w:ascii="Times New Roman" w:hAnsi="Times New Roman" w:eastAsia="宋体" w:cs="Times New Roman"/>
                <w:color w:val="auto"/>
                <w:spacing w:val="0"/>
                <w:sz w:val="21"/>
                <w:szCs w:val="24"/>
                <w:highlight w:val="none"/>
              </w:rPr>
            </w:pPr>
          </w:p>
        </w:tc>
      </w:tr>
    </w:tbl>
    <w:p w14:paraId="496F381F">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（四）应急领导小组职责</w:t>
      </w:r>
    </w:p>
    <w:p w14:paraId="610B515C">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1.启动应急预案</w:t>
      </w:r>
    </w:p>
    <w:p w14:paraId="75DE7F1D">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59AF5947">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2.应急事件处理</w:t>
      </w:r>
    </w:p>
    <w:p w14:paraId="24D80278">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应急事件处理报告</w:t>
      </w:r>
      <w:r>
        <w:rPr>
          <w:rFonts w:hint="eastAsia" w:ascii="Times New Roman" w:hAnsi="Times New Roman" w:cs="Times New Roman"/>
          <w:color w:val="auto"/>
          <w:spacing w:val="0"/>
          <w:szCs w:val="24"/>
          <w:highlight w:val="none"/>
          <w:lang w:eastAsia="zh-CN"/>
        </w:rPr>
        <w:t>”</w:t>
      </w:r>
      <w:r>
        <w:rPr>
          <w:rFonts w:hint="default" w:ascii="Times New Roman" w:hAnsi="Times New Roman" w:eastAsia="宋体" w:cs="Times New Roman"/>
          <w:color w:val="auto"/>
          <w:spacing w:val="0"/>
          <w:szCs w:val="24"/>
          <w:highlight w:val="none"/>
        </w:rPr>
        <w:t>。</w:t>
      </w:r>
    </w:p>
    <w:p w14:paraId="23E07904">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3.业务持续性计划及应急预案优化</w:t>
      </w:r>
    </w:p>
    <w:p w14:paraId="6614FA4E">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2D76F533">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三、应急场景</w:t>
      </w:r>
    </w:p>
    <w:p w14:paraId="37E3C388">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（一）单个核心成员或某个角色无法提供正常服务</w:t>
      </w:r>
    </w:p>
    <w:p w14:paraId="39981B1C">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1.影响程度：外包服务部分中断</w:t>
      </w:r>
    </w:p>
    <w:p w14:paraId="23A4DE0D">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2.规避措施：</w:t>
      </w:r>
    </w:p>
    <w:p w14:paraId="7B22070D">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4744C308">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2）乙方服务团队在合同有效期内，建立人才储备机制和培训机制，同时由A角和B角对项目进行支持工作。因乙方原因造成甲方损失的，乙方按照SLA进行赔偿。</w:t>
      </w:r>
    </w:p>
    <w:p w14:paraId="55C0E8A3">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（二）乙方服务团队无法提供正常服务，但乙方仍具备履约能力</w:t>
      </w:r>
    </w:p>
    <w:p w14:paraId="65881D1D">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1.影响程度：外包服务完全中断</w:t>
      </w:r>
    </w:p>
    <w:p w14:paraId="15E87ADC">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2.规避措施：</w:t>
      </w:r>
    </w:p>
    <w:p w14:paraId="07E33EFB">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1）乙方服务团队需按时按照甲方流程及制度规范提交项目各类文档；</w:t>
      </w:r>
    </w:p>
    <w:p w14:paraId="2701507B">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2）乙方服务团队需制定合理的培训计划和培训内容，加强知识转移；</w:t>
      </w:r>
    </w:p>
    <w:p w14:paraId="345DD87E">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3）如遇类似事件乙方提前10个工作日书面通知甲方项目经理；</w:t>
      </w:r>
    </w:p>
    <w:p w14:paraId="1F932973">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500E4D6E">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（三）乙方服务团队无法提供正常服务且乙方不具备恢复服务能力或意愿</w:t>
      </w:r>
    </w:p>
    <w:p w14:paraId="6E9A7195">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1.影响程度：外包服务完全中断</w:t>
      </w:r>
    </w:p>
    <w:p w14:paraId="74280F60">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2.规避措施：</w:t>
      </w:r>
    </w:p>
    <w:p w14:paraId="24749A56">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1）如遇类似事件乙方提前15个工作日书面通知甲方项目经理；</w:t>
      </w:r>
    </w:p>
    <w:p w14:paraId="1F8062D6">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2）乙方保证提前沟通协调人力资源，于10个工作日内提交所有阶段性项目文档，并完成甲方认可的所有工作交接和知识转移，包括不限于对替代供应商进行培训；</w:t>
      </w:r>
    </w:p>
    <w:p w14:paraId="7B58FE24">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3）允许推荐项目成员到与甲方合作良好的其他供应商任职或由甲方直接聘用。因乙方原因造成甲方损失的，乙方在双方协商后做出赔偿。</w:t>
      </w:r>
    </w:p>
    <w:p w14:paraId="5C01D77D">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（四）乙方因资质变更、被收购、兼并或破产等原因致使其无法继续提供服务</w:t>
      </w:r>
    </w:p>
    <w:p w14:paraId="34E991CC">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1.影响程度：外包服务完全中断</w:t>
      </w:r>
    </w:p>
    <w:p w14:paraId="7BED6AFC">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2.规避措施：</w:t>
      </w:r>
    </w:p>
    <w:p w14:paraId="184F4FA7">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1）如遇类似事件乙方提前20个工作日通知甲方项目经理；</w:t>
      </w:r>
    </w:p>
    <w:p w14:paraId="487E1A4F">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2）根据开发合同约定提前与甲方进行沟通协商，做好代码、文档、服务等交接工作，减少对甲方的影响；</w:t>
      </w:r>
    </w:p>
    <w:p w14:paraId="6CAE9AEF">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625E8C39">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4）允许推荐项目成员到与甲方合作良好的其他供应商任职或由甲方直接聘用。</w:t>
      </w:r>
    </w:p>
    <w:p w14:paraId="54B924CC">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（五）乙方因不可抗力导致其主动退出（国家相关法律法规调整、遭受大规模自然灾害等）</w:t>
      </w:r>
    </w:p>
    <w:p w14:paraId="6A48679F">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1.影响程度：外包服务完全中断</w:t>
      </w:r>
    </w:p>
    <w:p w14:paraId="75CE2716">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2.规避措施：</w:t>
      </w:r>
    </w:p>
    <w:p w14:paraId="50FC5673">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1）如遇类似事件乙方应立即通知甲方项目经理。</w:t>
      </w:r>
    </w:p>
    <w:p w14:paraId="3C829965">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2）乙方与甲方及时进行协商，得出一致性解决方案，于15个工作日内提交所有阶段性项目文档，并完成甲方认可的所有工作交接和知识转移，降低突发事件的影响；</w:t>
      </w:r>
    </w:p>
    <w:p w14:paraId="006E7733">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3）允许推荐项目成员到与甲方合作良好的其他供应商任职或由甲方直接聘用。因乙方原因造成甲方损失的，乙方在双方协商后做出赔偿。</w:t>
      </w:r>
    </w:p>
    <w:p w14:paraId="6E31B33F">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b/>
          <w:color w:val="auto"/>
          <w:spacing w:val="0"/>
          <w:szCs w:val="24"/>
          <w:highlight w:val="none"/>
        </w:rPr>
        <w:t>四、应急处理阶段</w:t>
      </w:r>
    </w:p>
    <w:p w14:paraId="1BE26BAD">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（一）项目实施过程中应急服务</w:t>
      </w:r>
    </w:p>
    <w:p w14:paraId="0E2395B7">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6B975490">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08A5EF43">
      <w:pPr>
        <w:keepNext w:val="0"/>
        <w:keepLines w:val="0"/>
        <w:pageBreakBefore w:val="0"/>
        <w:kinsoku/>
        <w:wordWrap/>
        <w:overflowPunct/>
        <w:topLinePunct w:val="0"/>
        <w:autoSpaceDE w:val="0"/>
        <w:autoSpaceDN w:val="0"/>
        <w:bidi w:val="0"/>
        <w:ind w:firstLine="482" w:firstLineChars="200"/>
        <w:outlineLvl w:val="9"/>
        <w:rPr>
          <w:rFonts w:hint="default" w:ascii="Times New Roman" w:hAnsi="Times New Roman" w:eastAsia="宋体" w:cs="Times New Roman"/>
          <w:b/>
          <w:color w:val="auto"/>
          <w:spacing w:val="0"/>
          <w:szCs w:val="24"/>
          <w:highlight w:val="none"/>
        </w:rPr>
      </w:pPr>
      <w:r>
        <w:rPr>
          <w:rFonts w:hint="default" w:ascii="Times New Roman" w:hAnsi="Times New Roman" w:eastAsia="宋体" w:cs="Times New Roman"/>
          <w:b/>
          <w:color w:val="auto"/>
          <w:spacing w:val="0"/>
          <w:szCs w:val="24"/>
          <w:highlight w:val="none"/>
        </w:rPr>
        <w:t>（二）系统上线后应急服务</w:t>
      </w:r>
    </w:p>
    <w:p w14:paraId="36913812">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540CD5D1">
      <w:pPr>
        <w:keepNext w:val="0"/>
        <w:keepLines w:val="0"/>
        <w:pageBreakBefore w:val="0"/>
        <w:kinsoku/>
        <w:wordWrap/>
        <w:overflowPunct/>
        <w:topLinePunct w:val="0"/>
        <w:autoSpaceDE w:val="0"/>
        <w:autoSpaceDN w:val="0"/>
        <w:bidi w:val="0"/>
        <w:spacing w:line="360" w:lineRule="auto"/>
        <w:ind w:firstLine="559" w:firstLineChars="233"/>
        <w:outlineLvl w:val="9"/>
        <w:rPr>
          <w:rFonts w:hint="default" w:ascii="Times New Roman" w:hAnsi="Times New Roman" w:eastAsia="宋体" w:cs="Times New Roman"/>
          <w:color w:val="auto"/>
          <w:spacing w:val="0"/>
          <w:szCs w:val="24"/>
          <w:highlight w:val="none"/>
        </w:rPr>
      </w:pPr>
      <w:r>
        <w:rPr>
          <w:rFonts w:hint="default" w:ascii="Times New Roman" w:hAnsi="Times New Roman" w:eastAsia="宋体" w:cs="Times New Roman"/>
          <w:color w:val="auto"/>
          <w:spacing w:val="0"/>
          <w:szCs w:val="24"/>
          <w:highlight w:val="none"/>
        </w:rPr>
        <w:t>姓名:        手机号码：        邮箱：</w:t>
      </w:r>
    </w:p>
    <w:p w14:paraId="59BC6DBA">
      <w:pPr>
        <w:keepNext w:val="0"/>
        <w:keepLines w:val="0"/>
        <w:pageBreakBefore w:val="0"/>
        <w:kinsoku/>
        <w:wordWrap/>
        <w:overflowPunct/>
        <w:topLinePunct w:val="0"/>
        <w:autoSpaceDE w:val="0"/>
        <w:autoSpaceDN w:val="0"/>
        <w:bidi w:val="0"/>
        <w:spacing w:line="360" w:lineRule="auto"/>
        <w:ind w:firstLine="559" w:firstLineChars="233"/>
        <w:outlineLvl w:val="9"/>
        <w:rPr>
          <w:rStyle w:val="49"/>
          <w:rFonts w:ascii="宋体" w:eastAsia="宋体"/>
          <w:color w:val="auto"/>
          <w:spacing w:val="0"/>
          <w:kern w:val="0"/>
          <w:highlight w:val="none"/>
        </w:rPr>
      </w:pPr>
      <w:r>
        <w:rPr>
          <w:rFonts w:hint="default" w:ascii="Times New Roman" w:hAnsi="Times New Roman" w:eastAsia="宋体" w:cs="Times New Roman"/>
          <w:color w:val="auto"/>
          <w:spacing w:val="0"/>
          <w:szCs w:val="24"/>
          <w:highlight w:val="none"/>
        </w:rPr>
        <w:t>姓名:        手机号码：        邮箱：</w:t>
      </w:r>
    </w:p>
    <w:p w14:paraId="1168A90A">
      <w:pPr>
        <w:ind w:firstLine="0" w:firstLineChars="0"/>
        <w:jc w:val="cente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97856E1">
      <w:pPr>
        <w:rPr>
          <w:rFonts w:hint="default" w:ascii="Times New Roman" w:hAnsi="Times New Roman" w:cs="Times New Roman"/>
          <w:color w:val="auto"/>
          <w:highlight w:val="none"/>
        </w:rPr>
      </w:pPr>
    </w:p>
    <w:p w14:paraId="7F4B5A37">
      <w:pPr>
        <w:pStyle w:val="2"/>
        <w:rPr>
          <w:rFonts w:hint="default" w:ascii="Times New Roman" w:hAnsi="Times New Roman" w:cs="Times New Roman"/>
          <w:color w:val="auto"/>
          <w:highlight w:val="none"/>
        </w:rPr>
      </w:pPr>
      <w:bookmarkStart w:id="316" w:name="_Toc17799"/>
      <w:bookmarkStart w:id="317" w:name="_Toc38"/>
      <w:r>
        <w:rPr>
          <w:rFonts w:hint="default" w:ascii="Times New Roman" w:hAnsi="Times New Roman" w:cs="Times New Roman"/>
          <w:color w:val="auto"/>
          <w:highlight w:val="none"/>
        </w:rPr>
        <w:t>第六章 参选文件</w:t>
      </w:r>
      <w:bookmarkEnd w:id="262"/>
      <w:bookmarkEnd w:id="263"/>
      <w:bookmarkStart w:id="318" w:name="_Toc303066035"/>
      <w:r>
        <w:rPr>
          <w:rFonts w:hint="default" w:ascii="Times New Roman" w:hAnsi="Times New Roman" w:cs="Times New Roman"/>
          <w:color w:val="auto"/>
          <w:highlight w:val="none"/>
        </w:rPr>
        <w:t>格式</w:t>
      </w:r>
      <w:bookmarkEnd w:id="316"/>
      <w:bookmarkEnd w:id="317"/>
    </w:p>
    <w:bookmarkEnd w:id="318"/>
    <w:p w14:paraId="77CC0EBD">
      <w:pPr>
        <w:tabs>
          <w:tab w:val="left" w:pos="6516"/>
        </w:tabs>
        <w:adjustRightInd w:val="0"/>
        <w:snapToGrid w:val="0"/>
        <w:spacing w:line="360" w:lineRule="auto"/>
        <w:ind w:firstLine="0" w:firstLineChars="0"/>
        <w:jc w:val="center"/>
        <w:rPr>
          <w:rFonts w:hint="default" w:ascii="Times New Roman" w:hAnsi="Times New Roman" w:cs="Times New Roman"/>
          <w:b/>
          <w:color w:val="auto"/>
          <w:kern w:val="0"/>
          <w:highlight w:val="none"/>
          <w:u w:val="single"/>
        </w:rPr>
      </w:pPr>
    </w:p>
    <w:p w14:paraId="38BB49D8">
      <w:pPr>
        <w:spacing w:line="360" w:lineRule="auto"/>
        <w:ind w:firstLine="0" w:firstLineChars="0"/>
        <w:jc w:val="center"/>
        <w:rPr>
          <w:rFonts w:hint="default" w:ascii="Times New Roman" w:hAnsi="Times New Roman" w:cs="Times New Roman"/>
          <w:b/>
          <w:snapToGrid w:val="0"/>
          <w:color w:val="auto"/>
          <w:kern w:val="0"/>
          <w:sz w:val="48"/>
          <w:szCs w:val="84"/>
          <w:highlight w:val="none"/>
        </w:rPr>
      </w:pPr>
      <w:r>
        <w:rPr>
          <w:rFonts w:hint="default" w:ascii="Times New Roman" w:hAnsi="Times New Roman" w:cs="Times New Roman"/>
          <w:b/>
          <w:snapToGrid w:val="0"/>
          <w:color w:val="auto"/>
          <w:kern w:val="0"/>
          <w:sz w:val="48"/>
          <w:szCs w:val="84"/>
          <w:highlight w:val="none"/>
        </w:rPr>
        <w:t>重庆三峡银行</w:t>
      </w:r>
    </w:p>
    <w:p w14:paraId="19439018">
      <w:pPr>
        <w:tabs>
          <w:tab w:val="left" w:pos="3600"/>
          <w:tab w:val="left" w:pos="4480"/>
          <w:tab w:val="left" w:pos="5360"/>
        </w:tabs>
        <w:adjustRightInd w:val="0"/>
        <w:snapToGrid w:val="0"/>
        <w:spacing w:line="360" w:lineRule="auto"/>
        <w:ind w:firstLine="0" w:firstLineChars="0"/>
        <w:jc w:val="center"/>
        <w:rPr>
          <w:rFonts w:hint="default" w:ascii="Times New Roman" w:hAnsi="Times New Roman" w:cs="Times New Roman"/>
          <w:color w:val="auto"/>
          <w:kern w:val="0"/>
          <w:sz w:val="44"/>
          <w:highlight w:val="none"/>
          <w:u w:val="single"/>
        </w:rPr>
      </w:pPr>
      <w:r>
        <w:rPr>
          <w:rFonts w:hint="default" w:ascii="Times New Roman" w:hAnsi="Times New Roman" w:cs="Times New Roman"/>
          <w:b/>
          <w:snapToGrid w:val="0"/>
          <w:color w:val="auto"/>
          <w:kern w:val="0"/>
          <w:sz w:val="48"/>
          <w:szCs w:val="84"/>
          <w:highlight w:val="none"/>
          <w:u w:val="single"/>
        </w:rPr>
        <w:t xml:space="preserve"> </w:t>
      </w:r>
      <w:r>
        <w:rPr>
          <w:rFonts w:hint="eastAsia" w:ascii="Times New Roman" w:hAnsi="Times New Roman" w:cs="Times New Roman"/>
          <w:b/>
          <w:snapToGrid w:val="0"/>
          <w:color w:val="auto"/>
          <w:kern w:val="0"/>
          <w:sz w:val="48"/>
          <w:szCs w:val="84"/>
          <w:highlight w:val="none"/>
          <w:u w:val="single"/>
          <w:lang w:val="en-US" w:eastAsia="zh-CN"/>
        </w:rPr>
        <w:t>新一代数据中台项目（一期）</w:t>
      </w:r>
    </w:p>
    <w:p w14:paraId="0039BD47">
      <w:pPr>
        <w:tabs>
          <w:tab w:val="left" w:pos="3600"/>
          <w:tab w:val="left" w:pos="4480"/>
          <w:tab w:val="left" w:pos="5360"/>
        </w:tabs>
        <w:adjustRightInd w:val="0"/>
        <w:snapToGrid w:val="0"/>
        <w:spacing w:line="360" w:lineRule="auto"/>
        <w:ind w:firstLine="0" w:firstLineChars="0"/>
        <w:jc w:val="center"/>
        <w:rPr>
          <w:rFonts w:hint="default" w:ascii="Times New Roman" w:hAnsi="Times New Roman" w:cs="Times New Roman"/>
          <w:color w:val="auto"/>
          <w:kern w:val="0"/>
          <w:sz w:val="44"/>
          <w:highlight w:val="none"/>
        </w:rPr>
      </w:pPr>
    </w:p>
    <w:p w14:paraId="68285DD3">
      <w:pPr>
        <w:tabs>
          <w:tab w:val="left" w:pos="3600"/>
          <w:tab w:val="left" w:pos="4480"/>
          <w:tab w:val="left" w:pos="5360"/>
        </w:tabs>
        <w:adjustRightInd w:val="0"/>
        <w:snapToGrid w:val="0"/>
        <w:spacing w:line="360" w:lineRule="auto"/>
        <w:ind w:firstLine="0" w:firstLineChars="0"/>
        <w:jc w:val="center"/>
        <w:rPr>
          <w:rFonts w:hint="default" w:ascii="Times New Roman" w:hAnsi="Times New Roman" w:cs="Times New Roman"/>
          <w:color w:val="auto"/>
          <w:kern w:val="0"/>
          <w:sz w:val="44"/>
          <w:highlight w:val="none"/>
        </w:rPr>
      </w:pPr>
    </w:p>
    <w:p w14:paraId="291C3A4A">
      <w:pPr>
        <w:tabs>
          <w:tab w:val="left" w:pos="3600"/>
          <w:tab w:val="left" w:pos="4480"/>
          <w:tab w:val="left" w:pos="5360"/>
        </w:tabs>
        <w:adjustRightInd w:val="0"/>
        <w:snapToGrid w:val="0"/>
        <w:spacing w:line="360" w:lineRule="auto"/>
        <w:ind w:firstLine="0" w:firstLineChars="0"/>
        <w:jc w:val="center"/>
        <w:rPr>
          <w:rFonts w:hint="default" w:ascii="Times New Roman" w:hAnsi="Times New Roman" w:cs="Times New Roman"/>
          <w:b/>
          <w:color w:val="auto"/>
          <w:kern w:val="0"/>
          <w:sz w:val="84"/>
          <w:highlight w:val="none"/>
        </w:rPr>
      </w:pPr>
      <w:r>
        <w:rPr>
          <w:rFonts w:hint="default" w:ascii="Times New Roman" w:hAnsi="Times New Roman" w:cs="Times New Roman"/>
          <w:b/>
          <w:color w:val="auto"/>
          <w:kern w:val="0"/>
          <w:sz w:val="84"/>
          <w:highlight w:val="none"/>
        </w:rPr>
        <w:t>参  选  文  件</w:t>
      </w:r>
    </w:p>
    <w:p w14:paraId="64776FFF">
      <w:pPr>
        <w:adjustRightInd w:val="0"/>
        <w:snapToGrid w:val="0"/>
        <w:spacing w:line="360" w:lineRule="auto"/>
        <w:ind w:firstLine="0" w:firstLineChars="0"/>
        <w:jc w:val="center"/>
        <w:rPr>
          <w:rFonts w:hint="default" w:ascii="Times New Roman" w:hAnsi="Times New Roman" w:cs="Times New Roman"/>
          <w:color w:val="auto"/>
          <w:kern w:val="0"/>
          <w:sz w:val="16"/>
          <w:highlight w:val="none"/>
        </w:rPr>
      </w:pPr>
    </w:p>
    <w:p w14:paraId="46676523">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00D1FA93">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594328A8">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0A71F991">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36FBBA99">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3E5E9148">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5A8D1726">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66A46D7E">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61DD855F">
      <w:pPr>
        <w:adjustRightInd w:val="0"/>
        <w:snapToGrid w:val="0"/>
        <w:spacing w:line="360" w:lineRule="auto"/>
        <w:ind w:firstLine="0" w:firstLineChars="0"/>
        <w:jc w:val="center"/>
        <w:rPr>
          <w:rFonts w:hint="default" w:ascii="Times New Roman" w:hAnsi="Times New Roman" w:cs="Times New Roman"/>
          <w:b/>
          <w:color w:val="auto"/>
          <w:kern w:val="0"/>
          <w:sz w:val="20"/>
          <w:highlight w:val="none"/>
        </w:rPr>
      </w:pPr>
    </w:p>
    <w:p w14:paraId="786F061C">
      <w:pPr>
        <w:spacing w:line="36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参选人：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（盖单位公章）</w:t>
      </w:r>
    </w:p>
    <w:p w14:paraId="43256921">
      <w:pPr>
        <w:spacing w:line="36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snapToGrid w:val="0"/>
          <w:color w:val="auto"/>
          <w:kern w:val="0"/>
          <w:highlight w:val="none"/>
        </w:rPr>
        <w:t>法定代表人</w:t>
      </w: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r>
        <w:rPr>
          <w:rFonts w:hint="eastAsia" w:ascii="Times New Roman" w:hAnsi="Times New Roman" w:cs="Times New Roman"/>
          <w:color w:val="auto"/>
          <w:highlight w:val="none"/>
          <w:lang w:val="en-US" w:eastAsia="zh-CN"/>
        </w:rPr>
        <w:t>或盖章</w:t>
      </w:r>
      <w:r>
        <w:rPr>
          <w:rFonts w:hint="default" w:ascii="Times New Roman" w:hAnsi="Times New Roman" w:cs="Times New Roman"/>
          <w:color w:val="auto"/>
          <w:highlight w:val="none"/>
        </w:rPr>
        <w:t>）</w:t>
      </w:r>
    </w:p>
    <w:p w14:paraId="60BA9131">
      <w:pPr>
        <w:spacing w:line="36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p w14:paraId="212A4CF2">
      <w:pPr>
        <w:tabs>
          <w:tab w:val="left" w:pos="3280"/>
          <w:tab w:val="left" w:pos="4680"/>
          <w:tab w:val="left" w:pos="6080"/>
        </w:tabs>
        <w:adjustRightInd w:val="0"/>
        <w:snapToGrid w:val="0"/>
        <w:spacing w:line="360" w:lineRule="auto"/>
        <w:ind w:firstLine="0" w:firstLineChars="0"/>
        <w:jc w:val="center"/>
        <w:rPr>
          <w:rFonts w:hint="default" w:ascii="Times New Roman" w:hAnsi="Times New Roman" w:cs="Times New Roman"/>
          <w:b/>
          <w:color w:val="auto"/>
          <w:kern w:val="0"/>
          <w:highlight w:val="none"/>
        </w:rPr>
      </w:pPr>
    </w:p>
    <w:p w14:paraId="21B1DEE4">
      <w:pPr>
        <w:tabs>
          <w:tab w:val="left" w:pos="6300"/>
        </w:tabs>
        <w:snapToGrid w:val="0"/>
        <w:spacing w:line="360" w:lineRule="auto"/>
        <w:ind w:firstLine="0" w:firstLineChars="0"/>
        <w:jc w:val="center"/>
        <w:rPr>
          <w:rFonts w:hint="default" w:ascii="Times New Roman" w:hAnsi="Times New Roman" w:cs="Times New Roman"/>
          <w:snapToGrid w:val="0"/>
          <w:color w:val="auto"/>
          <w:kern w:val="0"/>
          <w:szCs w:val="28"/>
          <w:highlight w:val="none"/>
        </w:rPr>
      </w:pPr>
    </w:p>
    <w:p w14:paraId="02E16C54">
      <w:pPr>
        <w:tabs>
          <w:tab w:val="left" w:pos="6300"/>
        </w:tabs>
        <w:snapToGrid w:val="0"/>
        <w:spacing w:line="360" w:lineRule="auto"/>
        <w:ind w:firstLine="0" w:firstLineChars="0"/>
        <w:jc w:val="center"/>
        <w:rPr>
          <w:rFonts w:hint="default" w:ascii="Times New Roman" w:hAnsi="Times New Roman" w:cs="Times New Roman"/>
          <w:snapToGrid w:val="0"/>
          <w:color w:val="auto"/>
          <w:kern w:val="0"/>
          <w:szCs w:val="28"/>
          <w:highlight w:val="none"/>
        </w:rPr>
      </w:pPr>
    </w:p>
    <w:p w14:paraId="675D701E">
      <w:pPr>
        <w:tabs>
          <w:tab w:val="left" w:pos="6300"/>
        </w:tabs>
        <w:snapToGrid w:val="0"/>
        <w:spacing w:line="360" w:lineRule="auto"/>
        <w:ind w:firstLine="0" w:firstLineChars="0"/>
        <w:jc w:val="center"/>
        <w:rPr>
          <w:rFonts w:hint="default" w:ascii="Times New Roman" w:hAnsi="Times New Roman" w:cs="Times New Roman"/>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CE48639">
      <w:pPr>
        <w:tabs>
          <w:tab w:val="left" w:pos="6300"/>
        </w:tabs>
        <w:snapToGrid w:val="0"/>
        <w:spacing w:line="360" w:lineRule="auto"/>
        <w:ind w:firstLine="0" w:firstLineChars="0"/>
        <w:jc w:val="center"/>
        <w:outlineLvl w:val="1"/>
        <w:rPr>
          <w:rFonts w:hint="default" w:ascii="Times New Roman" w:hAnsi="Times New Roman" w:cs="Times New Roman"/>
          <w:b/>
          <w:snapToGrid w:val="0"/>
          <w:color w:val="auto"/>
          <w:kern w:val="0"/>
          <w:sz w:val="36"/>
          <w:szCs w:val="28"/>
          <w:highlight w:val="none"/>
        </w:rPr>
      </w:pPr>
      <w:r>
        <w:rPr>
          <w:rFonts w:hint="default" w:ascii="Times New Roman" w:hAnsi="Times New Roman" w:cs="Times New Roman"/>
          <w:b/>
          <w:snapToGrid w:val="0"/>
          <w:color w:val="auto"/>
          <w:kern w:val="0"/>
          <w:sz w:val="36"/>
          <w:szCs w:val="28"/>
          <w:highlight w:val="none"/>
        </w:rPr>
        <w:t>目  录</w:t>
      </w:r>
    </w:p>
    <w:p w14:paraId="75DD4876">
      <w:pPr>
        <w:rPr>
          <w:rFonts w:hint="default" w:ascii="Times New Roman" w:hAnsi="Times New Roman" w:cs="Times New Roman"/>
          <w:color w:val="auto"/>
          <w:highlight w:val="none"/>
        </w:rPr>
      </w:pPr>
      <w:r>
        <w:rPr>
          <w:rFonts w:hint="default" w:ascii="Times New Roman" w:hAnsi="Times New Roman" w:cs="Times New Roman"/>
          <w:color w:val="auto"/>
          <w:highlight w:val="none"/>
        </w:rPr>
        <w:t>一、参选函</w:t>
      </w:r>
    </w:p>
    <w:p w14:paraId="5F42CF13">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二、</w:t>
      </w:r>
      <w:r>
        <w:rPr>
          <w:rFonts w:hint="eastAsia" w:ascii="Times New Roman" w:hAnsi="Times New Roman" w:cs="Times New Roman"/>
          <w:color w:val="auto"/>
          <w:highlight w:val="none"/>
          <w:lang w:val="en-US" w:eastAsia="zh-CN"/>
        </w:rPr>
        <w:t>报价清单</w:t>
      </w:r>
    </w:p>
    <w:p w14:paraId="79265E11">
      <w:pPr>
        <w:rPr>
          <w:rFonts w:hint="default" w:ascii="Times New Roman" w:hAnsi="Times New Roman" w:cs="Times New Roman"/>
          <w:color w:val="auto"/>
          <w:highlight w:val="none"/>
        </w:rPr>
      </w:pPr>
      <w:r>
        <w:rPr>
          <w:rFonts w:hint="default" w:ascii="Times New Roman" w:hAnsi="Times New Roman" w:cs="Times New Roman"/>
          <w:color w:val="auto"/>
          <w:highlight w:val="none"/>
        </w:rPr>
        <w:t>（一）分项</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汇总表</w:t>
      </w:r>
    </w:p>
    <w:p w14:paraId="4C8578E2">
      <w:pPr>
        <w:rPr>
          <w:rFonts w:hint="default" w:ascii="Times New Roman" w:hAnsi="Times New Roman" w:cs="Times New Roman"/>
          <w:color w:val="auto"/>
          <w:highlight w:val="none"/>
        </w:rPr>
      </w:pPr>
      <w:r>
        <w:rPr>
          <w:rFonts w:hint="default" w:ascii="Times New Roman" w:hAnsi="Times New Roman" w:cs="Times New Roman"/>
          <w:color w:val="auto"/>
          <w:highlight w:val="none"/>
        </w:rPr>
        <w:t>（二）分项</w:t>
      </w:r>
      <w:r>
        <w:rPr>
          <w:rFonts w:hint="eastAsia" w:ascii="Times New Roman" w:hAnsi="Times New Roman" w:cs="Times New Roman"/>
          <w:color w:val="auto"/>
          <w:highlight w:val="none"/>
          <w:lang w:val="en-US" w:eastAsia="zh-CN"/>
        </w:rPr>
        <w:t>报价明细</w:t>
      </w:r>
      <w:r>
        <w:rPr>
          <w:rFonts w:hint="default" w:ascii="Times New Roman" w:hAnsi="Times New Roman" w:cs="Times New Roman"/>
          <w:color w:val="auto"/>
          <w:highlight w:val="none"/>
        </w:rPr>
        <w:t>表</w:t>
      </w:r>
    </w:p>
    <w:p w14:paraId="470EA12E">
      <w:pPr>
        <w:rPr>
          <w:rFonts w:hint="default" w:ascii="Times New Roman" w:hAnsi="Times New Roman" w:cs="Times New Roman"/>
          <w:color w:val="auto"/>
          <w:highlight w:val="none"/>
        </w:rPr>
      </w:pPr>
      <w:r>
        <w:rPr>
          <w:rFonts w:hint="default" w:ascii="Times New Roman" w:hAnsi="Times New Roman" w:cs="Times New Roman"/>
          <w:color w:val="auto"/>
          <w:highlight w:val="none"/>
        </w:rPr>
        <w:t>三、资格性文件</w:t>
      </w:r>
    </w:p>
    <w:p w14:paraId="1FE50916">
      <w:pPr>
        <w:rPr>
          <w:rFonts w:hint="default" w:ascii="Times New Roman" w:hAnsi="Times New Roman" w:cs="Times New Roman"/>
          <w:color w:val="auto"/>
          <w:highlight w:val="none"/>
        </w:rPr>
      </w:pPr>
      <w:r>
        <w:rPr>
          <w:rFonts w:hint="default" w:ascii="Times New Roman" w:hAnsi="Times New Roman" w:cs="Times New Roman"/>
          <w:color w:val="auto"/>
          <w:highlight w:val="none"/>
        </w:rPr>
        <w:t>（一）参选人基本情况介绍，资质证明等</w:t>
      </w:r>
    </w:p>
    <w:p w14:paraId="2350A6E2">
      <w:pPr>
        <w:rPr>
          <w:rFonts w:hint="default" w:ascii="Times New Roman" w:hAnsi="Times New Roman" w:cs="Times New Roman"/>
          <w:color w:val="auto"/>
          <w:highlight w:val="none"/>
        </w:rPr>
      </w:pPr>
      <w:r>
        <w:rPr>
          <w:rFonts w:hint="default" w:ascii="Times New Roman" w:hAnsi="Times New Roman" w:cs="Times New Roman"/>
          <w:color w:val="auto"/>
          <w:highlight w:val="none"/>
        </w:rPr>
        <w:t>（二）法定代表人身份证明及授权委托书</w:t>
      </w:r>
    </w:p>
    <w:p w14:paraId="029DFEC9">
      <w:pPr>
        <w:rPr>
          <w:rFonts w:hint="default" w:ascii="Times New Roman" w:hAnsi="Times New Roman" w:cs="Times New Roman"/>
          <w:color w:val="auto"/>
          <w:highlight w:val="none"/>
        </w:rPr>
      </w:pPr>
      <w:r>
        <w:rPr>
          <w:rFonts w:hint="default" w:ascii="Times New Roman" w:hAnsi="Times New Roman" w:cs="Times New Roman"/>
          <w:color w:val="auto"/>
          <w:highlight w:val="none"/>
        </w:rPr>
        <w:t>（三）书面声明</w:t>
      </w:r>
    </w:p>
    <w:p w14:paraId="48FF20DE">
      <w:pPr>
        <w:rPr>
          <w:rFonts w:hint="default" w:ascii="Times New Roman" w:hAnsi="Times New Roman" w:cs="Times New Roman"/>
          <w:color w:val="auto"/>
          <w:highlight w:val="none"/>
        </w:rPr>
      </w:pPr>
      <w:r>
        <w:rPr>
          <w:rFonts w:hint="default" w:ascii="Times New Roman" w:hAnsi="Times New Roman" w:cs="Times New Roman"/>
          <w:color w:val="auto"/>
          <w:highlight w:val="none"/>
        </w:rPr>
        <w:t>（四）中国执行信息公开网截图</w:t>
      </w:r>
    </w:p>
    <w:p w14:paraId="5D7034A9">
      <w:pPr>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rPr>
        <w:t>（</w:t>
      </w:r>
      <w:r>
        <w:rPr>
          <w:rFonts w:hint="default" w:ascii="Times New Roman" w:hAnsi="Times New Roman" w:cs="Times New Roman"/>
          <w:color w:val="auto"/>
          <w:highlight w:val="none"/>
        </w:rPr>
        <w:t>五</w:t>
      </w:r>
      <w:r>
        <w:rPr>
          <w:rFonts w:hint="default" w:ascii="Times New Roman" w:hAnsi="Times New Roman" w:cs="Times New Roman"/>
          <w:color w:val="auto"/>
          <w:highlight w:val="none"/>
          <w:lang w:val="zh-CN"/>
        </w:rPr>
        <w:t>）项目案例</w:t>
      </w:r>
      <w:r>
        <w:rPr>
          <w:rFonts w:hint="default" w:ascii="Times New Roman" w:hAnsi="Times New Roman" w:cs="Times New Roman"/>
          <w:color w:val="auto"/>
          <w:highlight w:val="none"/>
        </w:rPr>
        <w:t>证明文件复印件</w:t>
      </w:r>
    </w:p>
    <w:p w14:paraId="28B64544">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val="en-US" w:eastAsia="zh-CN"/>
        </w:rPr>
        <w:t>软件能力成熟度模型集成认证</w:t>
      </w:r>
      <w:r>
        <w:rPr>
          <w:rFonts w:hint="eastAsia" w:ascii="Times New Roman" w:hAnsi="Times New Roman" w:cs="Times New Roman"/>
          <w:color w:val="auto"/>
          <w:highlight w:val="none"/>
          <w:lang w:val="en-US" w:eastAsia="zh-CN"/>
        </w:rPr>
        <w:t>5级证书和</w:t>
      </w:r>
      <w:r>
        <w:rPr>
          <w:rFonts w:hint="default" w:ascii="Times New Roman" w:hAnsi="Times New Roman" w:cs="Times New Roman"/>
          <w:color w:val="auto"/>
          <w:highlight w:val="none"/>
          <w:lang w:val="en-US" w:eastAsia="zh-CN"/>
        </w:rPr>
        <w:t>IS</w:t>
      </w:r>
      <w:r>
        <w:rPr>
          <w:rFonts w:hint="eastAsia" w:ascii="Times New Roman" w:hAnsi="Times New Roman" w:cs="Times New Roman"/>
          <w:color w:val="auto"/>
          <w:highlight w:val="none"/>
          <w:lang w:val="en-US" w:eastAsia="zh-CN"/>
        </w:rPr>
        <w:t>O</w:t>
      </w:r>
      <w:r>
        <w:rPr>
          <w:rFonts w:hint="default" w:ascii="Times New Roman" w:hAnsi="Times New Roman" w:cs="Times New Roman"/>
          <w:color w:val="auto"/>
          <w:highlight w:val="none"/>
          <w:lang w:val="en-US" w:eastAsia="zh-CN"/>
        </w:rPr>
        <w:t>9001质量管理体系认证证书</w:t>
      </w:r>
    </w:p>
    <w:p w14:paraId="2FED60D9">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（七）原厂授权函（如有）</w:t>
      </w:r>
    </w:p>
    <w:p w14:paraId="014C43EB">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（八）原厂售后服务质保承诺函</w:t>
      </w:r>
    </w:p>
    <w:p w14:paraId="56FD3AEA">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（九）承诺书</w:t>
      </w:r>
    </w:p>
    <w:p w14:paraId="525DE417">
      <w:pPr>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四、响应</w:t>
      </w:r>
      <w:r>
        <w:rPr>
          <w:rFonts w:hint="eastAsia" w:ascii="Times New Roman" w:hAnsi="Times New Roman" w:cs="Times New Roman"/>
          <w:color w:val="auto"/>
          <w:highlight w:val="none"/>
          <w:lang w:val="en-US" w:eastAsia="zh-CN"/>
        </w:rPr>
        <w:t>性文件</w:t>
      </w:r>
    </w:p>
    <w:p w14:paraId="6770405D">
      <w:pPr>
        <w:rPr>
          <w:rFonts w:hint="default" w:ascii="Times New Roman" w:hAnsi="Times New Roman" w:cs="Times New Roman"/>
          <w:color w:val="auto"/>
          <w:highlight w:val="none"/>
        </w:rPr>
      </w:pPr>
      <w:r>
        <w:rPr>
          <w:rFonts w:hint="default" w:ascii="Times New Roman" w:hAnsi="Times New Roman" w:cs="Times New Roman"/>
          <w:color w:val="auto"/>
          <w:highlight w:val="none"/>
        </w:rPr>
        <w:t>（一）响应承诺函</w:t>
      </w:r>
    </w:p>
    <w:p w14:paraId="6265CE51">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4"/>
          <w:highlight w:val="none"/>
          <w:shd w:val="clear" w:color="auto" w:fill="FFFFFF"/>
          <w:lang w:val="en-US" w:eastAsia="zh-CN"/>
        </w:rPr>
        <w:t>（二）项目组成员简历信息</w:t>
      </w:r>
    </w:p>
    <w:p w14:paraId="00C27306">
      <w:pPr>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三</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售后服务方案</w:t>
      </w:r>
    </w:p>
    <w:p w14:paraId="6EF8E3E5">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四</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培训方案</w:t>
      </w:r>
    </w:p>
    <w:p w14:paraId="0C4DA19F">
      <w:pPr>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服务连续性预案</w:t>
      </w:r>
    </w:p>
    <w:p w14:paraId="48F042D5">
      <w:pPr>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项目实施方案</w:t>
      </w:r>
    </w:p>
    <w:p w14:paraId="101D82E2">
      <w:pPr>
        <w:rPr>
          <w:rFonts w:hint="default" w:ascii="Times New Roman" w:hAnsi="Times New Roman" w:cs="Times New Roman"/>
          <w:color w:val="auto"/>
          <w:highlight w:val="none"/>
        </w:rPr>
      </w:pPr>
      <w:r>
        <w:rPr>
          <w:rFonts w:hint="default" w:ascii="Times New Roman" w:hAnsi="Times New Roman" w:cs="Times New Roman"/>
          <w:color w:val="auto"/>
          <w:highlight w:val="none"/>
        </w:rPr>
        <w:t>五、参选保证金</w:t>
      </w:r>
    </w:p>
    <w:p w14:paraId="40707DBA">
      <w:pPr>
        <w:rPr>
          <w:rFonts w:hint="default" w:ascii="Times New Roman" w:hAnsi="Times New Roman" w:cs="Times New Roman"/>
          <w:color w:val="auto"/>
          <w:highlight w:val="none"/>
        </w:rPr>
      </w:pPr>
      <w:r>
        <w:rPr>
          <w:rFonts w:hint="default" w:ascii="Times New Roman" w:hAnsi="Times New Roman" w:cs="Times New Roman"/>
          <w:color w:val="auto"/>
          <w:highlight w:val="none"/>
        </w:rPr>
        <w:t>六、服务水平协议（SLA）</w:t>
      </w:r>
    </w:p>
    <w:p w14:paraId="26B2FF04">
      <w:pPr>
        <w:rPr>
          <w:rFonts w:hint="default" w:ascii="Times New Roman" w:hAnsi="Times New Roman" w:cs="Times New Roman"/>
          <w:color w:val="auto"/>
          <w:highlight w:val="none"/>
        </w:rPr>
      </w:pPr>
      <w:r>
        <w:rPr>
          <w:rFonts w:hint="default" w:ascii="Times New Roman" w:hAnsi="Times New Roman" w:cs="Times New Roman"/>
          <w:color w:val="auto"/>
          <w:highlight w:val="none"/>
        </w:rPr>
        <w:t>七、其他（如有）</w:t>
      </w:r>
    </w:p>
    <w:p w14:paraId="6D7979B0">
      <w:pPr>
        <w:spacing w:line="360" w:lineRule="auto"/>
        <w:rPr>
          <w:rFonts w:hint="default" w:ascii="Times New Roman" w:hAnsi="Times New Roman" w:cs="Times New Roman"/>
          <w:color w:val="auto"/>
          <w:highlight w:val="none"/>
        </w:rPr>
      </w:pPr>
    </w:p>
    <w:p w14:paraId="54C997E1">
      <w:pPr>
        <w:spacing w:line="360" w:lineRule="auto"/>
        <w:rPr>
          <w:rFonts w:hint="default" w:ascii="Times New Roman" w:hAnsi="Times New Roman" w:cs="Times New Roman"/>
          <w:color w:val="auto"/>
          <w:highlight w:val="none"/>
        </w:rPr>
      </w:pPr>
    </w:p>
    <w:p w14:paraId="1D5AAD0C">
      <w:pPr>
        <w:spacing w:line="360" w:lineRule="auto"/>
        <w:ind w:firstLine="0" w:firstLineChars="0"/>
        <w:jc w:val="center"/>
        <w:outlineLvl w:val="1"/>
        <w:rPr>
          <w:rStyle w:val="32"/>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Style w:val="32"/>
          <w:rFonts w:hint="default" w:ascii="Times New Roman" w:hAnsi="Times New Roman" w:cs="Times New Roman"/>
          <w:color w:val="auto"/>
          <w:highlight w:val="none"/>
        </w:rPr>
        <w:t>一、参选函</w:t>
      </w:r>
    </w:p>
    <w:p w14:paraId="02BC509D">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u w:val="single"/>
        </w:rPr>
      </w:pPr>
    </w:p>
    <w:p w14:paraId="7E1238DB">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u w:val="single"/>
        </w:rPr>
        <w:t>重庆三峡银行股份有限公司</w:t>
      </w:r>
      <w:r>
        <w:rPr>
          <w:rFonts w:hint="default" w:ascii="Times New Roman" w:hAnsi="Times New Roman" w:cs="Times New Roman"/>
          <w:snapToGrid w:val="0"/>
          <w:color w:val="auto"/>
          <w:kern w:val="0"/>
          <w:szCs w:val="24"/>
          <w:highlight w:val="none"/>
        </w:rPr>
        <w:t>：</w:t>
      </w:r>
    </w:p>
    <w:p w14:paraId="54382FD4">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我方收到___________________比选文件，经详细研究，决定参加该比选项目的参选。</w:t>
      </w:r>
    </w:p>
    <w:p w14:paraId="6AFF8B24">
      <w:pPr>
        <w:tabs>
          <w:tab w:val="left" w:pos="6300"/>
        </w:tabs>
        <w:snapToGrid w:val="0"/>
        <w:spacing w:line="360" w:lineRule="auto"/>
        <w:ind w:right="-34" w:rightChars="-14" w:firstLine="573" w:firstLineChars="0"/>
        <w:rPr>
          <w:rFonts w:hint="eastAsia" w:ascii="Times New Roman" w:hAnsi="Times New Roman" w:eastAsia="宋体" w:cs="Times New Roman"/>
          <w:snapToGrid w:val="0"/>
          <w:color w:val="auto"/>
          <w:kern w:val="0"/>
          <w:szCs w:val="24"/>
          <w:highlight w:val="none"/>
          <w:u w:val="single"/>
          <w:lang w:eastAsia="zh-CN"/>
        </w:rPr>
      </w:pPr>
      <w:r>
        <w:rPr>
          <w:rFonts w:hint="default" w:ascii="Times New Roman" w:hAnsi="Times New Roman" w:cs="Times New Roman"/>
          <w:snapToGrid w:val="0"/>
          <w:color w:val="auto"/>
          <w:kern w:val="0"/>
          <w:szCs w:val="24"/>
          <w:highlight w:val="none"/>
        </w:rPr>
        <w:t>1、愿意按照比选文件中的一切要求，以人民币小写：</w:t>
      </w:r>
      <w:r>
        <w:rPr>
          <w:rFonts w:hint="default" w:ascii="Times New Roman" w:hAnsi="Times New Roman" w:cs="Times New Roman"/>
          <w:snapToGrid w:val="0"/>
          <w:color w:val="auto"/>
          <w:kern w:val="0"/>
          <w:szCs w:val="24"/>
          <w:highlight w:val="none"/>
          <w:u w:val="single"/>
        </w:rPr>
        <w:t xml:space="preserve">          </w:t>
      </w:r>
      <w:r>
        <w:rPr>
          <w:rFonts w:hint="default" w:ascii="Times New Roman" w:hAnsi="Times New Roman" w:cs="Times New Roman"/>
          <w:snapToGrid w:val="0"/>
          <w:color w:val="auto"/>
          <w:kern w:val="0"/>
          <w:szCs w:val="24"/>
          <w:highlight w:val="none"/>
        </w:rPr>
        <w:t>，人民币大写：</w:t>
      </w:r>
      <w:r>
        <w:rPr>
          <w:rFonts w:hint="default" w:ascii="Times New Roman" w:hAnsi="Times New Roman" w:cs="Times New Roman"/>
          <w:snapToGrid w:val="0"/>
          <w:color w:val="auto"/>
          <w:kern w:val="0"/>
          <w:szCs w:val="24"/>
          <w:highlight w:val="none"/>
          <w:u w:val="single"/>
        </w:rPr>
        <w:t xml:space="preserve">          </w:t>
      </w:r>
      <w:r>
        <w:rPr>
          <w:rFonts w:hint="default" w:ascii="Times New Roman" w:hAnsi="Times New Roman" w:cs="Times New Roman"/>
          <w:snapToGrid w:val="0"/>
          <w:color w:val="auto"/>
          <w:kern w:val="0"/>
          <w:szCs w:val="24"/>
          <w:highlight w:val="none"/>
        </w:rPr>
        <w:t>的参选总价（含税）承担和完成本项目</w:t>
      </w:r>
      <w:r>
        <w:rPr>
          <w:rFonts w:hint="eastAsia" w:ascii="Times New Roman" w:hAnsi="Times New Roman" w:cs="Times New Roman"/>
          <w:snapToGrid w:val="0"/>
          <w:color w:val="auto"/>
          <w:kern w:val="0"/>
          <w:szCs w:val="24"/>
          <w:highlight w:val="none"/>
          <w:lang w:eastAsia="zh-CN"/>
        </w:rPr>
        <w:t>。</w:t>
      </w:r>
    </w:p>
    <w:p w14:paraId="2EFFCCCE">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2、我方现提交的参选文件为：参选文件正本一份，副本一份，电子文件一份。</w:t>
      </w:r>
    </w:p>
    <w:p w14:paraId="10A02525">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3、如果我方参选文件被接受，我方将履行比选文件中规定的各项要求，按相关法律法规和合同约定条款承担我方的责任。</w:t>
      </w:r>
    </w:p>
    <w:p w14:paraId="53673E8E">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4、我方愿意提供比选文件中要求的所有资料，并对其真实性负责。</w:t>
      </w:r>
    </w:p>
    <w:p w14:paraId="70F0E0A1">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5、我方理解最低价格不是中选的唯一条件。</w:t>
      </w:r>
    </w:p>
    <w:p w14:paraId="1C53318F">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6、参选有效期为参选截止日期后90天内。</w:t>
      </w:r>
    </w:p>
    <w:p w14:paraId="12A0C4BC">
      <w:pPr>
        <w:tabs>
          <w:tab w:val="left" w:pos="6300"/>
        </w:tabs>
        <w:snapToGrid w:val="0"/>
        <w:spacing w:line="360" w:lineRule="auto"/>
        <w:ind w:right="-34" w:rightChars="-14"/>
        <w:rPr>
          <w:rFonts w:hint="eastAsia" w:ascii="Times New Roman" w:hAnsi="Times New Roman" w:eastAsia="宋体" w:cs="Times New Roman"/>
          <w:snapToGrid w:val="0"/>
          <w:color w:val="auto"/>
          <w:kern w:val="0"/>
          <w:szCs w:val="24"/>
          <w:highlight w:val="none"/>
          <w:lang w:val="en-US" w:eastAsia="zh-CN"/>
        </w:rPr>
      </w:pPr>
      <w:r>
        <w:rPr>
          <w:rFonts w:hint="default" w:ascii="Times New Roman" w:hAnsi="Times New Roman" w:cs="Times New Roman"/>
          <w:snapToGrid w:val="0"/>
          <w:color w:val="auto"/>
          <w:kern w:val="0"/>
          <w:szCs w:val="24"/>
          <w:highlight w:val="none"/>
        </w:rPr>
        <w:t>7、若我方中选，我方开具</w:t>
      </w:r>
      <w:r>
        <w:rPr>
          <w:rFonts w:hint="eastAsia" w:ascii="Times New Roman" w:hAnsi="Times New Roman" w:cs="Times New Roman"/>
          <w:snapToGrid w:val="0"/>
          <w:color w:val="auto"/>
          <w:kern w:val="0"/>
          <w:szCs w:val="24"/>
          <w:highlight w:val="none"/>
          <w:lang w:val="en-US" w:eastAsia="zh-CN"/>
        </w:rPr>
        <w:t>产品</w:t>
      </w:r>
      <w:r>
        <w:rPr>
          <w:rFonts w:hint="default" w:ascii="Times New Roman" w:hAnsi="Times New Roman" w:cs="Times New Roman"/>
          <w:snapToGrid w:val="0"/>
          <w:color w:val="auto"/>
          <w:kern w:val="0"/>
          <w:szCs w:val="24"/>
          <w:highlight w:val="none"/>
        </w:rPr>
        <w:t>税率为_</w:t>
      </w:r>
      <w:r>
        <w:rPr>
          <w:rFonts w:hint="eastAsia" w:ascii="Times New Roman" w:hAnsi="Times New Roman" w:cs="Times New Roman"/>
          <w:snapToGrid w:val="0"/>
          <w:color w:val="auto"/>
          <w:kern w:val="0"/>
          <w:szCs w:val="24"/>
          <w:highlight w:val="none"/>
          <w:lang w:val="en-US" w:eastAsia="zh-CN"/>
        </w:rPr>
        <w:t>13</w:t>
      </w:r>
      <w:r>
        <w:rPr>
          <w:rFonts w:hint="default" w:ascii="Times New Roman" w:hAnsi="Times New Roman" w:cs="Times New Roman"/>
          <w:snapToGrid w:val="0"/>
          <w:color w:val="auto"/>
          <w:kern w:val="0"/>
          <w:szCs w:val="24"/>
          <w:highlight w:val="none"/>
        </w:rPr>
        <w:t>_%的增值税专用发票</w:t>
      </w:r>
      <w:r>
        <w:rPr>
          <w:rFonts w:hint="eastAsia" w:ascii="Times New Roman" w:hAnsi="Times New Roman" w:cs="Times New Roman"/>
          <w:snapToGrid w:val="0"/>
          <w:color w:val="auto"/>
          <w:kern w:val="0"/>
          <w:szCs w:val="24"/>
          <w:highlight w:val="none"/>
          <w:lang w:val="en-US" w:eastAsia="zh-CN"/>
        </w:rPr>
        <w:t>和实施服务税率为</w:t>
      </w:r>
      <w:r>
        <w:rPr>
          <w:rFonts w:hint="default" w:ascii="Times New Roman" w:hAnsi="Times New Roman" w:cs="Times New Roman"/>
          <w:snapToGrid w:val="0"/>
          <w:color w:val="auto"/>
          <w:kern w:val="0"/>
          <w:szCs w:val="24"/>
          <w:highlight w:val="none"/>
        </w:rPr>
        <w:t>_</w:t>
      </w:r>
      <w:r>
        <w:rPr>
          <w:rFonts w:hint="eastAsia" w:ascii="Times New Roman" w:hAnsi="Times New Roman" w:cs="Times New Roman"/>
          <w:snapToGrid w:val="0"/>
          <w:color w:val="auto"/>
          <w:kern w:val="0"/>
          <w:szCs w:val="24"/>
          <w:highlight w:val="none"/>
          <w:lang w:val="en-US" w:eastAsia="zh-CN"/>
        </w:rPr>
        <w:t>6</w:t>
      </w:r>
      <w:r>
        <w:rPr>
          <w:rFonts w:hint="default" w:ascii="Times New Roman" w:hAnsi="Times New Roman" w:cs="Times New Roman"/>
          <w:snapToGrid w:val="0"/>
          <w:color w:val="auto"/>
          <w:kern w:val="0"/>
          <w:szCs w:val="24"/>
          <w:highlight w:val="none"/>
        </w:rPr>
        <w:t>_%的增值税专用发票</w:t>
      </w:r>
      <w:r>
        <w:rPr>
          <w:rFonts w:hint="eastAsia" w:ascii="Times New Roman" w:hAnsi="Times New Roman" w:cs="Times New Roman"/>
          <w:snapToGrid w:val="0"/>
          <w:color w:val="auto"/>
          <w:kern w:val="0"/>
          <w:szCs w:val="24"/>
          <w:highlight w:val="none"/>
          <w:lang w:eastAsia="zh-CN"/>
        </w:rPr>
        <w:t>。</w:t>
      </w:r>
    </w:p>
    <w:p w14:paraId="13E70F89">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p>
    <w:p w14:paraId="3ABB47EE">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参选人（公章）：</w:t>
      </w:r>
    </w:p>
    <w:p w14:paraId="139268ED">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 xml:space="preserve">地址：  </w:t>
      </w:r>
    </w:p>
    <w:p w14:paraId="11C91049">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电话：                           传真：</w:t>
      </w:r>
    </w:p>
    <w:p w14:paraId="1906515B">
      <w:pPr>
        <w:tabs>
          <w:tab w:val="left" w:pos="6300"/>
        </w:tabs>
        <w:snapToGrid w:val="0"/>
        <w:spacing w:line="360" w:lineRule="auto"/>
        <w:ind w:right="-34" w:rightChars="-14"/>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 xml:space="preserve">网址：                         </w:t>
      </w:r>
    </w:p>
    <w:p w14:paraId="0D6324E9">
      <w:pPr>
        <w:tabs>
          <w:tab w:val="left" w:pos="6300"/>
        </w:tabs>
        <w:snapToGrid w:val="0"/>
        <w:spacing w:line="360" w:lineRule="auto"/>
        <w:ind w:right="-34" w:rightChars="-14" w:firstLine="6540" w:firstLineChars="2725"/>
        <w:rPr>
          <w:rFonts w:hint="default" w:ascii="Times New Roman" w:hAnsi="Times New Roman" w:cs="Times New Roman"/>
          <w:snapToGrid w:val="0"/>
          <w:color w:val="auto"/>
          <w:kern w:val="0"/>
          <w:szCs w:val="24"/>
          <w:highlight w:val="none"/>
        </w:rPr>
      </w:pPr>
    </w:p>
    <w:p w14:paraId="720EDD34">
      <w:pPr>
        <w:tabs>
          <w:tab w:val="left" w:pos="6300"/>
        </w:tabs>
        <w:snapToGrid w:val="0"/>
        <w:spacing w:line="360" w:lineRule="auto"/>
        <w:ind w:right="-34" w:rightChars="-14" w:firstLine="5400" w:firstLineChars="2250"/>
        <w:rPr>
          <w:rFonts w:hint="default" w:ascii="Times New Roman" w:hAnsi="Times New Roman" w:cs="Times New Roman"/>
          <w:snapToGrid w:val="0"/>
          <w:color w:val="auto"/>
          <w:kern w:val="0"/>
          <w:szCs w:val="24"/>
          <w:highlight w:val="none"/>
        </w:rPr>
      </w:pPr>
      <w:r>
        <w:rPr>
          <w:rFonts w:hint="default" w:ascii="Times New Roman" w:hAnsi="Times New Roman" w:cs="Times New Roman"/>
          <w:snapToGrid w:val="0"/>
          <w:color w:val="auto"/>
          <w:kern w:val="0"/>
          <w:szCs w:val="24"/>
          <w:highlight w:val="none"/>
        </w:rPr>
        <w:t>年     月     日</w:t>
      </w:r>
    </w:p>
    <w:p w14:paraId="376F8A39">
      <w:pPr>
        <w:widowControl/>
        <w:spacing w:line="360" w:lineRule="auto"/>
        <w:jc w:val="left"/>
        <w:rPr>
          <w:rFonts w:hint="default" w:ascii="Times New Roman" w:hAnsi="Times New Roman" w:cs="Times New Roman"/>
          <w:snapToGrid w:val="0"/>
          <w:color w:val="auto"/>
          <w:kern w:val="0"/>
          <w:szCs w:val="24"/>
          <w:highlight w:val="none"/>
        </w:rPr>
      </w:pPr>
    </w:p>
    <w:p w14:paraId="025E72D4">
      <w:pPr>
        <w:tabs>
          <w:tab w:val="left" w:pos="6300"/>
        </w:tabs>
        <w:snapToGrid w:val="0"/>
        <w:spacing w:line="360" w:lineRule="auto"/>
        <w:rPr>
          <w:rFonts w:hint="default" w:ascii="Times New Roman" w:hAnsi="Times New Roman" w:cs="Times New Roman"/>
          <w:snapToGrid w:val="0"/>
          <w:color w:val="auto"/>
          <w:kern w:val="0"/>
          <w:szCs w:val="24"/>
          <w:highlight w:val="none"/>
        </w:rPr>
      </w:pPr>
    </w:p>
    <w:p w14:paraId="701907E3">
      <w:pPr>
        <w:widowControl/>
        <w:spacing w:line="360" w:lineRule="auto"/>
        <w:jc w:val="left"/>
        <w:rPr>
          <w:rFonts w:hint="default" w:ascii="Times New Roman" w:hAnsi="Times New Roman" w:cs="Times New Roman"/>
          <w:snapToGrid w:val="0"/>
          <w:color w:val="auto"/>
          <w:kern w:val="0"/>
          <w:szCs w:val="24"/>
          <w:highlight w:val="none"/>
        </w:rPr>
      </w:pPr>
    </w:p>
    <w:p w14:paraId="56FE9C49">
      <w:pPr>
        <w:widowControl/>
        <w:spacing w:line="360" w:lineRule="auto"/>
        <w:jc w:val="left"/>
        <w:rPr>
          <w:rFonts w:hint="default" w:ascii="Times New Roman" w:hAnsi="Times New Roman" w:cs="Times New Roman"/>
          <w:snapToGrid w:val="0"/>
          <w:color w:val="auto"/>
          <w:kern w:val="0"/>
          <w:szCs w:val="24"/>
          <w:highlight w:val="none"/>
        </w:rPr>
      </w:pPr>
    </w:p>
    <w:p w14:paraId="4501757A">
      <w:pPr>
        <w:widowControl/>
        <w:spacing w:line="360" w:lineRule="auto"/>
        <w:jc w:val="left"/>
        <w:rPr>
          <w:rFonts w:hint="default" w:ascii="Times New Roman" w:hAnsi="Times New Roman" w:cs="Times New Roman"/>
          <w:snapToGrid w:val="0"/>
          <w:color w:val="auto"/>
          <w:kern w:val="0"/>
          <w:szCs w:val="24"/>
          <w:highlight w:val="none"/>
        </w:rPr>
      </w:pPr>
    </w:p>
    <w:p w14:paraId="0AFFF337">
      <w:pPr>
        <w:widowControl/>
        <w:spacing w:line="360" w:lineRule="auto"/>
        <w:jc w:val="left"/>
        <w:rPr>
          <w:rFonts w:hint="default" w:ascii="Times New Roman" w:hAnsi="Times New Roman" w:cs="Times New Roman"/>
          <w:snapToGrid w:val="0"/>
          <w:color w:val="auto"/>
          <w:kern w:val="0"/>
          <w:szCs w:val="24"/>
          <w:highlight w:val="none"/>
        </w:rPr>
      </w:pPr>
    </w:p>
    <w:p w14:paraId="034786C7">
      <w:pPr>
        <w:snapToGrid w:val="0"/>
        <w:spacing w:line="360" w:lineRule="auto"/>
        <w:rPr>
          <w:rFonts w:hint="default" w:ascii="Times New Roman" w:hAnsi="Times New Roman" w:cs="Times New Roman"/>
          <w:snapToGrid w:val="0"/>
          <w:color w:val="auto"/>
          <w:kern w:val="0"/>
          <w:szCs w:val="24"/>
          <w:highlight w:val="none"/>
        </w:rPr>
      </w:pPr>
      <w:r>
        <w:rPr>
          <w:rFonts w:hint="default" w:ascii="Times New Roman" w:hAnsi="Times New Roman" w:cs="Times New Roman"/>
          <w:color w:val="auto"/>
          <w:kern w:val="0"/>
          <w:highlight w:val="none"/>
        </w:rPr>
        <w:br w:type="page"/>
      </w:r>
    </w:p>
    <w:p w14:paraId="57E02891">
      <w:pPr>
        <w:pStyle w:val="34"/>
        <w:numPr>
          <w:ilvl w:val="0"/>
          <w:numId w:val="45"/>
        </w:numP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报价清单</w:t>
      </w:r>
    </w:p>
    <w:p w14:paraId="5EF946C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2"/>
        <w:rPr>
          <w:rFonts w:hint="default" w:eastAsia="宋体"/>
          <w:color w:val="auto"/>
          <w:highlight w:val="none"/>
          <w:lang w:val="en-US" w:eastAsia="zh-CN"/>
        </w:rPr>
      </w:pPr>
      <w:r>
        <w:rPr>
          <w:rFonts w:hint="eastAsia" w:ascii="Times New Roman" w:hAnsi="Times New Roman" w:cs="Times New Roman"/>
          <w:color w:val="auto"/>
          <w:highlight w:val="none"/>
          <w:lang w:val="en-US" w:eastAsia="zh-CN"/>
        </w:rPr>
        <w:t>（一）分项报价汇总表</w:t>
      </w:r>
    </w:p>
    <w:tbl>
      <w:tblPr>
        <w:tblStyle w:val="23"/>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209"/>
        <w:gridCol w:w="1085"/>
        <w:gridCol w:w="1285"/>
        <w:gridCol w:w="3271"/>
      </w:tblGrid>
      <w:tr w14:paraId="3AE4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39" w:type="dxa"/>
            <w:gridSpan w:val="5"/>
            <w:vAlign w:val="center"/>
          </w:tcPr>
          <w:p w14:paraId="53B7C94F">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rPr>
            </w:pPr>
            <w:r>
              <w:rPr>
                <w:rFonts w:hint="default" w:ascii="Times New Roman" w:hAnsi="Times New Roman" w:eastAsia="宋体" w:cs="Times New Roman"/>
                <w:b w:val="0"/>
                <w:color w:val="auto"/>
                <w:spacing w:val="0"/>
                <w:sz w:val="21"/>
                <w:szCs w:val="21"/>
                <w:highlight w:val="none"/>
              </w:rPr>
              <w:t>项目</w:t>
            </w:r>
            <w:r>
              <w:rPr>
                <w:rFonts w:hint="default" w:ascii="Times New Roman" w:hAnsi="Times New Roman" w:cs="Times New Roman"/>
                <w:b w:val="0"/>
                <w:color w:val="auto"/>
                <w:spacing w:val="0"/>
                <w:sz w:val="21"/>
                <w:szCs w:val="21"/>
                <w:highlight w:val="none"/>
                <w:lang w:val="en-US" w:eastAsia="zh-CN"/>
              </w:rPr>
              <w:t>名称</w:t>
            </w:r>
            <w:r>
              <w:rPr>
                <w:rFonts w:hint="default" w:ascii="Times New Roman" w:hAnsi="Times New Roman" w:cs="Times New Roman"/>
                <w:b w:val="0"/>
                <w:color w:val="auto"/>
                <w:spacing w:val="0"/>
                <w:sz w:val="21"/>
                <w:szCs w:val="21"/>
                <w:highlight w:val="none"/>
                <w:lang w:eastAsia="zh-CN"/>
              </w:rPr>
              <w:t>：</w:t>
            </w:r>
            <w:r>
              <w:rPr>
                <w:rFonts w:hint="eastAsia" w:ascii="Times New Roman" w:hAnsi="Times New Roman" w:cs="Times New Roman"/>
                <w:b w:val="0"/>
                <w:color w:val="auto"/>
                <w:spacing w:val="0"/>
                <w:sz w:val="21"/>
                <w:szCs w:val="21"/>
                <w:highlight w:val="none"/>
                <w:lang w:val="en-US" w:eastAsia="zh-CN"/>
              </w:rPr>
              <w:t>新一代数据中台项目（一期）</w:t>
            </w:r>
          </w:p>
        </w:tc>
      </w:tr>
      <w:tr w14:paraId="7880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89" w:type="dxa"/>
            <w:vMerge w:val="restart"/>
            <w:vAlign w:val="center"/>
          </w:tcPr>
          <w:p w14:paraId="1F650047">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含税</w:t>
            </w:r>
            <w:r>
              <w:rPr>
                <w:rFonts w:hint="default" w:ascii="Times New Roman" w:hAnsi="Times New Roman" w:cs="Times New Roman"/>
                <w:b w:val="0"/>
                <w:color w:val="auto"/>
                <w:spacing w:val="0"/>
                <w:sz w:val="21"/>
                <w:szCs w:val="21"/>
                <w:highlight w:val="none"/>
                <w:lang w:val="en-US" w:eastAsia="zh-CN"/>
              </w:rPr>
              <w:t>参选分项</w:t>
            </w:r>
            <w:r>
              <w:rPr>
                <w:rFonts w:hint="default" w:ascii="Times New Roman" w:hAnsi="Times New Roman" w:eastAsia="宋体" w:cs="Times New Roman"/>
                <w:b w:val="0"/>
                <w:color w:val="auto"/>
                <w:spacing w:val="0"/>
                <w:sz w:val="21"/>
                <w:szCs w:val="21"/>
                <w:highlight w:val="none"/>
              </w:rPr>
              <w:t>报价</w:t>
            </w:r>
          </w:p>
        </w:tc>
        <w:tc>
          <w:tcPr>
            <w:tcW w:w="2209" w:type="dxa"/>
            <w:vMerge w:val="restart"/>
            <w:vAlign w:val="center"/>
          </w:tcPr>
          <w:p w14:paraId="19625904">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湖仓一体底座</w:t>
            </w:r>
          </w:p>
        </w:tc>
        <w:tc>
          <w:tcPr>
            <w:tcW w:w="1085" w:type="dxa"/>
            <w:vMerge w:val="restart"/>
            <w:vAlign w:val="center"/>
          </w:tcPr>
          <w:p w14:paraId="327ADB18">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测试网段</w:t>
            </w:r>
          </w:p>
        </w:tc>
        <w:tc>
          <w:tcPr>
            <w:tcW w:w="1285" w:type="dxa"/>
            <w:vAlign w:val="center"/>
          </w:tcPr>
          <w:p w14:paraId="68B18290">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单价</w:t>
            </w:r>
          </w:p>
        </w:tc>
        <w:tc>
          <w:tcPr>
            <w:tcW w:w="3271" w:type="dxa"/>
            <w:vAlign w:val="center"/>
          </w:tcPr>
          <w:p w14:paraId="215B8208">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33CF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89" w:type="dxa"/>
            <w:vMerge w:val="continue"/>
            <w:vAlign w:val="center"/>
          </w:tcPr>
          <w:p w14:paraId="667D2822">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3FBDCFA5">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p>
        </w:tc>
        <w:tc>
          <w:tcPr>
            <w:tcW w:w="1085" w:type="dxa"/>
            <w:vMerge w:val="continue"/>
            <w:vAlign w:val="center"/>
          </w:tcPr>
          <w:p w14:paraId="0C82C04B">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p>
        </w:tc>
        <w:tc>
          <w:tcPr>
            <w:tcW w:w="1285" w:type="dxa"/>
            <w:vAlign w:val="center"/>
          </w:tcPr>
          <w:p w14:paraId="0DACD4B3">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数量</w:t>
            </w:r>
          </w:p>
        </w:tc>
        <w:tc>
          <w:tcPr>
            <w:tcW w:w="3271" w:type="dxa"/>
            <w:vAlign w:val="center"/>
          </w:tcPr>
          <w:p w14:paraId="49F77831">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eastAsia="宋体" w:cs="Times New Roman"/>
                <w:b w:val="0"/>
                <w:color w:val="auto"/>
                <w:spacing w:val="0"/>
                <w:sz w:val="21"/>
                <w:szCs w:val="21"/>
                <w:highlight w:val="none"/>
                <w:lang w:val="en-US" w:eastAsia="zh-CN"/>
              </w:rPr>
              <w:t>个</w:t>
            </w:r>
            <w:r>
              <w:rPr>
                <w:rFonts w:hint="eastAsia" w:ascii="Times New Roman" w:hAnsi="Times New Roman" w:cs="Times New Roman"/>
                <w:b w:val="0"/>
                <w:color w:val="auto"/>
                <w:spacing w:val="0"/>
                <w:sz w:val="21"/>
                <w:szCs w:val="21"/>
                <w:highlight w:val="none"/>
                <w:lang w:val="en-US" w:eastAsia="zh-CN"/>
              </w:rPr>
              <w:t>（不得少于最低要求）</w:t>
            </w:r>
          </w:p>
        </w:tc>
      </w:tr>
      <w:tr w14:paraId="2A14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9" w:type="dxa"/>
            <w:vMerge w:val="continue"/>
            <w:vAlign w:val="center"/>
          </w:tcPr>
          <w:p w14:paraId="6639E9CD">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7C27EE8C">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p>
        </w:tc>
        <w:tc>
          <w:tcPr>
            <w:tcW w:w="1085" w:type="dxa"/>
            <w:vMerge w:val="restart"/>
            <w:vAlign w:val="center"/>
          </w:tcPr>
          <w:p w14:paraId="50429DA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生产网段</w:t>
            </w:r>
          </w:p>
        </w:tc>
        <w:tc>
          <w:tcPr>
            <w:tcW w:w="1285" w:type="dxa"/>
            <w:vAlign w:val="center"/>
          </w:tcPr>
          <w:p w14:paraId="73A7EF7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单价</w:t>
            </w:r>
          </w:p>
        </w:tc>
        <w:tc>
          <w:tcPr>
            <w:tcW w:w="3271" w:type="dxa"/>
            <w:vAlign w:val="center"/>
          </w:tcPr>
          <w:p w14:paraId="67780D1A">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173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89" w:type="dxa"/>
            <w:vMerge w:val="continue"/>
            <w:vAlign w:val="center"/>
          </w:tcPr>
          <w:p w14:paraId="61691B00">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4D7171F8">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p>
        </w:tc>
        <w:tc>
          <w:tcPr>
            <w:tcW w:w="1085" w:type="dxa"/>
            <w:vMerge w:val="continue"/>
            <w:vAlign w:val="center"/>
          </w:tcPr>
          <w:p w14:paraId="7A29BC25">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b w:val="0"/>
                <w:color w:val="auto"/>
                <w:spacing w:val="0"/>
                <w:sz w:val="21"/>
                <w:szCs w:val="21"/>
                <w:highlight w:val="none"/>
                <w:lang w:val="en-US" w:eastAsia="zh-CN"/>
              </w:rPr>
            </w:pPr>
          </w:p>
        </w:tc>
        <w:tc>
          <w:tcPr>
            <w:tcW w:w="1285" w:type="dxa"/>
            <w:vAlign w:val="center"/>
          </w:tcPr>
          <w:p w14:paraId="5BD80C3F">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数量</w:t>
            </w:r>
          </w:p>
        </w:tc>
        <w:tc>
          <w:tcPr>
            <w:tcW w:w="3271" w:type="dxa"/>
            <w:vAlign w:val="center"/>
          </w:tcPr>
          <w:p w14:paraId="072E6BA6">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eastAsia="宋体" w:cs="Times New Roman"/>
                <w:b w:val="0"/>
                <w:color w:val="auto"/>
                <w:spacing w:val="0"/>
                <w:sz w:val="21"/>
                <w:szCs w:val="21"/>
                <w:highlight w:val="none"/>
                <w:lang w:val="en-US" w:eastAsia="zh-CN"/>
              </w:rPr>
              <w:t>个</w:t>
            </w:r>
            <w:r>
              <w:rPr>
                <w:rFonts w:hint="eastAsia" w:ascii="Times New Roman" w:hAnsi="Times New Roman" w:cs="Times New Roman"/>
                <w:b w:val="0"/>
                <w:color w:val="auto"/>
                <w:spacing w:val="0"/>
                <w:sz w:val="21"/>
                <w:szCs w:val="21"/>
                <w:highlight w:val="none"/>
                <w:lang w:val="en-US" w:eastAsia="zh-CN"/>
              </w:rPr>
              <w:t>（不得少于最低要求）</w:t>
            </w:r>
          </w:p>
        </w:tc>
      </w:tr>
      <w:tr w14:paraId="5B4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89" w:type="dxa"/>
            <w:vMerge w:val="continue"/>
            <w:vAlign w:val="center"/>
          </w:tcPr>
          <w:p w14:paraId="5060C943">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43878B2E">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55E319E6">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数量计量单位（单选）</w:t>
            </w:r>
          </w:p>
        </w:tc>
        <w:tc>
          <w:tcPr>
            <w:tcW w:w="3271" w:type="dxa"/>
            <w:vAlign w:val="center"/>
          </w:tcPr>
          <w:p w14:paraId="555A2A15">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sym w:font="Wingdings 2" w:char="00A3"/>
            </w:r>
            <w:r>
              <w:rPr>
                <w:rFonts w:hint="eastAsia" w:ascii="Times New Roman" w:hAnsi="Times New Roman" w:cs="Times New Roman"/>
                <w:b w:val="0"/>
                <w:color w:val="auto"/>
                <w:spacing w:val="0"/>
                <w:sz w:val="21"/>
                <w:szCs w:val="21"/>
                <w:highlight w:val="none"/>
                <w:lang w:val="en-US" w:eastAsia="zh-CN"/>
              </w:rPr>
              <w:t xml:space="preserve">节点    </w:t>
            </w:r>
            <w:r>
              <w:rPr>
                <w:rFonts w:hint="eastAsia" w:ascii="Times New Roman" w:hAnsi="Times New Roman" w:cs="Times New Roman"/>
                <w:b w:val="0"/>
                <w:color w:val="auto"/>
                <w:spacing w:val="0"/>
                <w:sz w:val="21"/>
                <w:szCs w:val="21"/>
                <w:highlight w:val="none"/>
                <w:lang w:val="en-US" w:eastAsia="zh-CN"/>
              </w:rPr>
              <w:sym w:font="Wingdings 2" w:char="00A3"/>
            </w:r>
            <w:r>
              <w:rPr>
                <w:rFonts w:hint="eastAsia" w:ascii="Times New Roman" w:hAnsi="Times New Roman" w:cs="Times New Roman"/>
                <w:b w:val="0"/>
                <w:color w:val="auto"/>
                <w:spacing w:val="0"/>
                <w:sz w:val="21"/>
                <w:szCs w:val="21"/>
                <w:highlight w:val="none"/>
                <w:lang w:val="en-US" w:eastAsia="zh-CN"/>
              </w:rPr>
              <w:t>VCpu</w:t>
            </w:r>
          </w:p>
        </w:tc>
      </w:tr>
      <w:tr w14:paraId="1E1D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89" w:type="dxa"/>
            <w:vMerge w:val="continue"/>
            <w:vAlign w:val="center"/>
          </w:tcPr>
          <w:p w14:paraId="6C8E0133">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4709D75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1D831B20">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b w:val="0"/>
                <w:color w:val="auto"/>
                <w:spacing w:val="0"/>
                <w:kern w:val="2"/>
                <w:sz w:val="21"/>
                <w:szCs w:val="21"/>
                <w:highlight w:val="none"/>
                <w:lang w:val="en-US" w:eastAsia="zh-CN" w:bidi="ar-SA"/>
              </w:rPr>
            </w:pPr>
            <w:r>
              <w:rPr>
                <w:rFonts w:hint="eastAsia" w:ascii="Times New Roman" w:hAnsi="Times New Roman" w:cs="Times New Roman"/>
                <w:b w:val="0"/>
                <w:color w:val="auto"/>
                <w:spacing w:val="0"/>
                <w:sz w:val="21"/>
                <w:szCs w:val="21"/>
                <w:highlight w:val="none"/>
                <w:lang w:val="en-US" w:eastAsia="zh-CN"/>
              </w:rPr>
              <w:t>本产品整体价格</w:t>
            </w:r>
          </w:p>
        </w:tc>
        <w:tc>
          <w:tcPr>
            <w:tcW w:w="3271" w:type="dxa"/>
            <w:vAlign w:val="center"/>
          </w:tcPr>
          <w:p w14:paraId="00E16CFC">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6DD3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89" w:type="dxa"/>
            <w:vMerge w:val="continue"/>
            <w:vAlign w:val="center"/>
          </w:tcPr>
          <w:p w14:paraId="72F4715E">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31B673C9">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72DEE996">
            <w:pPr>
              <w:pStyle w:val="44"/>
              <w:keepNext w:val="0"/>
              <w:keepLines w:val="0"/>
              <w:pageBreakBefore w:val="0"/>
              <w:widowControl w:val="0"/>
              <w:tabs>
                <w:tab w:val="clear" w:pos="1200"/>
              </w:tabs>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免费维保期</w:t>
            </w:r>
          </w:p>
        </w:tc>
        <w:tc>
          <w:tcPr>
            <w:tcW w:w="3271" w:type="dxa"/>
            <w:vAlign w:val="center"/>
          </w:tcPr>
          <w:p w14:paraId="5E1FAB13">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cs="Times New Roman"/>
                <w:b w:val="0"/>
                <w:color w:val="auto"/>
                <w:spacing w:val="0"/>
                <w:sz w:val="21"/>
                <w:szCs w:val="21"/>
                <w:highlight w:val="none"/>
                <w:lang w:val="en-US" w:eastAsia="zh-CN"/>
              </w:rPr>
              <w:t>年（不低于3年）</w:t>
            </w:r>
          </w:p>
        </w:tc>
      </w:tr>
      <w:tr w14:paraId="623D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89" w:type="dxa"/>
            <w:vMerge w:val="continue"/>
            <w:vAlign w:val="center"/>
          </w:tcPr>
          <w:p w14:paraId="3AA1F35D">
            <w:pPr>
              <w:pStyle w:val="44"/>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66F9F478">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378B33AC">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免费维保期后维保费用</w:t>
            </w:r>
          </w:p>
        </w:tc>
        <w:tc>
          <w:tcPr>
            <w:tcW w:w="3271" w:type="dxa"/>
            <w:vAlign w:val="center"/>
          </w:tcPr>
          <w:p w14:paraId="5057A41B">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本产品整体价格的</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cs="Times New Roman"/>
                <w:b w:val="0"/>
                <w:color w:val="auto"/>
                <w:spacing w:val="0"/>
                <w:sz w:val="21"/>
                <w:szCs w:val="21"/>
                <w:highlight w:val="none"/>
                <w:lang w:val="en-US" w:eastAsia="zh-CN"/>
              </w:rPr>
              <w:t>%</w:t>
            </w:r>
          </w:p>
        </w:tc>
      </w:tr>
      <w:tr w14:paraId="361C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89" w:type="dxa"/>
            <w:vMerge w:val="continue"/>
            <w:vAlign w:val="center"/>
          </w:tcPr>
          <w:p w14:paraId="58BA263B">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p>
        </w:tc>
        <w:tc>
          <w:tcPr>
            <w:tcW w:w="2209" w:type="dxa"/>
            <w:vMerge w:val="restart"/>
            <w:vAlign w:val="center"/>
          </w:tcPr>
          <w:p w14:paraId="33A126F6">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val="0"/>
                <w:color w:val="auto"/>
                <w:spacing w:val="0"/>
                <w:sz w:val="21"/>
                <w:szCs w:val="21"/>
                <w:highlight w:val="none"/>
                <w:lang w:val="en-US" w:eastAsia="zh-CN"/>
              </w:rPr>
            </w:pPr>
            <w:r>
              <w:rPr>
                <w:rFonts w:hint="default" w:ascii="Times New Roman" w:hAnsi="Times New Roman" w:cs="Times New Roman"/>
                <w:b w:val="0"/>
                <w:color w:val="auto"/>
                <w:spacing w:val="0"/>
                <w:sz w:val="21"/>
                <w:szCs w:val="21"/>
                <w:highlight w:val="none"/>
                <w:lang w:val="en-US" w:eastAsia="zh-CN"/>
              </w:rPr>
              <w:t>数据作业平台</w:t>
            </w:r>
          </w:p>
        </w:tc>
        <w:tc>
          <w:tcPr>
            <w:tcW w:w="2370" w:type="dxa"/>
            <w:gridSpan w:val="2"/>
            <w:vAlign w:val="center"/>
          </w:tcPr>
          <w:p w14:paraId="13C3E2A8">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rPr>
            </w:pPr>
            <w:r>
              <w:rPr>
                <w:rFonts w:hint="eastAsia" w:ascii="Times New Roman" w:hAnsi="Times New Roman" w:cs="Times New Roman"/>
                <w:b w:val="0"/>
                <w:color w:val="auto"/>
                <w:spacing w:val="0"/>
                <w:sz w:val="21"/>
                <w:szCs w:val="21"/>
                <w:highlight w:val="none"/>
                <w:lang w:val="en-US" w:eastAsia="zh-CN"/>
              </w:rPr>
              <w:t>本产品整体价格</w:t>
            </w:r>
          </w:p>
        </w:tc>
        <w:tc>
          <w:tcPr>
            <w:tcW w:w="3271" w:type="dxa"/>
            <w:vAlign w:val="center"/>
          </w:tcPr>
          <w:p w14:paraId="7B9D2CDF">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6906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89" w:type="dxa"/>
            <w:vMerge w:val="continue"/>
            <w:vAlign w:val="center"/>
          </w:tcPr>
          <w:p w14:paraId="62BE910A">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5585F8D3">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120D5536">
            <w:pPr>
              <w:pStyle w:val="44"/>
              <w:keepNext w:val="0"/>
              <w:keepLines w:val="0"/>
              <w:pageBreakBefore w:val="0"/>
              <w:widowControl w:val="0"/>
              <w:tabs>
                <w:tab w:val="clear" w:pos="1200"/>
              </w:tabs>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eastAsia="宋体" w:cs="Times New Roman"/>
                <w:b w:val="0"/>
                <w:color w:val="auto"/>
                <w:spacing w:val="0"/>
                <w:kern w:val="2"/>
                <w:sz w:val="21"/>
                <w:szCs w:val="21"/>
                <w:highlight w:val="none"/>
                <w:lang w:val="en-US" w:eastAsia="zh-CN" w:bidi="ar-SA"/>
              </w:rPr>
            </w:pPr>
            <w:r>
              <w:rPr>
                <w:rFonts w:hint="eastAsia" w:ascii="Times New Roman" w:hAnsi="Times New Roman" w:cs="Times New Roman"/>
                <w:b w:val="0"/>
                <w:color w:val="auto"/>
                <w:spacing w:val="0"/>
                <w:sz w:val="21"/>
                <w:szCs w:val="21"/>
                <w:highlight w:val="none"/>
                <w:lang w:val="en-US" w:eastAsia="zh-CN"/>
              </w:rPr>
              <w:t>免费维保期</w:t>
            </w:r>
          </w:p>
        </w:tc>
        <w:tc>
          <w:tcPr>
            <w:tcW w:w="3271" w:type="dxa"/>
            <w:vAlign w:val="center"/>
          </w:tcPr>
          <w:p w14:paraId="48C91202">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cs="Times New Roman"/>
                <w:b w:val="0"/>
                <w:color w:val="auto"/>
                <w:spacing w:val="0"/>
                <w:sz w:val="21"/>
                <w:szCs w:val="21"/>
                <w:highlight w:val="none"/>
                <w:lang w:val="en-US" w:eastAsia="zh-CN"/>
              </w:rPr>
              <w:t>年（不低于3年）</w:t>
            </w:r>
          </w:p>
        </w:tc>
      </w:tr>
      <w:tr w14:paraId="1A5C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89" w:type="dxa"/>
            <w:vMerge w:val="continue"/>
            <w:vAlign w:val="center"/>
          </w:tcPr>
          <w:p w14:paraId="700D5FB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p>
        </w:tc>
        <w:tc>
          <w:tcPr>
            <w:tcW w:w="2209" w:type="dxa"/>
            <w:vMerge w:val="continue"/>
            <w:vAlign w:val="center"/>
          </w:tcPr>
          <w:p w14:paraId="00BB7B4D">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b w:val="0"/>
                <w:color w:val="auto"/>
                <w:spacing w:val="0"/>
                <w:sz w:val="21"/>
                <w:szCs w:val="21"/>
                <w:highlight w:val="none"/>
                <w:lang w:val="en-US" w:eastAsia="zh-CN"/>
              </w:rPr>
            </w:pPr>
          </w:p>
        </w:tc>
        <w:tc>
          <w:tcPr>
            <w:tcW w:w="2370" w:type="dxa"/>
            <w:gridSpan w:val="2"/>
            <w:vAlign w:val="center"/>
          </w:tcPr>
          <w:p w14:paraId="76051526">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免费维保期后维保费用</w:t>
            </w:r>
          </w:p>
        </w:tc>
        <w:tc>
          <w:tcPr>
            <w:tcW w:w="3271" w:type="dxa"/>
            <w:vAlign w:val="center"/>
          </w:tcPr>
          <w:p w14:paraId="6F6CC67E">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本产品整体价格的</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eastAsia" w:ascii="Times New Roman" w:hAnsi="Times New Roman" w:cs="Times New Roman"/>
                <w:b w:val="0"/>
                <w:color w:val="auto"/>
                <w:spacing w:val="0"/>
                <w:sz w:val="21"/>
                <w:szCs w:val="21"/>
                <w:highlight w:val="none"/>
                <w:lang w:val="en-US" w:eastAsia="zh-CN"/>
              </w:rPr>
              <w:t>%</w:t>
            </w:r>
          </w:p>
        </w:tc>
      </w:tr>
      <w:tr w14:paraId="16C9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89" w:type="dxa"/>
            <w:vMerge w:val="continue"/>
            <w:vAlign w:val="center"/>
          </w:tcPr>
          <w:p w14:paraId="09B985C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p>
        </w:tc>
        <w:tc>
          <w:tcPr>
            <w:tcW w:w="2209" w:type="dxa"/>
            <w:vAlign w:val="center"/>
          </w:tcPr>
          <w:p w14:paraId="1DEA56ED">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数据中台</w:t>
            </w:r>
            <w:r>
              <w:rPr>
                <w:rFonts w:hint="default" w:ascii="Times New Roman" w:hAnsi="Times New Roman" w:cs="Times New Roman"/>
                <w:b w:val="0"/>
                <w:color w:val="auto"/>
                <w:spacing w:val="0"/>
                <w:sz w:val="21"/>
                <w:szCs w:val="21"/>
                <w:highlight w:val="none"/>
                <w:lang w:val="en-US" w:eastAsia="zh-CN"/>
              </w:rPr>
              <w:t>实施和迁移</w:t>
            </w:r>
          </w:p>
        </w:tc>
        <w:tc>
          <w:tcPr>
            <w:tcW w:w="5641" w:type="dxa"/>
            <w:gridSpan w:val="3"/>
            <w:vAlign w:val="center"/>
          </w:tcPr>
          <w:p w14:paraId="1AD26B40">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0198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298" w:type="dxa"/>
            <w:gridSpan w:val="2"/>
            <w:vAlign w:val="center"/>
          </w:tcPr>
          <w:p w14:paraId="7EE817B9">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不</w:t>
            </w:r>
            <w:r>
              <w:rPr>
                <w:rFonts w:hint="default" w:ascii="Times New Roman" w:hAnsi="Times New Roman" w:eastAsia="宋体" w:cs="Times New Roman"/>
                <w:b w:val="0"/>
                <w:color w:val="auto"/>
                <w:spacing w:val="0"/>
                <w:sz w:val="21"/>
                <w:szCs w:val="21"/>
                <w:highlight w:val="none"/>
              </w:rPr>
              <w:t>含税</w:t>
            </w:r>
            <w:r>
              <w:rPr>
                <w:rFonts w:hint="default" w:ascii="Times New Roman" w:hAnsi="Times New Roman" w:eastAsia="宋体" w:cs="Times New Roman"/>
                <w:b w:val="0"/>
                <w:color w:val="auto"/>
                <w:spacing w:val="0"/>
                <w:sz w:val="21"/>
                <w:szCs w:val="21"/>
                <w:highlight w:val="none"/>
                <w:lang w:val="en-US" w:eastAsia="zh-CN"/>
              </w:rPr>
              <w:t>参选报价</w:t>
            </w:r>
            <w:r>
              <w:rPr>
                <w:rFonts w:hint="default" w:ascii="Times New Roman" w:hAnsi="Times New Roman" w:cs="Times New Roman"/>
                <w:b w:val="0"/>
                <w:color w:val="auto"/>
                <w:spacing w:val="0"/>
                <w:sz w:val="21"/>
                <w:szCs w:val="21"/>
                <w:highlight w:val="none"/>
                <w:lang w:val="en-US" w:eastAsia="zh-CN"/>
              </w:rPr>
              <w:t>合计</w:t>
            </w:r>
          </w:p>
        </w:tc>
        <w:tc>
          <w:tcPr>
            <w:tcW w:w="5641" w:type="dxa"/>
            <w:gridSpan w:val="3"/>
            <w:vAlign w:val="center"/>
          </w:tcPr>
          <w:p w14:paraId="4BDB7F67">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3A7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298" w:type="dxa"/>
            <w:gridSpan w:val="2"/>
            <w:vAlign w:val="center"/>
          </w:tcPr>
          <w:p w14:paraId="6FF167B9">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lang w:val="en-US" w:eastAsia="zh-CN"/>
              </w:rPr>
            </w:pPr>
            <w:r>
              <w:rPr>
                <w:rFonts w:hint="eastAsia" w:ascii="Times New Roman" w:hAnsi="Times New Roman" w:cs="Times New Roman"/>
                <w:b w:val="0"/>
                <w:color w:val="auto"/>
                <w:spacing w:val="0"/>
                <w:sz w:val="21"/>
                <w:szCs w:val="21"/>
                <w:highlight w:val="none"/>
                <w:lang w:val="en-US" w:eastAsia="zh-CN"/>
              </w:rPr>
              <w:t>含税参选报价合计</w:t>
            </w:r>
          </w:p>
        </w:tc>
        <w:tc>
          <w:tcPr>
            <w:tcW w:w="5641" w:type="dxa"/>
            <w:gridSpan w:val="3"/>
            <w:vAlign w:val="center"/>
          </w:tcPr>
          <w:p w14:paraId="53AF20BC">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sz w:val="21"/>
                <w:szCs w:val="21"/>
                <w:highlight w:val="none"/>
                <w:lang w:val="en-US" w:eastAsia="zh-CN"/>
              </w:rPr>
              <w:t>人民币：</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元（大写：</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lang w:val="en-US" w:eastAsia="zh-CN"/>
              </w:rPr>
              <w:t>）</w:t>
            </w:r>
          </w:p>
        </w:tc>
      </w:tr>
      <w:tr w14:paraId="7C39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98" w:type="dxa"/>
            <w:gridSpan w:val="2"/>
            <w:vAlign w:val="center"/>
          </w:tcPr>
          <w:p w14:paraId="76A98459">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增值税专用发票税率</w:t>
            </w:r>
          </w:p>
        </w:tc>
        <w:tc>
          <w:tcPr>
            <w:tcW w:w="5641" w:type="dxa"/>
            <w:gridSpan w:val="3"/>
            <w:vAlign w:val="center"/>
          </w:tcPr>
          <w:p w14:paraId="4951EA8D">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产品增值税专用发票税率：</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13</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rPr>
              <w:t>%</w:t>
            </w:r>
          </w:p>
          <w:p w14:paraId="6E04590A">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实施服务增值税专用发票税率：</w:t>
            </w:r>
            <w:r>
              <w:rPr>
                <w:rFonts w:hint="default"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6</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hint="default" w:ascii="Times New Roman" w:hAnsi="Times New Roman" w:eastAsia="宋体" w:cs="Times New Roman"/>
                <w:b w:val="0"/>
                <w:color w:val="auto"/>
                <w:spacing w:val="0"/>
                <w:sz w:val="21"/>
                <w:szCs w:val="21"/>
                <w:highlight w:val="none"/>
              </w:rPr>
              <w:t>%</w:t>
            </w:r>
          </w:p>
        </w:tc>
      </w:tr>
      <w:tr w14:paraId="589C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298" w:type="dxa"/>
            <w:gridSpan w:val="2"/>
            <w:vAlign w:val="center"/>
          </w:tcPr>
          <w:p w14:paraId="7D1BBFEE">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备注</w:t>
            </w:r>
          </w:p>
        </w:tc>
        <w:tc>
          <w:tcPr>
            <w:tcW w:w="5641" w:type="dxa"/>
            <w:gridSpan w:val="3"/>
          </w:tcPr>
          <w:p w14:paraId="2E1AB3FC">
            <w:pPr>
              <w:pStyle w:val="44"/>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default" w:ascii="Times New Roman" w:hAnsi="Times New Roman" w:eastAsia="宋体" w:cs="Times New Roman"/>
                <w:b w:val="0"/>
                <w:color w:val="auto"/>
                <w:spacing w:val="0"/>
                <w:sz w:val="21"/>
                <w:szCs w:val="21"/>
                <w:highlight w:val="none"/>
                <w:lang w:val="en-US" w:eastAsia="zh-CN"/>
              </w:rPr>
            </w:pPr>
          </w:p>
        </w:tc>
      </w:tr>
      <w:tr w14:paraId="7E3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39" w:type="dxa"/>
            <w:gridSpan w:val="5"/>
          </w:tcPr>
          <w:p w14:paraId="1D95310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人全称（盖章）：</w:t>
            </w:r>
          </w:p>
          <w:p w14:paraId="7A3B02B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法定代表人或其委托代理人（签字或盖章）：</w:t>
            </w:r>
          </w:p>
          <w:p w14:paraId="0F3F29B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lang w:eastAsia="zh-CN"/>
              </w:rPr>
              <w:t>日期：</w:t>
            </w:r>
          </w:p>
        </w:tc>
      </w:tr>
    </w:tbl>
    <w:p w14:paraId="6B668CF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注：</w:t>
      </w:r>
    </w:p>
    <w:p w14:paraId="51EC619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报价为完成本项目所需的一切费用</w:t>
      </w:r>
      <w:r>
        <w:rPr>
          <w:rFonts w:hint="eastAsia" w:ascii="Times New Roman" w:hAnsi="Times New Roman" w:cs="Times New Roman"/>
          <w:color w:val="auto"/>
          <w:sz w:val="21"/>
          <w:szCs w:val="21"/>
          <w:highlight w:val="none"/>
          <w:lang w:eastAsia="zh-CN"/>
        </w:rPr>
        <w:t>；</w:t>
      </w:r>
    </w:p>
    <w:p w14:paraId="6BC84F4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分项</w:t>
      </w:r>
      <w:r>
        <w:rPr>
          <w:rFonts w:hint="eastAsia" w:ascii="Times New Roman" w:hAnsi="Times New Roman" w:cs="Times New Roman"/>
          <w:color w:val="auto"/>
          <w:sz w:val="21"/>
          <w:szCs w:val="21"/>
          <w:highlight w:val="none"/>
          <w:lang w:val="en-US" w:eastAsia="zh-CN"/>
        </w:rPr>
        <w:t>报价</w:t>
      </w:r>
      <w:r>
        <w:rPr>
          <w:rFonts w:hint="default" w:ascii="Times New Roman" w:hAnsi="Times New Roman" w:cs="Times New Roman"/>
          <w:color w:val="auto"/>
          <w:sz w:val="21"/>
          <w:szCs w:val="21"/>
          <w:highlight w:val="none"/>
          <w:lang w:val="en-US" w:eastAsia="zh-CN"/>
        </w:rPr>
        <w:t>汇总表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为多页的，每页均须加盖</w:t>
      </w:r>
      <w:r>
        <w:rPr>
          <w:rFonts w:hint="eastAsia" w:ascii="Times New Roman" w:hAnsi="Times New Roman" w:cs="Times New Roman"/>
          <w:color w:val="auto"/>
          <w:sz w:val="21"/>
          <w:szCs w:val="21"/>
          <w:highlight w:val="none"/>
          <w:lang w:val="en-US" w:eastAsia="zh-CN"/>
        </w:rPr>
        <w:t>参选人</w:t>
      </w:r>
      <w:r>
        <w:rPr>
          <w:rFonts w:hint="default" w:ascii="Times New Roman" w:hAnsi="Times New Roman" w:eastAsia="宋体" w:cs="Times New Roman"/>
          <w:color w:val="auto"/>
          <w:sz w:val="21"/>
          <w:szCs w:val="21"/>
          <w:highlight w:val="none"/>
          <w:lang w:eastAsia="zh-CN"/>
        </w:rPr>
        <w:t>公章</w:t>
      </w:r>
      <w:r>
        <w:rPr>
          <w:rFonts w:hint="eastAsia" w:ascii="Times New Roman" w:hAnsi="Times New Roman" w:cs="Times New Roman"/>
          <w:color w:val="auto"/>
          <w:sz w:val="21"/>
          <w:szCs w:val="21"/>
          <w:highlight w:val="none"/>
          <w:lang w:eastAsia="zh-CN"/>
        </w:rPr>
        <w:t>；</w:t>
      </w:r>
    </w:p>
    <w:p w14:paraId="0DDD284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3）含税参选</w:t>
      </w:r>
      <w:r>
        <w:rPr>
          <w:rFonts w:hint="default" w:ascii="Times New Roman" w:hAnsi="Times New Roman" w:eastAsia="宋体" w:cs="Times New Roman"/>
          <w:color w:val="auto"/>
          <w:sz w:val="21"/>
          <w:szCs w:val="21"/>
          <w:highlight w:val="none"/>
          <w:lang w:eastAsia="zh-CN"/>
        </w:rPr>
        <w:t>报价四舍五入保留小数点后两位</w:t>
      </w:r>
      <w:r>
        <w:rPr>
          <w:rFonts w:hint="eastAsia" w:ascii="Times New Roman" w:hAnsi="Times New Roman" w:cs="Times New Roman"/>
          <w:color w:val="auto"/>
          <w:sz w:val="21"/>
          <w:szCs w:val="21"/>
          <w:highlight w:val="none"/>
          <w:lang w:eastAsia="zh-CN"/>
        </w:rPr>
        <w:t>；</w:t>
      </w:r>
    </w:p>
    <w:p w14:paraId="0240273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4）含税参选分项报价或含税参选报价合计</w:t>
      </w:r>
      <w:r>
        <w:rPr>
          <w:rFonts w:hint="default" w:ascii="Times New Roman" w:hAnsi="Times New Roman" w:eastAsia="宋体" w:cs="Times New Roman"/>
          <w:color w:val="auto"/>
          <w:sz w:val="21"/>
          <w:szCs w:val="21"/>
          <w:highlight w:val="none"/>
          <w:lang w:eastAsia="zh-CN"/>
        </w:rPr>
        <w:t>超过</w:t>
      </w:r>
      <w:r>
        <w:rPr>
          <w:rFonts w:hint="default" w:ascii="Times New Roman" w:hAnsi="Times New Roman" w:cs="Times New Roman"/>
          <w:color w:val="auto"/>
          <w:sz w:val="21"/>
          <w:szCs w:val="21"/>
          <w:highlight w:val="none"/>
          <w:lang w:val="en-US" w:eastAsia="zh-CN"/>
        </w:rPr>
        <w:t>对应</w:t>
      </w:r>
      <w:r>
        <w:rPr>
          <w:rFonts w:hint="default" w:ascii="Times New Roman" w:hAnsi="Times New Roman" w:eastAsia="宋体" w:cs="Times New Roman"/>
          <w:color w:val="auto"/>
          <w:sz w:val="21"/>
          <w:szCs w:val="21"/>
          <w:highlight w:val="none"/>
          <w:lang w:eastAsia="zh-CN"/>
        </w:rPr>
        <w:t>最高限价的，</w:t>
      </w:r>
      <w:r>
        <w:rPr>
          <w:rFonts w:hint="default" w:ascii="Times New Roman" w:hAnsi="Times New Roman"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将被否决</w:t>
      </w:r>
      <w:r>
        <w:rPr>
          <w:rFonts w:hint="eastAsia" w:ascii="Times New Roman" w:hAnsi="Times New Roman" w:cs="Times New Roman"/>
          <w:color w:val="auto"/>
          <w:sz w:val="21"/>
          <w:szCs w:val="21"/>
          <w:highlight w:val="none"/>
          <w:lang w:eastAsia="zh-CN"/>
        </w:rPr>
        <w:t>；</w:t>
      </w:r>
    </w:p>
    <w:p w14:paraId="6F93538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（5）湖仓一体</w:t>
      </w:r>
      <w:r>
        <w:rPr>
          <w:rFonts w:hint="eastAsia" w:ascii="Times New Roman" w:hAnsi="Times New Roman" w:cs="Times New Roman"/>
          <w:b w:val="0"/>
          <w:color w:val="auto"/>
          <w:spacing w:val="0"/>
          <w:sz w:val="21"/>
          <w:szCs w:val="21"/>
          <w:highlight w:val="none"/>
          <w:lang w:val="en-US" w:eastAsia="zh-CN"/>
        </w:rPr>
        <w:t>产品整体价格=生产网段节点或VCpu数量</w:t>
      </w:r>
      <w:r>
        <w:rPr>
          <w:rFonts w:hint="default" w:ascii="Arial" w:hAnsi="Arial" w:cs="Arial"/>
          <w:b w:val="0"/>
          <w:color w:val="auto"/>
          <w:spacing w:val="0"/>
          <w:sz w:val="21"/>
          <w:szCs w:val="21"/>
          <w:highlight w:val="none"/>
          <w:lang w:val="en-US" w:eastAsia="zh-CN"/>
        </w:rPr>
        <w:t>×</w:t>
      </w:r>
      <w:r>
        <w:rPr>
          <w:rFonts w:hint="eastAsia" w:ascii="Arial" w:hAnsi="Arial" w:cs="Arial"/>
          <w:b w:val="0"/>
          <w:color w:val="auto"/>
          <w:spacing w:val="0"/>
          <w:sz w:val="21"/>
          <w:szCs w:val="21"/>
          <w:highlight w:val="none"/>
          <w:lang w:val="en-US" w:eastAsia="zh-CN"/>
        </w:rPr>
        <w:t>生产网段</w:t>
      </w:r>
      <w:r>
        <w:rPr>
          <w:rFonts w:hint="eastAsia" w:ascii="Times New Roman" w:hAnsi="Times New Roman" w:cs="Times New Roman"/>
          <w:b w:val="0"/>
          <w:color w:val="auto"/>
          <w:spacing w:val="0"/>
          <w:sz w:val="21"/>
          <w:szCs w:val="21"/>
          <w:highlight w:val="none"/>
          <w:lang w:val="en-US" w:eastAsia="zh-CN"/>
        </w:rPr>
        <w:t>节点或VCpu单价+测试网段节点或VCpu数量</w:t>
      </w:r>
      <w:r>
        <w:rPr>
          <w:rFonts w:hint="default" w:ascii="Arial" w:hAnsi="Arial" w:cs="Arial"/>
          <w:b w:val="0"/>
          <w:color w:val="auto"/>
          <w:spacing w:val="0"/>
          <w:sz w:val="21"/>
          <w:szCs w:val="21"/>
          <w:highlight w:val="none"/>
          <w:lang w:val="en-US" w:eastAsia="zh-CN"/>
        </w:rPr>
        <w:t>×</w:t>
      </w:r>
      <w:r>
        <w:rPr>
          <w:rFonts w:hint="eastAsia" w:ascii="Arial" w:hAnsi="Arial" w:cs="Arial"/>
          <w:b w:val="0"/>
          <w:color w:val="auto"/>
          <w:spacing w:val="0"/>
          <w:sz w:val="21"/>
          <w:szCs w:val="21"/>
          <w:highlight w:val="none"/>
          <w:lang w:val="en-US" w:eastAsia="zh-CN"/>
        </w:rPr>
        <w:t>测试网段</w:t>
      </w:r>
      <w:r>
        <w:rPr>
          <w:rFonts w:hint="eastAsia" w:ascii="Times New Roman" w:hAnsi="Times New Roman" w:cs="Times New Roman"/>
          <w:b w:val="0"/>
          <w:color w:val="auto"/>
          <w:spacing w:val="0"/>
          <w:sz w:val="21"/>
          <w:szCs w:val="21"/>
          <w:highlight w:val="none"/>
          <w:lang w:val="en-US" w:eastAsia="zh-CN"/>
        </w:rPr>
        <w:t>节点或VCpu单价。</w:t>
      </w:r>
    </w:p>
    <w:p w14:paraId="08EBE98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2"/>
        <w:rPr>
          <w:rFonts w:hint="default" w:eastAsia="宋体"/>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二</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分项报价明细表</w:t>
      </w:r>
    </w:p>
    <w:tbl>
      <w:tblPr>
        <w:tblStyle w:val="2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3342"/>
        <w:gridCol w:w="1385"/>
        <w:gridCol w:w="1339"/>
      </w:tblGrid>
      <w:tr w14:paraId="3A7E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3" w:type="dxa"/>
            <w:gridSpan w:val="4"/>
            <w:vAlign w:val="center"/>
          </w:tcPr>
          <w:p w14:paraId="6052EC0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b w:val="0"/>
                <w:color w:val="auto"/>
                <w:spacing w:val="0"/>
                <w:sz w:val="21"/>
                <w:szCs w:val="21"/>
                <w:highlight w:val="none"/>
              </w:rPr>
              <w:t>项目</w:t>
            </w:r>
            <w:r>
              <w:rPr>
                <w:rFonts w:hint="default" w:ascii="Times New Roman" w:hAnsi="Times New Roman" w:cs="Times New Roman"/>
                <w:b w:val="0"/>
                <w:color w:val="auto"/>
                <w:spacing w:val="0"/>
                <w:sz w:val="21"/>
                <w:szCs w:val="21"/>
                <w:highlight w:val="none"/>
                <w:lang w:val="en-US" w:eastAsia="zh-CN"/>
              </w:rPr>
              <w:t>名称</w:t>
            </w:r>
            <w:r>
              <w:rPr>
                <w:rFonts w:hint="default" w:ascii="Times New Roman" w:hAnsi="Times New Roman" w:cs="Times New Roman"/>
                <w:b w:val="0"/>
                <w:color w:val="auto"/>
                <w:spacing w:val="0"/>
                <w:sz w:val="21"/>
                <w:szCs w:val="21"/>
                <w:highlight w:val="none"/>
                <w:lang w:eastAsia="zh-CN"/>
              </w:rPr>
              <w:t>：</w:t>
            </w:r>
            <w:r>
              <w:rPr>
                <w:rFonts w:hint="eastAsia" w:ascii="Times New Roman" w:hAnsi="Times New Roman" w:cs="Times New Roman"/>
                <w:b w:val="0"/>
                <w:color w:val="auto"/>
                <w:spacing w:val="0"/>
                <w:sz w:val="21"/>
                <w:szCs w:val="21"/>
                <w:highlight w:val="none"/>
                <w:lang w:val="en-US" w:eastAsia="zh-CN"/>
              </w:rPr>
              <w:t>新一代数据中台项目（一期）</w:t>
            </w:r>
          </w:p>
        </w:tc>
      </w:tr>
      <w:tr w14:paraId="211F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2DE121C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分项名称</w:t>
            </w:r>
          </w:p>
        </w:tc>
        <w:tc>
          <w:tcPr>
            <w:tcW w:w="3342" w:type="dxa"/>
            <w:vAlign w:val="center"/>
          </w:tcPr>
          <w:p w14:paraId="60CD196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实施或功能模块名称</w:t>
            </w:r>
          </w:p>
        </w:tc>
        <w:tc>
          <w:tcPr>
            <w:tcW w:w="1385" w:type="dxa"/>
            <w:vAlign w:val="center"/>
          </w:tcPr>
          <w:p w14:paraId="4D52964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339" w:type="dxa"/>
            <w:vAlign w:val="center"/>
          </w:tcPr>
          <w:p w14:paraId="1E5D891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单价（元）</w:t>
            </w:r>
          </w:p>
        </w:tc>
      </w:tr>
      <w:tr w14:paraId="6B8F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restart"/>
            <w:vAlign w:val="center"/>
          </w:tcPr>
          <w:p w14:paraId="05CAC40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湖仓一体底座</w:t>
            </w:r>
          </w:p>
        </w:tc>
        <w:tc>
          <w:tcPr>
            <w:tcW w:w="3342" w:type="dxa"/>
            <w:vAlign w:val="center"/>
          </w:tcPr>
          <w:p w14:paraId="5C213E3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1385" w:type="dxa"/>
            <w:vAlign w:val="center"/>
          </w:tcPr>
          <w:p w14:paraId="6C06080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0FBC56E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4A2B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07F3F8F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2030C1A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1385" w:type="dxa"/>
            <w:vAlign w:val="center"/>
          </w:tcPr>
          <w:p w14:paraId="53BDB0F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05E2610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0003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2BC3A86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42562B9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1385" w:type="dxa"/>
            <w:vAlign w:val="center"/>
          </w:tcPr>
          <w:p w14:paraId="4811FA1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3E2D619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1A7E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5A5DB75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57B0714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385" w:type="dxa"/>
            <w:vAlign w:val="center"/>
          </w:tcPr>
          <w:p w14:paraId="3088565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390771E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7F1C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restart"/>
            <w:vAlign w:val="center"/>
          </w:tcPr>
          <w:p w14:paraId="4C844F9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数据作业平台</w:t>
            </w:r>
          </w:p>
        </w:tc>
        <w:tc>
          <w:tcPr>
            <w:tcW w:w="3342" w:type="dxa"/>
            <w:vAlign w:val="center"/>
          </w:tcPr>
          <w:p w14:paraId="348BC18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1.</w:t>
            </w:r>
          </w:p>
        </w:tc>
        <w:tc>
          <w:tcPr>
            <w:tcW w:w="1385" w:type="dxa"/>
            <w:vAlign w:val="center"/>
          </w:tcPr>
          <w:p w14:paraId="32C9567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5E377B4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3D2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3E7B810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6A8D544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2.</w:t>
            </w:r>
          </w:p>
        </w:tc>
        <w:tc>
          <w:tcPr>
            <w:tcW w:w="1385" w:type="dxa"/>
            <w:vAlign w:val="center"/>
          </w:tcPr>
          <w:p w14:paraId="7C6D3B0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0E66CED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6977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0A480E4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0A3F7AE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3.</w:t>
            </w:r>
          </w:p>
        </w:tc>
        <w:tc>
          <w:tcPr>
            <w:tcW w:w="1385" w:type="dxa"/>
            <w:vAlign w:val="center"/>
          </w:tcPr>
          <w:p w14:paraId="142CD6F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69F6D01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43F8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6F817A3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2B81DAA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w:t>
            </w:r>
          </w:p>
        </w:tc>
        <w:tc>
          <w:tcPr>
            <w:tcW w:w="1385" w:type="dxa"/>
            <w:vAlign w:val="center"/>
          </w:tcPr>
          <w:p w14:paraId="5F93D4F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0B49A04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2A36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restart"/>
            <w:vAlign w:val="center"/>
          </w:tcPr>
          <w:p w14:paraId="6B94CFE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数据中台实施和迁移</w:t>
            </w:r>
          </w:p>
        </w:tc>
        <w:tc>
          <w:tcPr>
            <w:tcW w:w="3342" w:type="dxa"/>
            <w:vAlign w:val="center"/>
          </w:tcPr>
          <w:p w14:paraId="643ABD3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1.</w:t>
            </w:r>
          </w:p>
        </w:tc>
        <w:tc>
          <w:tcPr>
            <w:tcW w:w="1385" w:type="dxa"/>
            <w:vAlign w:val="center"/>
          </w:tcPr>
          <w:p w14:paraId="77350D5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3204403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7AFC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65243EF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49B58D5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2.</w:t>
            </w:r>
          </w:p>
        </w:tc>
        <w:tc>
          <w:tcPr>
            <w:tcW w:w="1385" w:type="dxa"/>
            <w:vAlign w:val="center"/>
          </w:tcPr>
          <w:p w14:paraId="7E39C99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4599D66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2C78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779D15B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08FDD38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3.</w:t>
            </w:r>
          </w:p>
        </w:tc>
        <w:tc>
          <w:tcPr>
            <w:tcW w:w="1385" w:type="dxa"/>
            <w:vAlign w:val="center"/>
          </w:tcPr>
          <w:p w14:paraId="3DEE2B5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71734E5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1212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Merge w:val="continue"/>
            <w:vAlign w:val="center"/>
          </w:tcPr>
          <w:p w14:paraId="75DA6B1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3342" w:type="dxa"/>
            <w:vAlign w:val="center"/>
          </w:tcPr>
          <w:p w14:paraId="4A015B1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w:t>
            </w:r>
          </w:p>
        </w:tc>
        <w:tc>
          <w:tcPr>
            <w:tcW w:w="1385" w:type="dxa"/>
            <w:vAlign w:val="center"/>
          </w:tcPr>
          <w:p w14:paraId="7BDE14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c>
          <w:tcPr>
            <w:tcW w:w="1339" w:type="dxa"/>
            <w:vAlign w:val="center"/>
          </w:tcPr>
          <w:p w14:paraId="09BACCF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1938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26FD5E8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备注</w:t>
            </w:r>
          </w:p>
        </w:tc>
        <w:tc>
          <w:tcPr>
            <w:tcW w:w="6066" w:type="dxa"/>
            <w:gridSpan w:val="3"/>
            <w:vAlign w:val="center"/>
          </w:tcPr>
          <w:p w14:paraId="5B6C376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p>
        </w:tc>
      </w:tr>
      <w:tr w14:paraId="64D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3" w:type="dxa"/>
            <w:gridSpan w:val="4"/>
            <w:vAlign w:val="center"/>
          </w:tcPr>
          <w:p w14:paraId="1B65B70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人全称（盖章）：</w:t>
            </w:r>
          </w:p>
          <w:p w14:paraId="0B21BA4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法定代表人或其委托代理人（签字或盖章）：</w:t>
            </w:r>
          </w:p>
          <w:p w14:paraId="211F5ADA">
            <w:pPr>
              <w:keepNext w:val="0"/>
              <w:keepLines w:val="0"/>
              <w:pageBreakBefore w:val="0"/>
              <w:widowControl w:val="0"/>
              <w:tabs>
                <w:tab w:val="left" w:pos="1800"/>
              </w:tabs>
              <w:kinsoku/>
              <w:wordWrap/>
              <w:overflowPunct/>
              <w:topLinePunct w:val="0"/>
              <w:autoSpaceDE w:val="0"/>
              <w:autoSpaceDN w:val="0"/>
              <w:bidi w:val="0"/>
              <w:adjustRightInd/>
              <w:snapToGrid/>
              <w:spacing w:line="400" w:lineRule="exact"/>
              <w:ind w:firstLine="0" w:firstLineChars="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日期：</w:t>
            </w:r>
          </w:p>
        </w:tc>
      </w:tr>
    </w:tbl>
    <w:p w14:paraId="71490A5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注：</w:t>
      </w:r>
    </w:p>
    <w:p w14:paraId="1F805CD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kern w:val="2"/>
          <w:sz w:val="21"/>
          <w:szCs w:val="21"/>
          <w:highlight w:val="none"/>
          <w:lang w:val="en-US" w:eastAsia="zh-CN" w:bidi="ar-SA"/>
        </w:rPr>
        <w:t>（1）</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分项报价明细</w:t>
      </w:r>
      <w:r>
        <w:rPr>
          <w:rFonts w:hint="default" w:ascii="Times New Roman" w:hAnsi="Times New Roman" w:cs="Times New Roman"/>
          <w:b w:val="0"/>
          <w:bCs w:val="0"/>
          <w:color w:val="auto"/>
          <w:sz w:val="21"/>
          <w:szCs w:val="21"/>
          <w:highlight w:val="none"/>
          <w:lang w:val="en-US" w:eastAsia="zh-CN"/>
        </w:rPr>
        <w:t>表</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eastAsia="zh-CN"/>
        </w:rPr>
        <w:t>为多页的，每页均须加盖</w:t>
      </w:r>
      <w:r>
        <w:rPr>
          <w:rFonts w:hint="eastAsia" w:ascii="Times New Roman" w:hAnsi="Times New Roman" w:cs="Times New Roman"/>
          <w:b w:val="0"/>
          <w:bCs w:val="0"/>
          <w:color w:val="auto"/>
          <w:sz w:val="21"/>
          <w:szCs w:val="21"/>
          <w:highlight w:val="none"/>
          <w:lang w:val="en-US" w:eastAsia="zh-CN"/>
        </w:rPr>
        <w:t>参选人</w:t>
      </w:r>
      <w:r>
        <w:rPr>
          <w:rFonts w:hint="default" w:ascii="Times New Roman" w:hAnsi="Times New Roman" w:eastAsia="宋体" w:cs="Times New Roman"/>
          <w:b w:val="0"/>
          <w:bCs w:val="0"/>
          <w:color w:val="auto"/>
          <w:sz w:val="21"/>
          <w:szCs w:val="21"/>
          <w:highlight w:val="none"/>
          <w:lang w:eastAsia="zh-CN"/>
        </w:rPr>
        <w:t>公章</w:t>
      </w:r>
      <w:r>
        <w:rPr>
          <w:rFonts w:hint="eastAsia" w:ascii="Times New Roman" w:hAnsi="Times New Roman" w:cs="Times New Roman"/>
          <w:b w:val="0"/>
          <w:bCs w:val="0"/>
          <w:color w:val="auto"/>
          <w:sz w:val="21"/>
          <w:szCs w:val="21"/>
          <w:highlight w:val="none"/>
          <w:lang w:eastAsia="zh-CN"/>
        </w:rPr>
        <w:t>；</w:t>
      </w:r>
    </w:p>
    <w:p w14:paraId="252965BC">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kern w:val="2"/>
          <w:sz w:val="21"/>
          <w:szCs w:val="21"/>
          <w:highlight w:val="none"/>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w:t>
      </w:r>
      <w:r>
        <w:rPr>
          <w:rFonts w:hint="eastAsia" w:ascii="Times New Roman" w:hAnsi="Times New Roman" w:cs="Times New Roman"/>
          <w:b w:val="0"/>
          <w:bCs w:val="0"/>
          <w:color w:val="auto"/>
          <w:sz w:val="21"/>
          <w:szCs w:val="21"/>
          <w:highlight w:val="none"/>
          <w:lang w:val="en-US" w:eastAsia="zh-CN"/>
        </w:rPr>
        <w:t>若湖仓一体底座和数据作业平台中的模块涉及按节点授权，则需在“数量”一栏填写授权数量，“单价”一栏填写单个节点授权的价格。</w:t>
      </w:r>
    </w:p>
    <w:p w14:paraId="13C5792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pPr>
    </w:p>
    <w:p w14:paraId="1A17AEF1">
      <w:pPr>
        <w:ind w:left="0" w:leftChars="0" w:firstLine="0" w:firstLineChars="0"/>
        <w:rPr>
          <w:rStyle w:val="31"/>
          <w:rFonts w:hint="default" w:ascii="Times New Roman" w:hAnsi="Times New Roman" w:cs="Times New Roman"/>
          <w:b/>
          <w:color w:val="auto"/>
          <w:highlight w:val="none"/>
        </w:rPr>
      </w:pPr>
      <w:r>
        <w:rPr>
          <w:rStyle w:val="31"/>
          <w:rFonts w:hint="default" w:ascii="Times New Roman" w:hAnsi="Times New Roman" w:cs="Times New Roman"/>
          <w:b/>
          <w:color w:val="auto"/>
          <w:highlight w:val="none"/>
        </w:rPr>
        <w:br w:type="page"/>
      </w:r>
    </w:p>
    <w:p w14:paraId="538153B5">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t>三、资格性文件</w:t>
      </w:r>
    </w:p>
    <w:p w14:paraId="50A17724">
      <w:pPr>
        <w:pStyle w:val="36"/>
        <w:rPr>
          <w:rFonts w:hint="default" w:ascii="Times New Roman" w:hAnsi="Times New Roman" w:cs="Times New Roman"/>
          <w:color w:val="auto"/>
          <w:highlight w:val="none"/>
        </w:rPr>
      </w:pPr>
      <w:r>
        <w:rPr>
          <w:rFonts w:hint="default" w:ascii="Times New Roman" w:hAnsi="Times New Roman" w:cs="Times New Roman"/>
          <w:color w:val="auto"/>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19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2B91299">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参选人名称</w:t>
            </w:r>
          </w:p>
        </w:tc>
        <w:tc>
          <w:tcPr>
            <w:tcW w:w="7114" w:type="dxa"/>
            <w:gridSpan w:val="8"/>
          </w:tcPr>
          <w:p w14:paraId="051171A5">
            <w:pPr>
              <w:spacing w:line="360" w:lineRule="auto"/>
              <w:ind w:firstLine="0" w:firstLineChars="0"/>
              <w:jc w:val="center"/>
              <w:rPr>
                <w:rFonts w:hint="default" w:ascii="Times New Roman" w:hAnsi="Times New Roman" w:cs="Times New Roman"/>
                <w:color w:val="auto"/>
                <w:sz w:val="22"/>
                <w:szCs w:val="24"/>
                <w:highlight w:val="none"/>
              </w:rPr>
            </w:pPr>
          </w:p>
        </w:tc>
      </w:tr>
      <w:tr w14:paraId="3040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2315D47">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08907B2D">
            <w:pPr>
              <w:spacing w:line="360" w:lineRule="auto"/>
              <w:ind w:firstLine="0" w:firstLineChars="0"/>
              <w:jc w:val="center"/>
              <w:rPr>
                <w:rFonts w:hint="default"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D6F75E9">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邮政编码</w:t>
            </w:r>
          </w:p>
        </w:tc>
        <w:tc>
          <w:tcPr>
            <w:tcW w:w="1657" w:type="dxa"/>
            <w:gridSpan w:val="3"/>
            <w:tcBorders>
              <w:left w:val="single" w:color="auto" w:sz="4" w:space="0"/>
            </w:tcBorders>
          </w:tcPr>
          <w:p w14:paraId="070E6D11">
            <w:pPr>
              <w:spacing w:line="360" w:lineRule="auto"/>
              <w:ind w:firstLine="0" w:firstLineChars="0"/>
              <w:jc w:val="center"/>
              <w:rPr>
                <w:rFonts w:hint="default" w:ascii="Times New Roman" w:hAnsi="Times New Roman" w:cs="Times New Roman"/>
                <w:color w:val="auto"/>
                <w:sz w:val="22"/>
                <w:szCs w:val="24"/>
                <w:highlight w:val="none"/>
              </w:rPr>
            </w:pPr>
          </w:p>
        </w:tc>
      </w:tr>
      <w:tr w14:paraId="7587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4203225">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C0B685E">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76A1FF11">
            <w:pPr>
              <w:spacing w:line="360" w:lineRule="auto"/>
              <w:ind w:firstLine="0" w:firstLineChars="0"/>
              <w:jc w:val="center"/>
              <w:rPr>
                <w:rFonts w:hint="default"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13F37CA">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电话</w:t>
            </w:r>
          </w:p>
        </w:tc>
        <w:tc>
          <w:tcPr>
            <w:tcW w:w="1657" w:type="dxa"/>
            <w:gridSpan w:val="3"/>
            <w:tcBorders>
              <w:left w:val="single" w:color="auto" w:sz="4" w:space="0"/>
            </w:tcBorders>
          </w:tcPr>
          <w:p w14:paraId="11A512CB">
            <w:pPr>
              <w:spacing w:line="360" w:lineRule="auto"/>
              <w:ind w:firstLine="0" w:firstLineChars="0"/>
              <w:jc w:val="center"/>
              <w:rPr>
                <w:rFonts w:hint="default" w:ascii="Times New Roman" w:hAnsi="Times New Roman" w:cs="Times New Roman"/>
                <w:color w:val="auto"/>
                <w:sz w:val="22"/>
                <w:szCs w:val="24"/>
                <w:highlight w:val="none"/>
              </w:rPr>
            </w:pPr>
          </w:p>
        </w:tc>
      </w:tr>
      <w:tr w14:paraId="6542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44D4622">
            <w:pPr>
              <w:rPr>
                <w:rFonts w:hint="default" w:ascii="Times New Roman" w:hAnsi="Times New Roman" w:cs="Times New Roman"/>
                <w:color w:val="auto"/>
                <w:highlight w:val="none"/>
              </w:rPr>
            </w:pPr>
          </w:p>
        </w:tc>
        <w:tc>
          <w:tcPr>
            <w:tcW w:w="1077" w:type="dxa"/>
            <w:tcBorders>
              <w:top w:val="single" w:color="auto" w:sz="4" w:space="0"/>
              <w:left w:val="single" w:color="auto" w:sz="4" w:space="0"/>
              <w:right w:val="single" w:color="auto" w:sz="4" w:space="0"/>
            </w:tcBorders>
            <w:vAlign w:val="center"/>
          </w:tcPr>
          <w:p w14:paraId="5705A2E0">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34BF66FD">
            <w:pPr>
              <w:spacing w:line="360" w:lineRule="auto"/>
              <w:ind w:firstLine="0" w:firstLineChars="0"/>
              <w:jc w:val="center"/>
              <w:rPr>
                <w:rFonts w:hint="default"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CCF5509">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网址</w:t>
            </w:r>
          </w:p>
        </w:tc>
        <w:tc>
          <w:tcPr>
            <w:tcW w:w="1657" w:type="dxa"/>
            <w:gridSpan w:val="3"/>
            <w:tcBorders>
              <w:left w:val="single" w:color="auto" w:sz="4" w:space="0"/>
            </w:tcBorders>
          </w:tcPr>
          <w:p w14:paraId="38794262">
            <w:pPr>
              <w:spacing w:line="360" w:lineRule="auto"/>
              <w:ind w:firstLine="0" w:firstLineChars="0"/>
              <w:jc w:val="center"/>
              <w:rPr>
                <w:rFonts w:hint="default" w:ascii="Times New Roman" w:hAnsi="Times New Roman" w:cs="Times New Roman"/>
                <w:color w:val="auto"/>
                <w:sz w:val="22"/>
                <w:szCs w:val="24"/>
                <w:highlight w:val="none"/>
              </w:rPr>
            </w:pPr>
          </w:p>
        </w:tc>
      </w:tr>
      <w:tr w14:paraId="358E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E5DC98E">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组织结构</w:t>
            </w:r>
          </w:p>
        </w:tc>
        <w:tc>
          <w:tcPr>
            <w:tcW w:w="7114" w:type="dxa"/>
            <w:gridSpan w:val="8"/>
            <w:tcBorders>
              <w:left w:val="single" w:color="auto" w:sz="4" w:space="0"/>
            </w:tcBorders>
            <w:vAlign w:val="center"/>
          </w:tcPr>
          <w:p w14:paraId="79040C50">
            <w:pPr>
              <w:spacing w:line="360" w:lineRule="auto"/>
              <w:ind w:firstLine="0" w:firstLineChars="0"/>
              <w:jc w:val="center"/>
              <w:rPr>
                <w:rFonts w:hint="default" w:ascii="Times New Roman" w:hAnsi="Times New Roman" w:cs="Times New Roman"/>
                <w:color w:val="auto"/>
                <w:sz w:val="22"/>
                <w:szCs w:val="24"/>
                <w:highlight w:val="none"/>
              </w:rPr>
            </w:pPr>
          </w:p>
        </w:tc>
      </w:tr>
      <w:tr w14:paraId="2D2E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9A265B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6C2A8168">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9501290">
            <w:pPr>
              <w:spacing w:line="360" w:lineRule="auto"/>
              <w:ind w:firstLine="0" w:firstLineChars="0"/>
              <w:jc w:val="center"/>
              <w:rPr>
                <w:rFonts w:hint="default"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83ED1A7">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54EE068">
            <w:pPr>
              <w:spacing w:line="360" w:lineRule="auto"/>
              <w:ind w:firstLine="0" w:firstLineChars="0"/>
              <w:jc w:val="center"/>
              <w:rPr>
                <w:rFonts w:hint="default"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B8ED861">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电话</w:t>
            </w:r>
          </w:p>
        </w:tc>
        <w:tc>
          <w:tcPr>
            <w:tcW w:w="758" w:type="dxa"/>
            <w:tcBorders>
              <w:left w:val="single" w:color="auto" w:sz="4" w:space="0"/>
            </w:tcBorders>
          </w:tcPr>
          <w:p w14:paraId="196ECEE6">
            <w:pPr>
              <w:spacing w:line="360" w:lineRule="auto"/>
              <w:ind w:firstLine="0" w:firstLineChars="0"/>
              <w:jc w:val="center"/>
              <w:rPr>
                <w:rFonts w:hint="default" w:ascii="Times New Roman" w:hAnsi="Times New Roman" w:cs="Times New Roman"/>
                <w:color w:val="auto"/>
                <w:sz w:val="22"/>
                <w:szCs w:val="24"/>
                <w:highlight w:val="none"/>
              </w:rPr>
            </w:pPr>
          </w:p>
        </w:tc>
      </w:tr>
      <w:tr w14:paraId="790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0495E3E">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022B9A93">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6F0A61B">
            <w:pPr>
              <w:spacing w:line="360" w:lineRule="auto"/>
              <w:ind w:firstLine="0" w:firstLineChars="0"/>
              <w:jc w:val="center"/>
              <w:rPr>
                <w:rFonts w:hint="default"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CA50F32">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4861494">
            <w:pPr>
              <w:spacing w:line="360" w:lineRule="auto"/>
              <w:ind w:firstLine="0" w:firstLineChars="0"/>
              <w:jc w:val="center"/>
              <w:rPr>
                <w:rFonts w:hint="default"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415FF341">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电话</w:t>
            </w:r>
          </w:p>
        </w:tc>
        <w:tc>
          <w:tcPr>
            <w:tcW w:w="758" w:type="dxa"/>
            <w:tcBorders>
              <w:left w:val="single" w:color="auto" w:sz="4" w:space="0"/>
            </w:tcBorders>
          </w:tcPr>
          <w:p w14:paraId="188EAB56">
            <w:pPr>
              <w:spacing w:line="360" w:lineRule="auto"/>
              <w:ind w:firstLine="0" w:firstLineChars="0"/>
              <w:jc w:val="center"/>
              <w:rPr>
                <w:rFonts w:hint="default" w:ascii="Times New Roman" w:hAnsi="Times New Roman" w:cs="Times New Roman"/>
                <w:color w:val="auto"/>
                <w:sz w:val="22"/>
                <w:szCs w:val="24"/>
                <w:highlight w:val="none"/>
              </w:rPr>
            </w:pPr>
          </w:p>
        </w:tc>
      </w:tr>
      <w:tr w14:paraId="7B0D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B75A3B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06E0FD72">
            <w:pPr>
              <w:spacing w:line="360" w:lineRule="auto"/>
              <w:ind w:firstLine="0" w:firstLineChars="0"/>
              <w:jc w:val="center"/>
              <w:rPr>
                <w:rFonts w:hint="default" w:ascii="Times New Roman" w:hAnsi="Times New Roman" w:cs="Times New Roman"/>
                <w:color w:val="auto"/>
                <w:sz w:val="22"/>
                <w:szCs w:val="24"/>
                <w:highlight w:val="none"/>
              </w:rPr>
            </w:pPr>
          </w:p>
        </w:tc>
        <w:tc>
          <w:tcPr>
            <w:tcW w:w="4234" w:type="dxa"/>
            <w:gridSpan w:val="6"/>
            <w:tcBorders>
              <w:left w:val="single" w:color="auto" w:sz="4" w:space="0"/>
            </w:tcBorders>
          </w:tcPr>
          <w:p w14:paraId="046EF105">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员工总人数：</w:t>
            </w:r>
          </w:p>
        </w:tc>
      </w:tr>
      <w:tr w14:paraId="4EAA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FACEF3D">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419E27A4">
            <w:pPr>
              <w:spacing w:line="360" w:lineRule="auto"/>
              <w:ind w:firstLine="0" w:firstLineChars="0"/>
              <w:jc w:val="center"/>
              <w:rPr>
                <w:rFonts w:hint="default" w:ascii="Times New Roman" w:hAnsi="Times New Roman" w:cs="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03A91AA2">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01D1B742">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项目经理</w:t>
            </w:r>
          </w:p>
        </w:tc>
        <w:tc>
          <w:tcPr>
            <w:tcW w:w="1481" w:type="dxa"/>
            <w:gridSpan w:val="2"/>
            <w:tcBorders>
              <w:left w:val="single" w:color="auto" w:sz="4" w:space="0"/>
            </w:tcBorders>
          </w:tcPr>
          <w:p w14:paraId="09DC4705">
            <w:pPr>
              <w:spacing w:line="360" w:lineRule="auto"/>
              <w:ind w:firstLine="0" w:firstLineChars="0"/>
              <w:jc w:val="center"/>
              <w:rPr>
                <w:rFonts w:hint="default" w:ascii="Times New Roman" w:hAnsi="Times New Roman" w:cs="Times New Roman"/>
                <w:color w:val="auto"/>
                <w:sz w:val="22"/>
                <w:szCs w:val="24"/>
                <w:highlight w:val="none"/>
              </w:rPr>
            </w:pPr>
          </w:p>
        </w:tc>
      </w:tr>
      <w:tr w14:paraId="277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BB3856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0A9D689D">
            <w:pPr>
              <w:spacing w:line="360" w:lineRule="auto"/>
              <w:ind w:firstLine="0" w:firstLineChars="0"/>
              <w:jc w:val="center"/>
              <w:rPr>
                <w:rFonts w:hint="default"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D58EFA5">
            <w:pPr>
              <w:rPr>
                <w:rFonts w:hint="default" w:ascii="Times New Roman" w:hAnsi="Times New Roman" w:cs="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E089E9A">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高级职称人员</w:t>
            </w:r>
          </w:p>
        </w:tc>
        <w:tc>
          <w:tcPr>
            <w:tcW w:w="1481" w:type="dxa"/>
            <w:gridSpan w:val="2"/>
            <w:tcBorders>
              <w:left w:val="single" w:color="auto" w:sz="4" w:space="0"/>
            </w:tcBorders>
          </w:tcPr>
          <w:p w14:paraId="4C097523">
            <w:pPr>
              <w:spacing w:line="360" w:lineRule="auto"/>
              <w:ind w:firstLine="0" w:firstLineChars="0"/>
              <w:jc w:val="center"/>
              <w:rPr>
                <w:rFonts w:hint="default" w:ascii="Times New Roman" w:hAnsi="Times New Roman" w:cs="Times New Roman"/>
                <w:color w:val="auto"/>
                <w:sz w:val="22"/>
                <w:szCs w:val="24"/>
                <w:highlight w:val="none"/>
              </w:rPr>
            </w:pPr>
          </w:p>
        </w:tc>
      </w:tr>
      <w:tr w14:paraId="2D9D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13F65D9">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DDAAAA5">
            <w:pPr>
              <w:spacing w:line="360" w:lineRule="auto"/>
              <w:ind w:firstLine="0" w:firstLineChars="0"/>
              <w:jc w:val="center"/>
              <w:rPr>
                <w:rFonts w:hint="default"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925FFB4">
            <w:pPr>
              <w:rPr>
                <w:rFonts w:hint="default" w:ascii="Times New Roman" w:hAnsi="Times New Roman" w:cs="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3052CEB">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中级职称人员</w:t>
            </w:r>
          </w:p>
        </w:tc>
        <w:tc>
          <w:tcPr>
            <w:tcW w:w="1481" w:type="dxa"/>
            <w:gridSpan w:val="2"/>
            <w:tcBorders>
              <w:left w:val="single" w:color="auto" w:sz="4" w:space="0"/>
            </w:tcBorders>
          </w:tcPr>
          <w:p w14:paraId="7F574A81">
            <w:pPr>
              <w:spacing w:line="360" w:lineRule="auto"/>
              <w:ind w:firstLine="0" w:firstLineChars="0"/>
              <w:jc w:val="center"/>
              <w:rPr>
                <w:rFonts w:hint="default" w:ascii="Times New Roman" w:hAnsi="Times New Roman" w:cs="Times New Roman"/>
                <w:color w:val="auto"/>
                <w:sz w:val="22"/>
                <w:szCs w:val="24"/>
                <w:highlight w:val="none"/>
              </w:rPr>
            </w:pPr>
          </w:p>
        </w:tc>
      </w:tr>
      <w:tr w14:paraId="613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86FC9A1">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8FC87E8">
            <w:pPr>
              <w:spacing w:line="360" w:lineRule="auto"/>
              <w:ind w:firstLine="0" w:firstLineChars="0"/>
              <w:jc w:val="center"/>
              <w:rPr>
                <w:rFonts w:hint="default"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0DC0721">
            <w:pPr>
              <w:rPr>
                <w:rFonts w:hint="default" w:ascii="Times New Roman" w:hAnsi="Times New Roman" w:cs="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CB8D2B7">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初级职称人员</w:t>
            </w:r>
          </w:p>
        </w:tc>
        <w:tc>
          <w:tcPr>
            <w:tcW w:w="1481" w:type="dxa"/>
            <w:gridSpan w:val="2"/>
            <w:tcBorders>
              <w:left w:val="single" w:color="auto" w:sz="4" w:space="0"/>
            </w:tcBorders>
          </w:tcPr>
          <w:p w14:paraId="5703CE1C">
            <w:pPr>
              <w:spacing w:line="360" w:lineRule="auto"/>
              <w:ind w:firstLine="0" w:firstLineChars="0"/>
              <w:jc w:val="center"/>
              <w:rPr>
                <w:rFonts w:hint="default" w:ascii="Times New Roman" w:hAnsi="Times New Roman" w:cs="Times New Roman"/>
                <w:color w:val="auto"/>
                <w:sz w:val="22"/>
                <w:szCs w:val="24"/>
                <w:highlight w:val="none"/>
              </w:rPr>
            </w:pPr>
          </w:p>
        </w:tc>
      </w:tr>
      <w:tr w14:paraId="68F6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6B1883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0A4696FC">
            <w:pPr>
              <w:spacing w:line="360" w:lineRule="auto"/>
              <w:ind w:firstLine="0" w:firstLineChars="0"/>
              <w:jc w:val="center"/>
              <w:rPr>
                <w:rFonts w:hint="default"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8C69A38">
            <w:pPr>
              <w:rPr>
                <w:rFonts w:hint="default" w:ascii="Times New Roman" w:hAnsi="Times New Roman" w:cs="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CE457C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技工</w:t>
            </w:r>
          </w:p>
        </w:tc>
        <w:tc>
          <w:tcPr>
            <w:tcW w:w="1481" w:type="dxa"/>
            <w:gridSpan w:val="2"/>
            <w:tcBorders>
              <w:left w:val="single" w:color="auto" w:sz="4" w:space="0"/>
            </w:tcBorders>
          </w:tcPr>
          <w:p w14:paraId="1C855C8B">
            <w:pPr>
              <w:spacing w:line="360" w:lineRule="auto"/>
              <w:ind w:firstLine="0" w:firstLineChars="0"/>
              <w:jc w:val="center"/>
              <w:rPr>
                <w:rFonts w:hint="default" w:ascii="Times New Roman" w:hAnsi="Times New Roman" w:cs="Times New Roman"/>
                <w:color w:val="auto"/>
                <w:sz w:val="22"/>
                <w:szCs w:val="24"/>
                <w:highlight w:val="none"/>
              </w:rPr>
            </w:pPr>
          </w:p>
        </w:tc>
      </w:tr>
      <w:tr w14:paraId="4D8B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7065F3E">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经营范围</w:t>
            </w:r>
          </w:p>
        </w:tc>
        <w:tc>
          <w:tcPr>
            <w:tcW w:w="7114" w:type="dxa"/>
            <w:gridSpan w:val="8"/>
            <w:tcBorders>
              <w:left w:val="single" w:color="auto" w:sz="4" w:space="0"/>
            </w:tcBorders>
          </w:tcPr>
          <w:p w14:paraId="663C086E">
            <w:pPr>
              <w:spacing w:line="360" w:lineRule="auto"/>
              <w:ind w:firstLine="0" w:firstLineChars="0"/>
              <w:jc w:val="center"/>
              <w:rPr>
                <w:rFonts w:hint="default" w:ascii="Times New Roman" w:hAnsi="Times New Roman" w:cs="Times New Roman"/>
                <w:color w:val="auto"/>
                <w:sz w:val="22"/>
                <w:szCs w:val="24"/>
                <w:highlight w:val="none"/>
              </w:rPr>
            </w:pPr>
          </w:p>
        </w:tc>
      </w:tr>
      <w:tr w14:paraId="536E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A6A6D16">
            <w:pPr>
              <w:spacing w:line="360" w:lineRule="auto"/>
              <w:ind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备注</w:t>
            </w:r>
          </w:p>
        </w:tc>
        <w:tc>
          <w:tcPr>
            <w:tcW w:w="7114" w:type="dxa"/>
            <w:gridSpan w:val="8"/>
            <w:tcBorders>
              <w:left w:val="single" w:color="auto" w:sz="4" w:space="0"/>
            </w:tcBorders>
          </w:tcPr>
          <w:p w14:paraId="742DDED9">
            <w:pPr>
              <w:spacing w:line="360" w:lineRule="auto"/>
              <w:ind w:firstLine="0" w:firstLineChars="0"/>
              <w:jc w:val="center"/>
              <w:rPr>
                <w:rFonts w:hint="default" w:ascii="Times New Roman" w:hAnsi="Times New Roman" w:cs="Times New Roman"/>
                <w:color w:val="auto"/>
                <w:sz w:val="22"/>
                <w:szCs w:val="24"/>
                <w:highlight w:val="none"/>
              </w:rPr>
            </w:pPr>
          </w:p>
        </w:tc>
      </w:tr>
    </w:tbl>
    <w:p w14:paraId="64C06582">
      <w:pPr>
        <w:widowControl/>
        <w:spacing w:line="360" w:lineRule="auto"/>
        <w:jc w:val="left"/>
        <w:rPr>
          <w:rFonts w:hint="default" w:ascii="Times New Roman" w:hAnsi="Times New Roman" w:cs="Times New Roman"/>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sz w:val="20"/>
          <w:szCs w:val="21"/>
          <w:highlight w:val="none"/>
        </w:rPr>
        <w:t>注：附营业执照（副本）、资质证明复印件等。</w:t>
      </w:r>
    </w:p>
    <w:p w14:paraId="544B729B">
      <w:pPr>
        <w:pStyle w:val="36"/>
        <w:rPr>
          <w:rFonts w:hint="default" w:ascii="Times New Roman" w:hAnsi="Times New Roman" w:cs="Times New Roman"/>
          <w:color w:val="auto"/>
          <w:highlight w:val="none"/>
        </w:rPr>
      </w:pPr>
      <w:bookmarkStart w:id="319" w:name="_Toc378234770"/>
      <w:bookmarkStart w:id="320" w:name="_Toc478054435"/>
      <w:bookmarkStart w:id="321" w:name="_Toc478053903"/>
      <w:bookmarkStart w:id="322" w:name="_Toc472780356"/>
      <w:bookmarkStart w:id="323" w:name="_Toc378234584"/>
      <w:r>
        <w:rPr>
          <w:rFonts w:hint="default" w:ascii="Times New Roman" w:hAnsi="Times New Roman" w:cs="Times New Roman"/>
          <w:color w:val="auto"/>
          <w:highlight w:val="none"/>
        </w:rPr>
        <w:t>（二）法定代表人身份证明及授权委托书</w:t>
      </w:r>
      <w:bookmarkEnd w:id="319"/>
      <w:bookmarkEnd w:id="320"/>
      <w:bookmarkEnd w:id="321"/>
      <w:bookmarkEnd w:id="322"/>
      <w:bookmarkEnd w:id="323"/>
    </w:p>
    <w:p w14:paraId="262CAE5D">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法定代表人身份证明书</w:t>
      </w:r>
    </w:p>
    <w:p w14:paraId="061EC349">
      <w:pPr>
        <w:tabs>
          <w:tab w:val="left" w:pos="6300"/>
        </w:tabs>
        <w:snapToGrid w:val="0"/>
        <w:spacing w:line="360" w:lineRule="auto"/>
        <w:rPr>
          <w:rFonts w:hint="default" w:ascii="Times New Roman" w:hAnsi="Times New Roman" w:cs="Times New Roman"/>
          <w:snapToGrid w:val="0"/>
          <w:color w:val="auto"/>
          <w:kern w:val="0"/>
          <w:highlight w:val="none"/>
        </w:rPr>
      </w:pPr>
    </w:p>
    <w:p w14:paraId="69646529">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项目名称：</w:t>
      </w:r>
      <w:r>
        <w:rPr>
          <w:rFonts w:hint="default" w:ascii="Times New Roman" w:hAnsi="Times New Roman" w:cs="Times New Roman"/>
          <w:snapToGrid w:val="0"/>
          <w:color w:val="auto"/>
          <w:kern w:val="0"/>
          <w:highlight w:val="none"/>
          <w:u w:val="single"/>
        </w:rPr>
        <w:t>____________________</w:t>
      </w:r>
    </w:p>
    <w:p w14:paraId="6EEF0394">
      <w:pPr>
        <w:tabs>
          <w:tab w:val="left" w:pos="6300"/>
        </w:tabs>
        <w:snapToGrid w:val="0"/>
        <w:spacing w:line="360" w:lineRule="auto"/>
        <w:rPr>
          <w:rFonts w:hint="default" w:ascii="Times New Roman" w:hAnsi="Times New Roman" w:cs="Times New Roman"/>
          <w:snapToGrid w:val="0"/>
          <w:color w:val="auto"/>
          <w:kern w:val="0"/>
          <w:highlight w:val="none"/>
        </w:rPr>
      </w:pPr>
    </w:p>
    <w:p w14:paraId="774BBEA8">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致：</w:t>
      </w:r>
      <w:r>
        <w:rPr>
          <w:rFonts w:hint="default" w:ascii="Times New Roman" w:hAnsi="Times New Roman" w:cs="Times New Roman"/>
          <w:snapToGrid w:val="0"/>
          <w:color w:val="auto"/>
          <w:kern w:val="0"/>
          <w:highlight w:val="none"/>
          <w:u w:val="single"/>
        </w:rPr>
        <w:t xml:space="preserve"> 重庆三峡银行股份有限公司  </w:t>
      </w:r>
      <w:r>
        <w:rPr>
          <w:rFonts w:hint="default" w:ascii="Times New Roman" w:hAnsi="Times New Roman" w:cs="Times New Roman"/>
          <w:snapToGrid w:val="0"/>
          <w:color w:val="auto"/>
          <w:kern w:val="0"/>
          <w:highlight w:val="none"/>
        </w:rPr>
        <w:t>：</w:t>
      </w:r>
    </w:p>
    <w:p w14:paraId="1E3CE354">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人法定代表人姓名）在</w:t>
      </w: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（参选人名称）任</w:t>
      </w: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（职务名称）职务，是（参</w:t>
      </w:r>
      <w:r>
        <w:rPr>
          <w:rFonts w:hint="default" w:ascii="Times New Roman" w:hAnsi="Times New Roman" w:cs="Times New Roman"/>
          <w:snapToGrid w:val="0"/>
          <w:color w:val="auto"/>
          <w:kern w:val="0"/>
          <w:szCs w:val="24"/>
          <w:highlight w:val="none"/>
        </w:rPr>
        <w:t>选</w:t>
      </w:r>
      <w:r>
        <w:rPr>
          <w:rFonts w:hint="default" w:ascii="Times New Roman" w:hAnsi="Times New Roman" w:cs="Times New Roman"/>
          <w:snapToGrid w:val="0"/>
          <w:color w:val="auto"/>
          <w:kern w:val="0"/>
          <w:highlight w:val="none"/>
        </w:rPr>
        <w:t>人名称）</w:t>
      </w: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的法定代表</w:t>
      </w:r>
      <w:r>
        <w:rPr>
          <w:rFonts w:hint="default" w:ascii="Times New Roman" w:hAnsi="Times New Roman" w:cs="Times New Roman"/>
          <w:color w:val="auto"/>
          <w:highlight w:val="none"/>
        </w:rPr>
        <w:t>人</w:t>
      </w:r>
      <w:r>
        <w:rPr>
          <w:rFonts w:hint="default" w:ascii="Times New Roman" w:hAnsi="Times New Roman" w:cs="Times New Roman"/>
          <w:snapToGrid w:val="0"/>
          <w:color w:val="auto"/>
          <w:kern w:val="0"/>
          <w:highlight w:val="none"/>
        </w:rPr>
        <w:t>。</w:t>
      </w:r>
    </w:p>
    <w:p w14:paraId="71625200">
      <w:pPr>
        <w:tabs>
          <w:tab w:val="left" w:pos="6300"/>
        </w:tabs>
        <w:snapToGrid w:val="0"/>
        <w:spacing w:line="360" w:lineRule="auto"/>
        <w:rPr>
          <w:rFonts w:hint="default" w:ascii="Times New Roman" w:hAnsi="Times New Roman" w:cs="Times New Roman"/>
          <w:snapToGrid w:val="0"/>
          <w:color w:val="auto"/>
          <w:kern w:val="0"/>
          <w:highlight w:val="none"/>
        </w:rPr>
      </w:pPr>
    </w:p>
    <w:p w14:paraId="5DB641E2">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特此证明。</w:t>
      </w:r>
    </w:p>
    <w:p w14:paraId="6E6D81FB">
      <w:pPr>
        <w:tabs>
          <w:tab w:val="left" w:pos="6300"/>
        </w:tabs>
        <w:snapToGrid w:val="0"/>
        <w:spacing w:line="360" w:lineRule="auto"/>
        <w:rPr>
          <w:rFonts w:hint="default" w:ascii="Times New Roman" w:hAnsi="Times New Roman" w:cs="Times New Roman"/>
          <w:snapToGrid w:val="0"/>
          <w:color w:val="auto"/>
          <w:kern w:val="0"/>
          <w:highlight w:val="none"/>
        </w:rPr>
      </w:pPr>
    </w:p>
    <w:p w14:paraId="618283E2">
      <w:pPr>
        <w:tabs>
          <w:tab w:val="left" w:pos="6300"/>
        </w:tabs>
        <w:snapToGrid w:val="0"/>
        <w:spacing w:line="360" w:lineRule="auto"/>
        <w:rPr>
          <w:rFonts w:hint="default" w:ascii="Times New Roman" w:hAnsi="Times New Roman" w:cs="Times New Roman"/>
          <w:snapToGrid w:val="0"/>
          <w:color w:val="auto"/>
          <w:kern w:val="0"/>
          <w:highlight w:val="none"/>
        </w:rPr>
      </w:pPr>
    </w:p>
    <w:p w14:paraId="6F54BE38">
      <w:pPr>
        <w:tabs>
          <w:tab w:val="left" w:pos="6300"/>
        </w:tabs>
        <w:snapToGrid w:val="0"/>
        <w:spacing w:line="360" w:lineRule="auto"/>
        <w:ind w:firstLine="6000" w:firstLineChars="2500"/>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参选人：</w:t>
      </w:r>
    </w:p>
    <w:p w14:paraId="113B164F">
      <w:pPr>
        <w:tabs>
          <w:tab w:val="left" w:pos="6300"/>
        </w:tabs>
        <w:snapToGrid w:val="0"/>
        <w:spacing w:line="360" w:lineRule="auto"/>
        <w:ind w:firstLine="5760" w:firstLineChars="2400"/>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人公章）</w:t>
      </w:r>
    </w:p>
    <w:p w14:paraId="6325DD30">
      <w:pPr>
        <w:tabs>
          <w:tab w:val="left" w:pos="6300"/>
        </w:tabs>
        <w:snapToGrid w:val="0"/>
        <w:spacing w:line="360" w:lineRule="auto"/>
        <w:rPr>
          <w:rFonts w:hint="default" w:ascii="Times New Roman" w:hAnsi="Times New Roman" w:cs="Times New Roman"/>
          <w:snapToGrid w:val="0"/>
          <w:color w:val="auto"/>
          <w:kern w:val="0"/>
          <w:highlight w:val="none"/>
        </w:rPr>
      </w:pPr>
    </w:p>
    <w:p w14:paraId="1B01AAD9">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 xml:space="preserve">                                             年   月   日</w:t>
      </w:r>
    </w:p>
    <w:p w14:paraId="03D697AE">
      <w:pPr>
        <w:tabs>
          <w:tab w:val="left" w:pos="6300"/>
        </w:tabs>
        <w:snapToGrid w:val="0"/>
        <w:spacing w:line="360" w:lineRule="auto"/>
        <w:rPr>
          <w:rFonts w:hint="default" w:ascii="Times New Roman" w:hAnsi="Times New Roman" w:cs="Times New Roman"/>
          <w:snapToGrid w:val="0"/>
          <w:color w:val="auto"/>
          <w:kern w:val="0"/>
          <w:highlight w:val="none"/>
        </w:rPr>
      </w:pPr>
    </w:p>
    <w:p w14:paraId="7AF23524">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（附：法定代表人身份证正反面复印件）</w:t>
      </w:r>
    </w:p>
    <w:p w14:paraId="0F7E696D">
      <w:pPr>
        <w:tabs>
          <w:tab w:val="left" w:pos="6300"/>
        </w:tabs>
        <w:snapToGrid w:val="0"/>
        <w:spacing w:line="360" w:lineRule="auto"/>
        <w:rPr>
          <w:rFonts w:hint="default" w:ascii="Times New Roman" w:hAnsi="Times New Roman" w:cs="Times New Roman"/>
          <w:snapToGrid w:val="0"/>
          <w:color w:val="auto"/>
          <w:kern w:val="0"/>
          <w:highlight w:val="none"/>
        </w:rPr>
      </w:pPr>
    </w:p>
    <w:p w14:paraId="3139BBC6">
      <w:pPr>
        <w:tabs>
          <w:tab w:val="left" w:pos="6300"/>
        </w:tabs>
        <w:snapToGrid w:val="0"/>
        <w:spacing w:line="360" w:lineRule="auto"/>
        <w:rPr>
          <w:rFonts w:hint="default" w:ascii="Times New Roman" w:hAnsi="Times New Roman" w:cs="Times New Roman"/>
          <w:snapToGrid w:val="0"/>
          <w:color w:val="auto"/>
          <w:kern w:val="0"/>
          <w:highlight w:val="none"/>
        </w:rPr>
      </w:pPr>
    </w:p>
    <w:p w14:paraId="531F87EB">
      <w:pPr>
        <w:tabs>
          <w:tab w:val="left" w:pos="6300"/>
        </w:tabs>
        <w:snapToGrid w:val="0"/>
        <w:spacing w:line="360" w:lineRule="auto"/>
        <w:rPr>
          <w:rFonts w:hint="default" w:ascii="Times New Roman" w:hAnsi="Times New Roman" w:cs="Times New Roman"/>
          <w:snapToGrid w:val="0"/>
          <w:color w:val="auto"/>
          <w:kern w:val="0"/>
          <w:highlight w:val="none"/>
        </w:rPr>
      </w:pPr>
    </w:p>
    <w:p w14:paraId="209561F5">
      <w:pPr>
        <w:jc w:val="center"/>
        <w:rPr>
          <w:rStyle w:val="38"/>
          <w:rFonts w:hint="default" w:ascii="Times New Roman" w:hAnsi="Times New Roman" w:cs="Times New Roman"/>
          <w:color w:val="auto"/>
          <w:highlight w:val="none"/>
        </w:rPr>
      </w:pPr>
      <w:r>
        <w:rPr>
          <w:rFonts w:hint="default" w:ascii="Times New Roman" w:hAnsi="Times New Roman" w:cs="Times New Roman"/>
          <w:snapToGrid w:val="0"/>
          <w:color w:val="auto"/>
          <w:kern w:val="0"/>
          <w:highlight w:val="none"/>
        </w:rPr>
        <w:br w:type="column"/>
      </w:r>
      <w:r>
        <w:rPr>
          <w:rStyle w:val="38"/>
          <w:rFonts w:hint="default" w:ascii="Times New Roman" w:hAnsi="Times New Roman" w:cs="Times New Roman"/>
          <w:color w:val="auto"/>
          <w:highlight w:val="none"/>
        </w:rPr>
        <w:t>法定代表人授权委托书</w:t>
      </w:r>
    </w:p>
    <w:p w14:paraId="7C675FE3">
      <w:pPr>
        <w:tabs>
          <w:tab w:val="left" w:pos="6300"/>
        </w:tabs>
        <w:snapToGrid w:val="0"/>
        <w:spacing w:line="360" w:lineRule="auto"/>
        <w:rPr>
          <w:rFonts w:hint="default" w:ascii="Times New Roman" w:hAnsi="Times New Roman" w:cs="Times New Roman"/>
          <w:snapToGrid w:val="0"/>
          <w:color w:val="auto"/>
          <w:kern w:val="0"/>
          <w:highlight w:val="none"/>
        </w:rPr>
      </w:pPr>
    </w:p>
    <w:p w14:paraId="1FF9886D">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szCs w:val="28"/>
          <w:highlight w:val="none"/>
        </w:rPr>
        <w:t>项目名称</w:t>
      </w: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u w:val="single"/>
        </w:rPr>
        <w:t>___________________</w:t>
      </w:r>
    </w:p>
    <w:p w14:paraId="200B96B4">
      <w:pPr>
        <w:tabs>
          <w:tab w:val="left" w:pos="6300"/>
        </w:tabs>
        <w:snapToGrid w:val="0"/>
        <w:spacing w:line="360" w:lineRule="auto"/>
        <w:rPr>
          <w:rFonts w:hint="default" w:ascii="Times New Roman" w:hAnsi="Times New Roman" w:cs="Times New Roman"/>
          <w:snapToGrid w:val="0"/>
          <w:color w:val="auto"/>
          <w:kern w:val="0"/>
          <w:highlight w:val="none"/>
        </w:rPr>
      </w:pPr>
    </w:p>
    <w:p w14:paraId="484A0E6C">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致：</w:t>
      </w:r>
      <w:r>
        <w:rPr>
          <w:rFonts w:hint="default" w:ascii="Times New Roman" w:hAnsi="Times New Roman" w:cs="Times New Roman"/>
          <w:snapToGrid w:val="0"/>
          <w:color w:val="auto"/>
          <w:kern w:val="0"/>
          <w:highlight w:val="none"/>
          <w:u w:val="single"/>
        </w:rPr>
        <w:t>重庆三峡银行股份有限公司</w:t>
      </w:r>
      <w:r>
        <w:rPr>
          <w:rFonts w:hint="default" w:ascii="Times New Roman" w:hAnsi="Times New Roman" w:cs="Times New Roman"/>
          <w:snapToGrid w:val="0"/>
          <w:color w:val="auto"/>
          <w:kern w:val="0"/>
          <w:highlight w:val="none"/>
        </w:rPr>
        <w:t>：</w:t>
      </w:r>
    </w:p>
    <w:p w14:paraId="1409DA57">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人法定代表人名称）是</w:t>
      </w: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人名称）的法定代表人，特授权</w:t>
      </w:r>
      <w:r>
        <w:rPr>
          <w:rFonts w:hint="default" w:ascii="Times New Roman" w:hAnsi="Times New Roman" w:cs="Times New Roman"/>
          <w:snapToGrid w:val="0"/>
          <w:color w:val="auto"/>
          <w:kern w:val="0"/>
          <w:highlight w:val="none"/>
          <w:u w:val="single"/>
        </w:rPr>
        <w:t xml:space="preserve">        </w:t>
      </w:r>
      <w:r>
        <w:rPr>
          <w:rFonts w:hint="default" w:ascii="Times New Roman" w:hAnsi="Times New Roman" w:cs="Times New Roman"/>
          <w:snapToGrid w:val="0"/>
          <w:color w:val="auto"/>
          <w:kern w:val="0"/>
          <w:highlight w:val="none"/>
        </w:rPr>
        <w:t>（被授权人姓名及身份证代码）代表我单位全权办理上述项目的</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、谈判、签约等具体工作，并签署全部有关文件、协议及合同。</w:t>
      </w:r>
    </w:p>
    <w:p w14:paraId="1D1D535F">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我单位对被授权人的签字负全部责任。</w:t>
      </w:r>
    </w:p>
    <w:p w14:paraId="65C3F511">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在撤消授权的书面通知以前，本授权书一直有效。被授权人在授权书有效期内签署的所有文件不因授权的撤消而失效。</w:t>
      </w:r>
    </w:p>
    <w:p w14:paraId="58D14B7C">
      <w:pPr>
        <w:tabs>
          <w:tab w:val="left" w:pos="6300"/>
        </w:tabs>
        <w:snapToGrid w:val="0"/>
        <w:spacing w:line="360" w:lineRule="auto"/>
        <w:rPr>
          <w:rFonts w:hint="default" w:ascii="Times New Roman" w:hAnsi="Times New Roman" w:cs="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4C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vAlign w:val="center"/>
          </w:tcPr>
          <w:p w14:paraId="6A573483">
            <w:pPr>
              <w:tabs>
                <w:tab w:val="left" w:pos="6300"/>
              </w:tabs>
              <w:snapToGrid w:val="0"/>
              <w:spacing w:line="360" w:lineRule="auto"/>
              <w:ind w:firstLine="0" w:firstLineChars="0"/>
              <w:jc w:val="both"/>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被授权人</w:t>
            </w:r>
          </w:p>
        </w:tc>
        <w:tc>
          <w:tcPr>
            <w:tcW w:w="4261" w:type="dxa"/>
            <w:tcBorders>
              <w:top w:val="nil"/>
              <w:left w:val="nil"/>
              <w:bottom w:val="nil"/>
              <w:right w:val="nil"/>
            </w:tcBorders>
            <w:vAlign w:val="center"/>
          </w:tcPr>
          <w:p w14:paraId="67C093AE">
            <w:pPr>
              <w:tabs>
                <w:tab w:val="left" w:pos="6300"/>
              </w:tabs>
              <w:snapToGrid w:val="0"/>
              <w:spacing w:line="360" w:lineRule="auto"/>
              <w:ind w:firstLine="0" w:firstLineChars="0"/>
              <w:jc w:val="both"/>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人法定代表人名称：</w:t>
            </w:r>
          </w:p>
        </w:tc>
      </w:tr>
      <w:tr w14:paraId="642D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711A1274">
            <w:pPr>
              <w:tabs>
                <w:tab w:val="left" w:pos="6300"/>
              </w:tabs>
              <w:snapToGrid w:val="0"/>
              <w:spacing w:line="360" w:lineRule="auto"/>
              <w:ind w:firstLine="0" w:firstLineChars="0"/>
              <w:jc w:val="both"/>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szCs w:val="28"/>
                <w:highlight w:val="none"/>
              </w:rPr>
              <w:t>（签字或盖章）</w:t>
            </w:r>
          </w:p>
        </w:tc>
        <w:tc>
          <w:tcPr>
            <w:tcW w:w="4261" w:type="dxa"/>
            <w:tcBorders>
              <w:top w:val="nil"/>
              <w:left w:val="nil"/>
              <w:bottom w:val="nil"/>
              <w:right w:val="nil"/>
            </w:tcBorders>
            <w:vAlign w:val="center"/>
          </w:tcPr>
          <w:p w14:paraId="5265C65C">
            <w:pPr>
              <w:tabs>
                <w:tab w:val="left" w:pos="6300"/>
              </w:tabs>
              <w:snapToGrid w:val="0"/>
              <w:spacing w:line="360" w:lineRule="auto"/>
              <w:ind w:firstLine="0" w:firstLineChars="0"/>
              <w:jc w:val="both"/>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szCs w:val="28"/>
                <w:highlight w:val="none"/>
              </w:rPr>
              <w:t>（签字或盖章）</w:t>
            </w:r>
          </w:p>
        </w:tc>
      </w:tr>
    </w:tbl>
    <w:p w14:paraId="29FED508">
      <w:pPr>
        <w:tabs>
          <w:tab w:val="left" w:pos="6300"/>
        </w:tabs>
        <w:snapToGrid w:val="0"/>
        <w:spacing w:line="360" w:lineRule="auto"/>
        <w:rPr>
          <w:rFonts w:hint="default" w:ascii="Times New Roman" w:hAnsi="Times New Roman" w:cs="Times New Roman"/>
          <w:snapToGrid w:val="0"/>
          <w:color w:val="auto"/>
          <w:kern w:val="0"/>
          <w:highlight w:val="none"/>
        </w:rPr>
      </w:pPr>
    </w:p>
    <w:p w14:paraId="0726CB98">
      <w:pPr>
        <w:tabs>
          <w:tab w:val="left" w:pos="6300"/>
        </w:tabs>
        <w:snapToGrid w:val="0"/>
        <w:spacing w:line="360" w:lineRule="auto"/>
        <w:rPr>
          <w:rFonts w:hint="default" w:ascii="Times New Roman" w:hAnsi="Times New Roman" w:cs="Times New Roman"/>
          <w:snapToGrid w:val="0"/>
          <w:color w:val="auto"/>
          <w:kern w:val="0"/>
          <w:szCs w:val="28"/>
          <w:highlight w:val="none"/>
        </w:rPr>
      </w:pPr>
    </w:p>
    <w:p w14:paraId="055A0380">
      <w:pPr>
        <w:tabs>
          <w:tab w:val="left" w:pos="6300"/>
        </w:tabs>
        <w:snapToGrid w:val="0"/>
        <w:spacing w:line="360" w:lineRule="auto"/>
        <w:rPr>
          <w:rFonts w:hint="default" w:ascii="Times New Roman" w:hAnsi="Times New Roman" w:cs="Times New Roman"/>
          <w:snapToGrid w:val="0"/>
          <w:color w:val="auto"/>
          <w:kern w:val="0"/>
          <w:highlight w:val="none"/>
        </w:rPr>
      </w:pPr>
    </w:p>
    <w:p w14:paraId="6869F14A">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（附：被授权人身份证正反面复印件）</w:t>
      </w:r>
    </w:p>
    <w:p w14:paraId="39CC40AB">
      <w:pPr>
        <w:tabs>
          <w:tab w:val="left" w:pos="6300"/>
        </w:tabs>
        <w:snapToGrid w:val="0"/>
        <w:spacing w:line="360" w:lineRule="auto"/>
        <w:rPr>
          <w:rFonts w:hint="default" w:ascii="Times New Roman" w:hAnsi="Times New Roman" w:cs="Times New Roman"/>
          <w:snapToGrid w:val="0"/>
          <w:color w:val="auto"/>
          <w:kern w:val="0"/>
          <w:highlight w:val="none"/>
        </w:rPr>
      </w:pPr>
    </w:p>
    <w:p w14:paraId="53C3B028">
      <w:pPr>
        <w:tabs>
          <w:tab w:val="left" w:pos="6300"/>
        </w:tabs>
        <w:snapToGrid w:val="0"/>
        <w:spacing w:line="360" w:lineRule="auto"/>
        <w:rPr>
          <w:rFonts w:hint="default" w:ascii="Times New Roman" w:hAnsi="Times New Roman" w:cs="Times New Roman"/>
          <w:snapToGrid w:val="0"/>
          <w:color w:val="auto"/>
          <w:kern w:val="0"/>
          <w:highlight w:val="none"/>
        </w:rPr>
      </w:pPr>
    </w:p>
    <w:p w14:paraId="65A56AA0">
      <w:pPr>
        <w:tabs>
          <w:tab w:val="left" w:pos="6300"/>
        </w:tabs>
        <w:snapToGrid w:val="0"/>
        <w:spacing w:line="360" w:lineRule="auto"/>
        <w:ind w:right="480"/>
        <w:jc w:val="right"/>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人公章）</w:t>
      </w:r>
    </w:p>
    <w:p w14:paraId="2721E711">
      <w:pPr>
        <w:tabs>
          <w:tab w:val="left" w:pos="6300"/>
        </w:tabs>
        <w:snapToGrid w:val="0"/>
        <w:spacing w:line="360" w:lineRule="auto"/>
        <w:ind w:right="480"/>
        <w:jc w:val="right"/>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年   月   日</w:t>
      </w:r>
    </w:p>
    <w:p w14:paraId="190B8A22">
      <w:pPr>
        <w:tabs>
          <w:tab w:val="left" w:pos="6300"/>
        </w:tabs>
        <w:snapToGrid w:val="0"/>
        <w:spacing w:line="360" w:lineRule="auto"/>
        <w:rPr>
          <w:rFonts w:hint="default" w:ascii="Times New Roman" w:hAnsi="Times New Roman" w:cs="Times New Roman"/>
          <w:snapToGrid w:val="0"/>
          <w:color w:val="auto"/>
          <w:kern w:val="0"/>
          <w:highlight w:val="none"/>
        </w:rPr>
      </w:pPr>
    </w:p>
    <w:p w14:paraId="1840AA1A">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注：1.若为法定代表人办理并签署参选文件的，不提供此文件。</w:t>
      </w:r>
    </w:p>
    <w:p w14:paraId="3A44FFCD">
      <w:pPr>
        <w:rPr>
          <w:rFonts w:hint="default" w:ascii="Times New Roman" w:hAnsi="Times New Roman" w:cs="Times New Roman"/>
          <w:color w:val="auto"/>
          <w:highlight w:val="none"/>
        </w:rPr>
      </w:pPr>
    </w:p>
    <w:p w14:paraId="47A2D80E">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B5A0AD5">
      <w:pPr>
        <w:pStyle w:val="36"/>
        <w:rPr>
          <w:rFonts w:hint="default" w:ascii="Times New Roman" w:hAnsi="Times New Roman" w:cs="Times New Roman"/>
          <w:color w:val="auto"/>
          <w:highlight w:val="none"/>
        </w:rPr>
      </w:pPr>
      <w:r>
        <w:rPr>
          <w:rFonts w:hint="default" w:ascii="Times New Roman" w:hAnsi="Times New Roman" w:cs="Times New Roman"/>
          <w:color w:val="auto"/>
          <w:highlight w:val="none"/>
        </w:rPr>
        <w:t>（三）书面声明</w:t>
      </w:r>
    </w:p>
    <w:p w14:paraId="3D814C74">
      <w:pPr>
        <w:tabs>
          <w:tab w:val="left" w:pos="6300"/>
        </w:tabs>
        <w:snapToGrid w:val="0"/>
        <w:spacing w:line="360" w:lineRule="auto"/>
        <w:rPr>
          <w:rFonts w:hint="default" w:ascii="Times New Roman" w:hAnsi="Times New Roman" w:cs="Times New Roman"/>
          <w:color w:val="auto"/>
          <w:highlight w:val="none"/>
        </w:rPr>
      </w:pPr>
    </w:p>
    <w:p w14:paraId="1E03C8E6">
      <w:pPr>
        <w:tabs>
          <w:tab w:val="left" w:pos="6300"/>
        </w:tabs>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szCs w:val="28"/>
          <w:highlight w:val="none"/>
        </w:rPr>
        <w:t>项目名称</w:t>
      </w:r>
      <w:r>
        <w:rPr>
          <w:rFonts w:hint="default" w:ascii="Times New Roman" w:hAnsi="Times New Roman" w:cs="Times New Roman"/>
          <w:color w:val="auto"/>
          <w:highlight w:val="none"/>
        </w:rPr>
        <w:t>：</w:t>
      </w:r>
      <w:r>
        <w:rPr>
          <w:rFonts w:hint="default" w:ascii="Times New Roman" w:hAnsi="Times New Roman" w:cs="Times New Roman"/>
          <w:snapToGrid w:val="0"/>
          <w:color w:val="auto"/>
          <w:kern w:val="0"/>
          <w:szCs w:val="24"/>
          <w:highlight w:val="none"/>
          <w:u w:val="single"/>
        </w:rPr>
        <w:t>__________________</w:t>
      </w:r>
    </w:p>
    <w:p w14:paraId="7DFA947B">
      <w:pPr>
        <w:tabs>
          <w:tab w:val="left" w:pos="6300"/>
        </w:tabs>
        <w:snapToGrid w:val="0"/>
        <w:spacing w:line="360" w:lineRule="auto"/>
        <w:rPr>
          <w:rFonts w:hint="default" w:ascii="Times New Roman" w:hAnsi="Times New Roman" w:cs="Times New Roman"/>
          <w:color w:val="auto"/>
          <w:highlight w:val="none"/>
        </w:rPr>
      </w:pPr>
    </w:p>
    <w:p w14:paraId="66D7EBE9">
      <w:pPr>
        <w:tabs>
          <w:tab w:val="left" w:pos="6300"/>
        </w:tabs>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致：</w:t>
      </w:r>
      <w:r>
        <w:rPr>
          <w:rFonts w:hint="default" w:ascii="Times New Roman" w:hAnsi="Times New Roman" w:cs="Times New Roman"/>
          <w:snapToGrid w:val="0"/>
          <w:color w:val="auto"/>
          <w:kern w:val="0"/>
          <w:highlight w:val="none"/>
          <w:u w:val="single"/>
        </w:rPr>
        <w:t>重庆三峡银行股份有限公司</w:t>
      </w:r>
      <w:r>
        <w:rPr>
          <w:rFonts w:hint="default" w:ascii="Times New Roman" w:hAnsi="Times New Roman" w:cs="Times New Roman"/>
          <w:color w:val="auto"/>
          <w:highlight w:val="none"/>
        </w:rPr>
        <w:t>：</w:t>
      </w:r>
    </w:p>
    <w:p w14:paraId="160A37A3">
      <w:pPr>
        <w:tabs>
          <w:tab w:val="left" w:pos="6300"/>
        </w:tabs>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color w:val="auto"/>
          <w:highlight w:val="none"/>
        </w:rPr>
        <w:t>人资格条件；</w:t>
      </w:r>
      <w:r>
        <w:rPr>
          <w:rFonts w:hint="default" w:ascii="Times New Roman" w:hAnsi="Times New Roman" w:cs="Times New Roman"/>
          <w:color w:val="auto"/>
          <w:szCs w:val="24"/>
          <w:highlight w:val="none"/>
        </w:rPr>
        <w:t>我公司本次如若中选，中选后不会对项目进行转包</w:t>
      </w:r>
      <w:r>
        <w:rPr>
          <w:rFonts w:hint="default" w:ascii="Times New Roman" w:hAnsi="Times New Roman" w:cs="Times New Roman"/>
          <w:color w:val="auto"/>
          <w:highlight w:val="none"/>
        </w:rPr>
        <w:t>。我方对以上声明负全部法律责任。</w:t>
      </w:r>
    </w:p>
    <w:p w14:paraId="70B3BC6D">
      <w:pPr>
        <w:tabs>
          <w:tab w:val="left" w:pos="6300"/>
        </w:tabs>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特此声明。</w:t>
      </w:r>
    </w:p>
    <w:p w14:paraId="2D18F06A">
      <w:pPr>
        <w:tabs>
          <w:tab w:val="left" w:pos="6300"/>
        </w:tabs>
        <w:snapToGrid w:val="0"/>
        <w:spacing w:line="360" w:lineRule="auto"/>
        <w:rPr>
          <w:rFonts w:hint="default" w:ascii="Times New Roman" w:hAnsi="Times New Roman" w:cs="Times New Roman"/>
          <w:color w:val="auto"/>
          <w:highlight w:val="none"/>
        </w:rPr>
      </w:pPr>
    </w:p>
    <w:p w14:paraId="25AE72DD">
      <w:pPr>
        <w:tabs>
          <w:tab w:val="left" w:pos="6300"/>
        </w:tabs>
        <w:snapToGrid w:val="0"/>
        <w:spacing w:line="360" w:lineRule="auto"/>
        <w:rPr>
          <w:rFonts w:hint="default" w:ascii="Times New Roman" w:hAnsi="Times New Roman" w:cs="Times New Roman"/>
          <w:color w:val="auto"/>
          <w:highlight w:val="none"/>
        </w:rPr>
      </w:pPr>
    </w:p>
    <w:p w14:paraId="0D9E9353">
      <w:pPr>
        <w:tabs>
          <w:tab w:val="left" w:pos="6300"/>
        </w:tabs>
        <w:snapToGrid w:val="0"/>
        <w:spacing w:line="360" w:lineRule="auto"/>
        <w:rPr>
          <w:rFonts w:hint="default" w:ascii="Times New Roman" w:hAnsi="Times New Roman" w:cs="Times New Roman"/>
          <w:color w:val="auto"/>
          <w:highlight w:val="none"/>
        </w:rPr>
      </w:pPr>
    </w:p>
    <w:p w14:paraId="2C88F9F4">
      <w:pPr>
        <w:tabs>
          <w:tab w:val="left" w:pos="6300"/>
        </w:tabs>
        <w:snapToGrid w:val="0"/>
        <w:spacing w:line="360" w:lineRule="auto"/>
        <w:ind w:right="424"/>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color w:val="auto"/>
          <w:highlight w:val="none"/>
        </w:rPr>
        <w:t>人公章）</w:t>
      </w:r>
    </w:p>
    <w:p w14:paraId="619159A0">
      <w:pPr>
        <w:tabs>
          <w:tab w:val="left" w:pos="6300"/>
        </w:tabs>
        <w:snapToGrid w:val="0"/>
        <w:spacing w:line="360" w:lineRule="auto"/>
        <w:ind w:right="48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p w14:paraId="15BA3F66">
      <w:pPr>
        <w:spacing w:line="360" w:lineRule="auto"/>
        <w:jc w:val="left"/>
        <w:rPr>
          <w:rFonts w:hint="default" w:ascii="Times New Roman" w:hAnsi="Times New Roman" w:cs="Times New Roman"/>
          <w:snapToGrid w:val="0"/>
          <w:color w:val="auto"/>
          <w:kern w:val="0"/>
          <w:szCs w:val="24"/>
          <w:highlight w:val="none"/>
        </w:rPr>
      </w:pPr>
    </w:p>
    <w:p w14:paraId="5E2D1418">
      <w:pPr>
        <w:spacing w:line="360" w:lineRule="auto"/>
        <w:jc w:val="left"/>
        <w:rPr>
          <w:rFonts w:hint="default" w:ascii="Times New Roman" w:hAnsi="Times New Roman" w:cs="Times New Roman"/>
          <w:snapToGrid w:val="0"/>
          <w:color w:val="auto"/>
          <w:kern w:val="0"/>
          <w:szCs w:val="24"/>
          <w:highlight w:val="none"/>
        </w:rPr>
      </w:pPr>
    </w:p>
    <w:p w14:paraId="106C4BD1">
      <w:pPr>
        <w:spacing w:line="360" w:lineRule="auto"/>
        <w:jc w:val="left"/>
        <w:rPr>
          <w:rFonts w:hint="default" w:ascii="Times New Roman" w:hAnsi="Times New Roman" w:cs="Times New Roman"/>
          <w:snapToGrid w:val="0"/>
          <w:color w:val="auto"/>
          <w:kern w:val="0"/>
          <w:szCs w:val="24"/>
          <w:highlight w:val="none"/>
        </w:rPr>
      </w:pPr>
    </w:p>
    <w:p w14:paraId="45EE3932">
      <w:pPr>
        <w:spacing w:line="360" w:lineRule="auto"/>
        <w:jc w:val="left"/>
        <w:rPr>
          <w:rFonts w:hint="default" w:ascii="Times New Roman" w:hAnsi="Times New Roman" w:cs="Times New Roman"/>
          <w:snapToGrid w:val="0"/>
          <w:color w:val="auto"/>
          <w:kern w:val="0"/>
          <w:szCs w:val="24"/>
          <w:highlight w:val="none"/>
        </w:rPr>
      </w:pPr>
    </w:p>
    <w:p w14:paraId="03DF0665">
      <w:pPr>
        <w:spacing w:line="360" w:lineRule="auto"/>
        <w:jc w:val="left"/>
        <w:rPr>
          <w:rFonts w:hint="default" w:ascii="Times New Roman" w:hAnsi="Times New Roman" w:cs="Times New Roman"/>
          <w:snapToGrid w:val="0"/>
          <w:color w:val="auto"/>
          <w:kern w:val="0"/>
          <w:szCs w:val="24"/>
          <w:highlight w:val="none"/>
        </w:rPr>
      </w:pPr>
    </w:p>
    <w:p w14:paraId="52125EDC">
      <w:pPr>
        <w:spacing w:line="360" w:lineRule="auto"/>
        <w:jc w:val="left"/>
        <w:rPr>
          <w:rFonts w:hint="default" w:ascii="Times New Roman" w:hAnsi="Times New Roman" w:cs="Times New Roman"/>
          <w:snapToGrid w:val="0"/>
          <w:color w:val="auto"/>
          <w:kern w:val="0"/>
          <w:szCs w:val="24"/>
          <w:highlight w:val="none"/>
        </w:rPr>
      </w:pPr>
    </w:p>
    <w:p w14:paraId="2B2253AB">
      <w:pPr>
        <w:spacing w:line="360" w:lineRule="auto"/>
        <w:jc w:val="left"/>
        <w:rPr>
          <w:rFonts w:hint="default" w:ascii="Times New Roman" w:hAnsi="Times New Roman" w:cs="Times New Roman"/>
          <w:snapToGrid w:val="0"/>
          <w:color w:val="auto"/>
          <w:kern w:val="0"/>
          <w:szCs w:val="24"/>
          <w:highlight w:val="none"/>
        </w:rPr>
      </w:pPr>
    </w:p>
    <w:p w14:paraId="0B60F932">
      <w:pPr>
        <w:rPr>
          <w:rFonts w:hint="default" w:ascii="Times New Roman" w:hAnsi="Times New Roman" w:cs="Times New Roman"/>
          <w:b/>
          <w:bCs/>
          <w:color w:val="auto"/>
          <w:highlight w:val="none"/>
        </w:rPr>
      </w:pPr>
      <w:r>
        <w:rPr>
          <w:rFonts w:hint="default" w:ascii="Times New Roman" w:hAnsi="Times New Roman" w:cs="Times New Roman"/>
          <w:color w:val="auto"/>
          <w:kern w:val="0"/>
          <w:highlight w:val="none"/>
        </w:rPr>
        <w:br w:type="page"/>
      </w:r>
    </w:p>
    <w:p w14:paraId="0BFCF553">
      <w:pPr>
        <w:pStyle w:val="36"/>
        <w:rPr>
          <w:rFonts w:hint="default" w:ascii="Times New Roman" w:hAnsi="Times New Roman" w:cs="Times New Roman"/>
          <w:color w:val="auto"/>
          <w:highlight w:val="none"/>
        </w:rPr>
      </w:pPr>
      <w:r>
        <w:rPr>
          <w:rFonts w:hint="default" w:ascii="Times New Roman" w:hAnsi="Times New Roman" w:cs="Times New Roman"/>
          <w:color w:val="auto"/>
          <w:highlight w:val="none"/>
        </w:rPr>
        <w:t>（四）中国执行信息公开网截图</w:t>
      </w:r>
    </w:p>
    <w:p w14:paraId="6CD443C0">
      <w:pPr>
        <w:numPr>
          <w:ilvl w:val="-1"/>
          <w:numId w:val="0"/>
        </w:numPr>
        <w:ind w:firstLine="0" w:firstLineChars="0"/>
        <w:jc w:val="center"/>
        <w:outlineLvl w:val="9"/>
        <w:rPr>
          <w:rFonts w:ascii="Times New Roman" w:hAnsi="Times New Roman"/>
          <w:color w:val="auto"/>
          <w:highlight w:val="none"/>
        </w:rPr>
      </w:pPr>
      <w:r>
        <w:rPr>
          <w:rFonts w:ascii="Times New Roman" w:hAnsi="Times New Roman"/>
          <w:color w:val="auto"/>
          <w:highlight w:val="none"/>
        </w:rPr>
        <w:t>（法人及法定代表人中国执行信息公开网截图）</w:t>
      </w:r>
    </w:p>
    <w:p w14:paraId="5BB7E0C1">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1.法人</w:t>
      </w:r>
      <w:r>
        <w:rPr>
          <w:rFonts w:hint="default" w:ascii="Times New Roman" w:hAnsi="Times New Roman" w:cs="Times New Roman"/>
          <w:color w:val="auto"/>
          <w:highlight w:val="none"/>
        </w:rPr>
        <w:t>中国执行信息公开网截图</w:t>
      </w:r>
    </w:p>
    <w:p w14:paraId="0BCE0C60">
      <w:pPr>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2.法定代表人</w:t>
      </w:r>
      <w:r>
        <w:rPr>
          <w:rFonts w:hint="default" w:ascii="Times New Roman" w:hAnsi="Times New Roman" w:cs="Times New Roman"/>
          <w:color w:val="auto"/>
          <w:highlight w:val="none"/>
        </w:rPr>
        <w:t>中国执行信息公开网截图</w:t>
      </w:r>
    </w:p>
    <w:p w14:paraId="714F1A53">
      <w:pPr>
        <w:rPr>
          <w:rFonts w:hint="default" w:eastAsia="宋体"/>
          <w:color w:val="auto"/>
          <w:highlight w:val="none"/>
          <w:lang w:val="en-US" w:eastAsia="zh-CN"/>
        </w:rPr>
      </w:pPr>
    </w:p>
    <w:p w14:paraId="50E4F643">
      <w:pPr>
        <w:rPr>
          <w:rFonts w:hint="default" w:ascii="Times New Roman" w:hAnsi="Times New Roman" w:cs="Times New Roman"/>
          <w:color w:val="auto"/>
          <w:highlight w:val="none"/>
        </w:rPr>
      </w:pPr>
    </w:p>
    <w:p w14:paraId="52C51C94">
      <w:pPr>
        <w:rPr>
          <w:rFonts w:hint="default" w:ascii="Times New Roman" w:hAnsi="Times New Roman" w:cs="Times New Roman"/>
          <w:color w:val="auto"/>
          <w:highlight w:val="none"/>
        </w:rPr>
      </w:pPr>
    </w:p>
    <w:p w14:paraId="681E28FC">
      <w:pPr>
        <w:rPr>
          <w:rFonts w:hint="default" w:ascii="Times New Roman" w:hAnsi="Times New Roman" w:cs="Times New Roman"/>
          <w:color w:val="auto"/>
          <w:highlight w:val="none"/>
        </w:rPr>
      </w:pPr>
    </w:p>
    <w:p w14:paraId="3E85BB66">
      <w:pPr>
        <w:rPr>
          <w:rFonts w:hint="default" w:ascii="Times New Roman" w:hAnsi="Times New Roman" w:cs="Times New Roman"/>
          <w:color w:val="auto"/>
          <w:highlight w:val="none"/>
        </w:rPr>
      </w:pPr>
    </w:p>
    <w:p w14:paraId="0C463024">
      <w:pPr>
        <w:rPr>
          <w:rFonts w:hint="default" w:ascii="Times New Roman" w:hAnsi="Times New Roman" w:cs="Times New Roman"/>
          <w:color w:val="auto"/>
          <w:highlight w:val="none"/>
        </w:rPr>
      </w:pPr>
    </w:p>
    <w:p w14:paraId="3D5D2A2C">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71056CA8">
      <w:pPr>
        <w:pStyle w:val="36"/>
        <w:numPr>
          <w:ilvl w:val="0"/>
          <w:numId w:val="46"/>
        </w:numPr>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rPr>
        <w:t>项目案例</w:t>
      </w:r>
      <w:r>
        <w:rPr>
          <w:rFonts w:hint="default" w:ascii="Times New Roman" w:hAnsi="Times New Roman" w:cs="Times New Roman"/>
          <w:color w:val="auto"/>
          <w:highlight w:val="none"/>
        </w:rPr>
        <w:t>证明文件复印件</w:t>
      </w:r>
    </w:p>
    <w:p w14:paraId="4119539D">
      <w:pPr>
        <w:numPr>
          <w:ilvl w:val="0"/>
          <w:numId w:val="0"/>
        </w:numPr>
        <w:jc w:val="center"/>
        <w:rPr>
          <w:rFonts w:hint="default"/>
          <w:color w:val="auto"/>
          <w:highlight w:val="none"/>
        </w:rPr>
      </w:pPr>
      <w:r>
        <w:rPr>
          <w:rFonts w:hint="eastAsia"/>
          <w:color w:val="auto"/>
          <w:highlight w:val="none"/>
          <w:lang w:val="en-US" w:eastAsia="zh-CN"/>
        </w:rPr>
        <w:t>项目案例汇总清单</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69"/>
        <w:gridCol w:w="1556"/>
        <w:gridCol w:w="2100"/>
        <w:gridCol w:w="1669"/>
      </w:tblGrid>
      <w:tr w14:paraId="0C8B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0AD6670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项目</w:t>
            </w:r>
            <w:r>
              <w:rPr>
                <w:rFonts w:hint="default" w:ascii="Times New Roman" w:hAnsi="Times New Roman" w:cs="Times New Roman"/>
                <w:b w:val="0"/>
                <w:color w:val="auto"/>
                <w:spacing w:val="0"/>
                <w:sz w:val="21"/>
                <w:szCs w:val="21"/>
                <w:highlight w:val="none"/>
                <w:lang w:val="en-US" w:eastAsia="zh-CN"/>
              </w:rPr>
              <w:t>名称</w:t>
            </w:r>
            <w:r>
              <w:rPr>
                <w:rFonts w:hint="default" w:ascii="Times New Roman" w:hAnsi="Times New Roman" w:cs="Times New Roman"/>
                <w:b w:val="0"/>
                <w:color w:val="auto"/>
                <w:spacing w:val="0"/>
                <w:sz w:val="21"/>
                <w:szCs w:val="21"/>
                <w:highlight w:val="none"/>
                <w:lang w:eastAsia="zh-CN"/>
              </w:rPr>
              <w:t>：</w:t>
            </w:r>
            <w:r>
              <w:rPr>
                <w:rFonts w:hint="eastAsia" w:ascii="Times New Roman" w:hAnsi="Times New Roman" w:cs="Times New Roman"/>
                <w:b w:val="0"/>
                <w:color w:val="auto"/>
                <w:spacing w:val="0"/>
                <w:sz w:val="21"/>
                <w:szCs w:val="21"/>
                <w:highlight w:val="none"/>
                <w:lang w:val="en-US" w:eastAsia="zh-CN"/>
              </w:rPr>
              <w:t>新一代数据中台项目（一期）</w:t>
            </w:r>
          </w:p>
        </w:tc>
      </w:tr>
      <w:tr w14:paraId="2E7F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top"/>
          </w:tcPr>
          <w:p w14:paraId="470A2B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案例分类</w:t>
            </w:r>
          </w:p>
        </w:tc>
        <w:tc>
          <w:tcPr>
            <w:tcW w:w="1669" w:type="dxa"/>
            <w:vAlign w:val="top"/>
          </w:tcPr>
          <w:p w14:paraId="2490573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合同名称</w:t>
            </w:r>
          </w:p>
        </w:tc>
        <w:tc>
          <w:tcPr>
            <w:tcW w:w="1556" w:type="dxa"/>
            <w:vAlign w:val="top"/>
          </w:tcPr>
          <w:p w14:paraId="2F4E732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合同签署时间</w:t>
            </w:r>
          </w:p>
        </w:tc>
        <w:tc>
          <w:tcPr>
            <w:tcW w:w="2100" w:type="dxa"/>
            <w:vAlign w:val="top"/>
          </w:tcPr>
          <w:p w14:paraId="7E300F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客户类型</w:t>
            </w:r>
          </w:p>
        </w:tc>
        <w:tc>
          <w:tcPr>
            <w:tcW w:w="1669" w:type="dxa"/>
            <w:vAlign w:val="top"/>
          </w:tcPr>
          <w:p w14:paraId="44FC1F3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客户名称</w:t>
            </w:r>
          </w:p>
        </w:tc>
      </w:tr>
      <w:tr w14:paraId="2764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vAlign w:val="center"/>
          </w:tcPr>
          <w:p w14:paraId="224007A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参选人资格要求案例</w:t>
            </w:r>
          </w:p>
        </w:tc>
        <w:tc>
          <w:tcPr>
            <w:tcW w:w="1669" w:type="dxa"/>
            <w:vAlign w:val="center"/>
          </w:tcPr>
          <w:p w14:paraId="70A7A0A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c>
          <w:tcPr>
            <w:tcW w:w="1556" w:type="dxa"/>
            <w:vAlign w:val="center"/>
          </w:tcPr>
          <w:p w14:paraId="73B01A6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XXXX年XX月</w:t>
            </w:r>
          </w:p>
        </w:tc>
        <w:tc>
          <w:tcPr>
            <w:tcW w:w="2100" w:type="dxa"/>
            <w:vAlign w:val="center"/>
          </w:tcPr>
          <w:p w14:paraId="05CC19C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kern w:val="0"/>
                <w:sz w:val="21"/>
                <w:szCs w:val="21"/>
                <w:highlight w:val="none"/>
                <w:lang w:val="en-US" w:eastAsia="zh-CN"/>
              </w:rPr>
              <w:t>国有银行或全国性股份制银行或城市商业银行或省级农信社（农商行）</w:t>
            </w:r>
          </w:p>
        </w:tc>
        <w:tc>
          <w:tcPr>
            <w:tcW w:w="1669" w:type="dxa"/>
            <w:vAlign w:val="center"/>
          </w:tcPr>
          <w:p w14:paraId="357E37B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XXX银行</w:t>
            </w:r>
          </w:p>
        </w:tc>
      </w:tr>
      <w:tr w14:paraId="415E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0B88C7F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color w:val="auto"/>
                <w:sz w:val="21"/>
                <w:szCs w:val="21"/>
                <w:highlight w:val="none"/>
                <w:vertAlign w:val="baseline"/>
                <w:lang w:val="en-US" w:eastAsia="zh-CN"/>
              </w:rPr>
            </w:pPr>
          </w:p>
        </w:tc>
        <w:tc>
          <w:tcPr>
            <w:tcW w:w="1669" w:type="dxa"/>
            <w:vAlign w:val="center"/>
          </w:tcPr>
          <w:p w14:paraId="0A1AD41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1556" w:type="dxa"/>
            <w:vAlign w:val="center"/>
          </w:tcPr>
          <w:p w14:paraId="322D03C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100" w:type="dxa"/>
            <w:vAlign w:val="center"/>
          </w:tcPr>
          <w:p w14:paraId="1E39494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1669" w:type="dxa"/>
            <w:vAlign w:val="center"/>
          </w:tcPr>
          <w:p w14:paraId="4AF292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r>
      <w:tr w14:paraId="101D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6732535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color w:val="auto"/>
                <w:sz w:val="21"/>
                <w:szCs w:val="21"/>
                <w:highlight w:val="none"/>
                <w:vertAlign w:val="baseline"/>
                <w:lang w:val="en-US" w:eastAsia="zh-CN"/>
              </w:rPr>
            </w:pPr>
          </w:p>
        </w:tc>
        <w:tc>
          <w:tcPr>
            <w:tcW w:w="1669" w:type="dxa"/>
            <w:vAlign w:val="center"/>
          </w:tcPr>
          <w:p w14:paraId="0A6ED4F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1556" w:type="dxa"/>
            <w:vAlign w:val="center"/>
          </w:tcPr>
          <w:p w14:paraId="324758D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100" w:type="dxa"/>
            <w:vAlign w:val="center"/>
          </w:tcPr>
          <w:p w14:paraId="4066FDA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1669" w:type="dxa"/>
            <w:vAlign w:val="center"/>
          </w:tcPr>
          <w:p w14:paraId="2305974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r>
      <w:tr w14:paraId="78CF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vAlign w:val="center"/>
          </w:tcPr>
          <w:p w14:paraId="4E312EA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湖仓一体底座原厂商案例</w:t>
            </w:r>
          </w:p>
        </w:tc>
        <w:tc>
          <w:tcPr>
            <w:tcW w:w="1669" w:type="dxa"/>
            <w:vAlign w:val="center"/>
          </w:tcPr>
          <w:p w14:paraId="7B3D0FB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1556" w:type="dxa"/>
            <w:vAlign w:val="center"/>
          </w:tcPr>
          <w:p w14:paraId="1F813E6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100" w:type="dxa"/>
            <w:vAlign w:val="center"/>
          </w:tcPr>
          <w:p w14:paraId="0AB291B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1669" w:type="dxa"/>
            <w:vAlign w:val="center"/>
          </w:tcPr>
          <w:p w14:paraId="7257620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r>
      <w:tr w14:paraId="4DD7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324247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color w:val="auto"/>
                <w:sz w:val="21"/>
                <w:szCs w:val="21"/>
                <w:highlight w:val="none"/>
                <w:vertAlign w:val="baseline"/>
                <w:lang w:val="en-US" w:eastAsia="zh-CN"/>
              </w:rPr>
            </w:pPr>
          </w:p>
        </w:tc>
        <w:tc>
          <w:tcPr>
            <w:tcW w:w="1669" w:type="dxa"/>
            <w:vAlign w:val="center"/>
          </w:tcPr>
          <w:p w14:paraId="2529D59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1556" w:type="dxa"/>
            <w:vAlign w:val="center"/>
          </w:tcPr>
          <w:p w14:paraId="728225D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2100" w:type="dxa"/>
            <w:vAlign w:val="center"/>
          </w:tcPr>
          <w:p w14:paraId="24AF728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1669" w:type="dxa"/>
            <w:vAlign w:val="center"/>
          </w:tcPr>
          <w:p w14:paraId="186660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r>
      <w:tr w14:paraId="6A41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7B7A56A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cs="Times New Roman"/>
                <w:color w:val="auto"/>
                <w:sz w:val="21"/>
                <w:szCs w:val="21"/>
                <w:highlight w:val="none"/>
                <w:vertAlign w:val="baseline"/>
                <w:lang w:val="en-US" w:eastAsia="zh-CN"/>
              </w:rPr>
            </w:pPr>
          </w:p>
        </w:tc>
        <w:tc>
          <w:tcPr>
            <w:tcW w:w="1669" w:type="dxa"/>
            <w:vAlign w:val="center"/>
          </w:tcPr>
          <w:p w14:paraId="0C4FC32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1556" w:type="dxa"/>
            <w:vAlign w:val="center"/>
          </w:tcPr>
          <w:p w14:paraId="68042A2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2100" w:type="dxa"/>
            <w:vAlign w:val="center"/>
          </w:tcPr>
          <w:p w14:paraId="7EB3898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1669" w:type="dxa"/>
            <w:vAlign w:val="center"/>
          </w:tcPr>
          <w:p w14:paraId="37756BD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r>
      <w:tr w14:paraId="3802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8" w:type="dxa"/>
            <w:vMerge w:val="restart"/>
            <w:vAlign w:val="center"/>
          </w:tcPr>
          <w:p w14:paraId="6448B45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参选人案例</w:t>
            </w:r>
          </w:p>
        </w:tc>
        <w:tc>
          <w:tcPr>
            <w:tcW w:w="1669" w:type="dxa"/>
            <w:vAlign w:val="center"/>
          </w:tcPr>
          <w:p w14:paraId="41D2A29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556" w:type="dxa"/>
            <w:vAlign w:val="center"/>
          </w:tcPr>
          <w:p w14:paraId="6DB89A4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2100" w:type="dxa"/>
            <w:vAlign w:val="center"/>
          </w:tcPr>
          <w:p w14:paraId="1E12999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669" w:type="dxa"/>
            <w:vAlign w:val="center"/>
          </w:tcPr>
          <w:p w14:paraId="1BF06AF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5806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5B03663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p>
        </w:tc>
        <w:tc>
          <w:tcPr>
            <w:tcW w:w="1669" w:type="dxa"/>
            <w:vAlign w:val="center"/>
          </w:tcPr>
          <w:p w14:paraId="77C55CB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556" w:type="dxa"/>
            <w:vAlign w:val="center"/>
          </w:tcPr>
          <w:p w14:paraId="5D0E2C7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2100" w:type="dxa"/>
            <w:vAlign w:val="center"/>
          </w:tcPr>
          <w:p w14:paraId="260369C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669" w:type="dxa"/>
            <w:vAlign w:val="center"/>
          </w:tcPr>
          <w:p w14:paraId="4817963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224C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14:paraId="5DD49BF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color w:val="auto"/>
                <w:sz w:val="21"/>
                <w:szCs w:val="21"/>
                <w:highlight w:val="none"/>
                <w:vertAlign w:val="baseline"/>
                <w:lang w:val="en-US" w:eastAsia="zh-CN"/>
              </w:rPr>
            </w:pPr>
          </w:p>
        </w:tc>
        <w:tc>
          <w:tcPr>
            <w:tcW w:w="1669" w:type="dxa"/>
            <w:vAlign w:val="center"/>
          </w:tcPr>
          <w:p w14:paraId="0B21700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556" w:type="dxa"/>
            <w:vAlign w:val="center"/>
          </w:tcPr>
          <w:p w14:paraId="6C46259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rPr>
            </w:pPr>
          </w:p>
        </w:tc>
        <w:tc>
          <w:tcPr>
            <w:tcW w:w="2100" w:type="dxa"/>
            <w:vAlign w:val="center"/>
          </w:tcPr>
          <w:p w14:paraId="74A8EE3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669" w:type="dxa"/>
            <w:vAlign w:val="center"/>
          </w:tcPr>
          <w:p w14:paraId="0456C81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14:paraId="5B9F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4C98AED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人全称（盖章）：</w:t>
            </w:r>
          </w:p>
          <w:p w14:paraId="654C043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法定代表人或其委托代理人（签字或盖章）：</w:t>
            </w:r>
          </w:p>
          <w:p w14:paraId="6F8E78B2">
            <w:pPr>
              <w:keepNext w:val="0"/>
              <w:keepLines w:val="0"/>
              <w:pageBreakBefore w:val="0"/>
              <w:widowControl w:val="0"/>
              <w:tabs>
                <w:tab w:val="left" w:pos="2219"/>
              </w:tabs>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日期：</w:t>
            </w:r>
          </w:p>
        </w:tc>
      </w:tr>
    </w:tbl>
    <w:p w14:paraId="62A3DA5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注：</w:t>
      </w:r>
    </w:p>
    <w:p w14:paraId="40B594F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（1）参选人可根据实际案例情况扩充本表格；</w:t>
      </w:r>
    </w:p>
    <w:p w14:paraId="570FB31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（2）需将所有案例的证明文件附在本表格后面</w:t>
      </w:r>
      <w:r>
        <w:rPr>
          <w:rFonts w:hint="eastAsia" w:ascii="Times New Roman" w:hAnsi="Times New Roman" w:cs="Times New Roman"/>
          <w:color w:val="auto"/>
          <w:sz w:val="21"/>
          <w:szCs w:val="21"/>
          <w:highlight w:val="none"/>
          <w:lang w:eastAsia="zh-CN"/>
        </w:rPr>
        <w:t>；</w:t>
      </w:r>
    </w:p>
    <w:p w14:paraId="4058A7C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color w:val="auto"/>
          <w:sz w:val="21"/>
          <w:szCs w:val="21"/>
          <w:highlight w:val="none"/>
          <w:lang w:val="en-US" w:eastAsia="zh-CN"/>
        </w:rPr>
        <w:t>（3）所有案例证明文件需加盖公章。</w:t>
      </w:r>
    </w:p>
    <w:p w14:paraId="6C94FFE8">
      <w:pPr>
        <w:pStyle w:val="36"/>
        <w:numPr>
          <w:ilvl w:val="0"/>
          <w:numId w:val="46"/>
        </w:num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软件能力成熟度模型集成认证</w:t>
      </w:r>
      <w:r>
        <w:rPr>
          <w:rFonts w:hint="eastAsia" w:ascii="Times New Roman" w:hAnsi="Times New Roman" w:cs="Times New Roman"/>
          <w:color w:val="auto"/>
          <w:highlight w:val="none"/>
          <w:lang w:val="en-US" w:eastAsia="zh-CN"/>
        </w:rPr>
        <w:t>5级证书和</w:t>
      </w:r>
      <w:r>
        <w:rPr>
          <w:rFonts w:hint="default" w:ascii="Times New Roman" w:hAnsi="Times New Roman" w:cs="Times New Roman"/>
          <w:color w:val="auto"/>
          <w:highlight w:val="none"/>
          <w:lang w:val="en-US" w:eastAsia="zh-CN"/>
        </w:rPr>
        <w:t>IS</w:t>
      </w:r>
      <w:r>
        <w:rPr>
          <w:rFonts w:hint="eastAsia" w:ascii="Times New Roman" w:hAnsi="Times New Roman" w:cs="Times New Roman"/>
          <w:color w:val="auto"/>
          <w:highlight w:val="none"/>
          <w:lang w:val="en-US" w:eastAsia="zh-CN"/>
        </w:rPr>
        <w:t>O</w:t>
      </w:r>
      <w:r>
        <w:rPr>
          <w:rFonts w:hint="default" w:ascii="Times New Roman" w:hAnsi="Times New Roman" w:cs="Times New Roman"/>
          <w:color w:val="auto"/>
          <w:highlight w:val="none"/>
          <w:lang w:val="en-US" w:eastAsia="zh-CN"/>
        </w:rPr>
        <w:t>9001质量管理体系认证证书</w:t>
      </w:r>
    </w:p>
    <w:p w14:paraId="6B12287D">
      <w:pPr>
        <w:pStyle w:val="36"/>
        <w:outlineLvl w:val="9"/>
        <w:rPr>
          <w:rFonts w:hint="default" w:ascii="Times New Roman" w:hAnsi="Times New Roman" w:cs="Times New Roman"/>
          <w:color w:val="auto"/>
          <w:highlight w:val="none"/>
        </w:rPr>
      </w:pPr>
    </w:p>
    <w:p w14:paraId="6F196197">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2632C1C">
      <w:pPr>
        <w:pStyle w:val="36"/>
        <w:numPr>
          <w:ilvl w:val="0"/>
          <w:numId w:val="46"/>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原厂授权函（如有）</w:t>
      </w:r>
    </w:p>
    <w:p w14:paraId="7E400A09">
      <w:pPr>
        <w:numPr>
          <w:ilvl w:val="0"/>
          <w:numId w:val="0"/>
        </w:numPr>
        <w:jc w:val="center"/>
        <w:rPr>
          <w:rFonts w:hint="default" w:eastAsia="宋体"/>
          <w:color w:val="auto"/>
          <w:highlight w:val="none"/>
          <w:lang w:val="en-US" w:eastAsia="zh-CN"/>
        </w:rPr>
      </w:pPr>
      <w:r>
        <w:rPr>
          <w:rFonts w:hint="eastAsia"/>
          <w:color w:val="auto"/>
          <w:highlight w:val="none"/>
          <w:lang w:val="en-US" w:eastAsia="zh-CN"/>
        </w:rPr>
        <w:t>授权证明文件清单</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888"/>
        <w:gridCol w:w="3345"/>
      </w:tblGrid>
      <w:tr w14:paraId="16B7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14:paraId="0CEBA95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b w:val="0"/>
                <w:color w:val="auto"/>
                <w:spacing w:val="0"/>
                <w:sz w:val="21"/>
                <w:szCs w:val="21"/>
                <w:highlight w:val="none"/>
              </w:rPr>
            </w:pPr>
            <w:r>
              <w:rPr>
                <w:rFonts w:hint="default" w:ascii="Times New Roman" w:hAnsi="Times New Roman" w:eastAsia="宋体" w:cs="Times New Roman"/>
                <w:b w:val="0"/>
                <w:color w:val="auto"/>
                <w:spacing w:val="0"/>
                <w:sz w:val="21"/>
                <w:szCs w:val="21"/>
                <w:highlight w:val="none"/>
              </w:rPr>
              <w:t>项目</w:t>
            </w:r>
            <w:r>
              <w:rPr>
                <w:rFonts w:hint="default" w:ascii="Times New Roman" w:hAnsi="Times New Roman" w:cs="Times New Roman"/>
                <w:b w:val="0"/>
                <w:color w:val="auto"/>
                <w:spacing w:val="0"/>
                <w:sz w:val="21"/>
                <w:szCs w:val="21"/>
                <w:highlight w:val="none"/>
                <w:lang w:val="en-US" w:eastAsia="zh-CN"/>
              </w:rPr>
              <w:t>名称</w:t>
            </w:r>
            <w:r>
              <w:rPr>
                <w:rFonts w:hint="default" w:ascii="Times New Roman" w:hAnsi="Times New Roman" w:cs="Times New Roman"/>
                <w:b w:val="0"/>
                <w:color w:val="auto"/>
                <w:spacing w:val="0"/>
                <w:sz w:val="21"/>
                <w:szCs w:val="21"/>
                <w:highlight w:val="none"/>
                <w:lang w:eastAsia="zh-CN"/>
              </w:rPr>
              <w:t>：</w:t>
            </w:r>
            <w:r>
              <w:rPr>
                <w:rFonts w:hint="eastAsia" w:ascii="Times New Roman" w:hAnsi="Times New Roman" w:cs="Times New Roman"/>
                <w:b w:val="0"/>
                <w:color w:val="auto"/>
                <w:spacing w:val="0"/>
                <w:sz w:val="21"/>
                <w:szCs w:val="21"/>
                <w:highlight w:val="none"/>
                <w:lang w:val="en-US" w:eastAsia="zh-CN"/>
              </w:rPr>
              <w:t>新一代数据中台项目（一期）</w:t>
            </w:r>
          </w:p>
        </w:tc>
      </w:tr>
      <w:tr w14:paraId="3995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9" w:type="dxa"/>
            <w:vAlign w:val="top"/>
          </w:tcPr>
          <w:p w14:paraId="628DA4F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授权产品名称</w:t>
            </w:r>
          </w:p>
        </w:tc>
        <w:tc>
          <w:tcPr>
            <w:tcW w:w="2888" w:type="dxa"/>
            <w:vAlign w:val="top"/>
          </w:tcPr>
          <w:p w14:paraId="0E24A97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产品供应商名称</w:t>
            </w:r>
          </w:p>
        </w:tc>
        <w:tc>
          <w:tcPr>
            <w:tcW w:w="3345" w:type="dxa"/>
            <w:vAlign w:val="top"/>
          </w:tcPr>
          <w:p w14:paraId="6BC728E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对应本项目的产品或功能模块</w:t>
            </w:r>
          </w:p>
        </w:tc>
      </w:tr>
      <w:tr w14:paraId="2602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14:paraId="45D5F51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888" w:type="dxa"/>
          </w:tcPr>
          <w:p w14:paraId="10ACF78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c>
          <w:tcPr>
            <w:tcW w:w="3345" w:type="dxa"/>
          </w:tcPr>
          <w:p w14:paraId="65C737D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r>
      <w:tr w14:paraId="3E0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9" w:type="dxa"/>
          </w:tcPr>
          <w:p w14:paraId="249EBC5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888" w:type="dxa"/>
          </w:tcPr>
          <w:p w14:paraId="69E985B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c>
          <w:tcPr>
            <w:tcW w:w="3345" w:type="dxa"/>
          </w:tcPr>
          <w:p w14:paraId="4D0019B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r>
      <w:tr w14:paraId="75F3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14:paraId="52D59C3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888" w:type="dxa"/>
          </w:tcPr>
          <w:p w14:paraId="0B1EE7E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c>
          <w:tcPr>
            <w:tcW w:w="3345" w:type="dxa"/>
          </w:tcPr>
          <w:p w14:paraId="3F75BAC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XXX</w:t>
            </w:r>
          </w:p>
        </w:tc>
      </w:tr>
      <w:tr w14:paraId="02EE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14:paraId="3B837E9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2888" w:type="dxa"/>
          </w:tcPr>
          <w:p w14:paraId="577254C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3345" w:type="dxa"/>
          </w:tcPr>
          <w:p w14:paraId="11FBC92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r>
      <w:tr w14:paraId="2404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14:paraId="5942C34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参选</w:t>
            </w:r>
            <w:r>
              <w:rPr>
                <w:rFonts w:hint="default" w:ascii="Times New Roman" w:hAnsi="Times New Roman" w:eastAsia="宋体" w:cs="Times New Roman"/>
                <w:color w:val="auto"/>
                <w:sz w:val="21"/>
                <w:szCs w:val="21"/>
                <w:highlight w:val="none"/>
                <w:lang w:eastAsia="zh-CN"/>
              </w:rPr>
              <w:t>人全称（盖章）：</w:t>
            </w:r>
          </w:p>
          <w:p w14:paraId="6AAAE59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法定代表人或其委托代理人（签字或盖章）：</w:t>
            </w:r>
          </w:p>
          <w:p w14:paraId="639C6537">
            <w:pPr>
              <w:keepNext w:val="0"/>
              <w:keepLines w:val="0"/>
              <w:pageBreakBefore w:val="0"/>
              <w:widowControl w:val="0"/>
              <w:tabs>
                <w:tab w:val="left" w:pos="2219"/>
              </w:tabs>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日期：</w:t>
            </w:r>
          </w:p>
        </w:tc>
      </w:tr>
    </w:tbl>
    <w:p w14:paraId="1DE1B29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注：</w:t>
      </w:r>
    </w:p>
    <w:p w14:paraId="108A5761">
      <w:pPr>
        <w:keepNext w:val="0"/>
        <w:keepLines w:val="0"/>
        <w:pageBreakBefore w:val="0"/>
        <w:widowControl w:val="0"/>
        <w:numPr>
          <w:ilvl w:val="0"/>
          <w:numId w:val="47"/>
        </w:numPr>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参选人可根据情况扩充本表格；</w:t>
      </w:r>
    </w:p>
    <w:p w14:paraId="2CE99E62">
      <w:pPr>
        <w:keepNext w:val="0"/>
        <w:keepLines w:val="0"/>
        <w:pageBreakBefore w:val="0"/>
        <w:widowControl w:val="0"/>
        <w:numPr>
          <w:ilvl w:val="0"/>
          <w:numId w:val="47"/>
        </w:numPr>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需将原厂授权证明文件附在本表格后面</w:t>
      </w:r>
      <w:r>
        <w:rPr>
          <w:rFonts w:hint="eastAsia" w:ascii="Times New Roman" w:hAnsi="Times New Roman" w:cs="Times New Roman"/>
          <w:color w:val="auto"/>
          <w:sz w:val="21"/>
          <w:szCs w:val="21"/>
          <w:highlight w:val="none"/>
          <w:lang w:eastAsia="zh-CN"/>
        </w:rPr>
        <w:t>；</w:t>
      </w:r>
    </w:p>
    <w:p w14:paraId="00151E5C">
      <w:pPr>
        <w:keepNext w:val="0"/>
        <w:keepLines w:val="0"/>
        <w:pageBreakBefore w:val="0"/>
        <w:widowControl w:val="0"/>
        <w:numPr>
          <w:ilvl w:val="0"/>
          <w:numId w:val="47"/>
        </w:numPr>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color w:val="auto"/>
          <w:sz w:val="21"/>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color w:val="auto"/>
          <w:sz w:val="21"/>
          <w:szCs w:val="21"/>
          <w:highlight w:val="none"/>
          <w:lang w:val="en-US" w:eastAsia="zh-CN"/>
        </w:rPr>
        <w:t>原厂授权证明文件需加盖产品供应商公章。</w:t>
      </w:r>
    </w:p>
    <w:p w14:paraId="24B00CBE">
      <w:pPr>
        <w:pStyle w:val="36"/>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（八）原厂</w:t>
      </w:r>
      <w:r>
        <w:rPr>
          <w:rFonts w:hint="default" w:ascii="Times New Roman" w:hAnsi="Times New Roman" w:cs="Times New Roman"/>
          <w:color w:val="auto"/>
          <w:highlight w:val="none"/>
        </w:rPr>
        <w:t>售后服务质保</w:t>
      </w:r>
      <w:r>
        <w:rPr>
          <w:rFonts w:hint="default" w:ascii="Times New Roman" w:hAnsi="Times New Roman" w:cs="Times New Roman"/>
          <w:color w:val="auto"/>
          <w:highlight w:val="none"/>
          <w:lang w:val="zh-CN"/>
        </w:rPr>
        <w:t>承诺函</w:t>
      </w:r>
    </w:p>
    <w:p w14:paraId="4BD7462B">
      <w:pPr>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加盖公章</w:t>
      </w:r>
      <w:r>
        <w:rPr>
          <w:rFonts w:hint="default" w:ascii="Times New Roman" w:hAnsi="Times New Roman" w:cs="Times New Roman"/>
          <w:color w:val="auto"/>
          <w:highlight w:val="none"/>
          <w:lang w:val="zh-CN"/>
        </w:rPr>
        <w:br w:type="page"/>
      </w:r>
    </w:p>
    <w:p w14:paraId="3C7F7A06">
      <w:pPr>
        <w:rPr>
          <w:rFonts w:hint="default" w:ascii="Times New Roman" w:hAnsi="Times New Roman" w:cs="Times New Roman"/>
          <w:color w:val="auto"/>
          <w:highlight w:val="none"/>
          <w:lang w:val="zh-CN"/>
        </w:rPr>
      </w:pPr>
    </w:p>
    <w:p w14:paraId="3B48448F">
      <w:pPr>
        <w:pStyle w:val="36"/>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九</w:t>
      </w:r>
      <w:r>
        <w:rPr>
          <w:rFonts w:hint="default"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承诺书</w:t>
      </w:r>
    </w:p>
    <w:p w14:paraId="79AB3D87">
      <w:pPr>
        <w:rPr>
          <w:rFonts w:hint="eastAsia" w:ascii="Times New Roman" w:hAnsi="Times New Roman" w:eastAsia="宋体" w:cs="Times New Roman"/>
          <w:color w:val="auto"/>
          <w:highlight w:val="none"/>
          <w:lang w:val="en-US" w:eastAsia="zh-CN"/>
        </w:rPr>
      </w:pPr>
      <w:r>
        <w:rPr>
          <w:rFonts w:hint="eastAsia" w:ascii="宋体" w:hAnsi="宋体" w:cs="宋体"/>
          <w:color w:val="auto"/>
          <w:kern w:val="0"/>
          <w:sz w:val="24"/>
          <w:szCs w:val="24"/>
          <w:highlight w:val="none"/>
          <w:lang w:val="en-US" w:eastAsia="zh-CN" w:bidi="ar"/>
        </w:rPr>
        <w:t>注：</w:t>
      </w:r>
      <w:r>
        <w:rPr>
          <w:rFonts w:hint="eastAsia" w:ascii="宋体" w:hAnsi="宋体" w:eastAsia="宋体" w:cs="宋体"/>
          <w:color w:val="auto"/>
          <w:kern w:val="0"/>
          <w:sz w:val="24"/>
          <w:szCs w:val="24"/>
          <w:highlight w:val="none"/>
          <w:lang w:val="en-US" w:eastAsia="zh-CN" w:bidi="ar"/>
        </w:rPr>
        <w:t>参选人须承诺中选后，</w:t>
      </w:r>
      <w:r>
        <w:rPr>
          <w:rFonts w:hint="eastAsia" w:ascii="Times New Roman" w:hAnsi="Times New Roman" w:cs="Times New Roman"/>
          <w:color w:val="auto"/>
          <w:highlight w:val="none"/>
          <w:lang w:val="en-US" w:eastAsia="zh-CN"/>
        </w:rPr>
        <w:t>产品（湖仓一体底座、数据作业平台）</w:t>
      </w:r>
      <w:r>
        <w:rPr>
          <w:rFonts w:hint="eastAsia" w:ascii="宋体" w:hAnsi="宋体" w:eastAsia="宋体" w:cs="宋体"/>
          <w:color w:val="auto"/>
          <w:kern w:val="0"/>
          <w:sz w:val="24"/>
          <w:szCs w:val="24"/>
          <w:highlight w:val="none"/>
          <w:lang w:val="en-US" w:eastAsia="zh-CN" w:bidi="ar"/>
        </w:rPr>
        <w:t>后续的扩容单价</w:t>
      </w:r>
      <w:r>
        <w:rPr>
          <w:rFonts w:hint="eastAsia" w:ascii="Times New Roman" w:hAnsi="Times New Roman" w:cs="Times New Roman"/>
          <w:color w:val="auto"/>
          <w:highlight w:val="none"/>
          <w:lang w:val="en-US" w:eastAsia="zh-CN"/>
        </w:rPr>
        <w:t>应在项目验收通过后的</w:t>
      </w:r>
      <w:r>
        <w:rPr>
          <w:rFonts w:hint="eastAsia" w:ascii="宋体" w:hAnsi="宋体" w:eastAsia="宋体" w:cs="宋体"/>
          <w:color w:val="auto"/>
          <w:kern w:val="0"/>
          <w:sz w:val="24"/>
          <w:szCs w:val="24"/>
          <w:highlight w:val="none"/>
          <w:lang w:val="en-US" w:eastAsia="zh-CN" w:bidi="ar"/>
        </w:rPr>
        <w:t>一定时限内（不少</w:t>
      </w:r>
      <w:r>
        <w:rPr>
          <w:rFonts w:hint="default" w:ascii="Times New Roman" w:hAnsi="Times New Roman" w:eastAsia="宋体" w:cs="Times New Roman"/>
          <w:color w:val="auto"/>
          <w:kern w:val="0"/>
          <w:sz w:val="24"/>
          <w:szCs w:val="24"/>
          <w:highlight w:val="none"/>
          <w:lang w:val="en-US" w:eastAsia="zh-CN" w:bidi="ar"/>
        </w:rPr>
        <w:t>于5年</w:t>
      </w:r>
      <w:r>
        <w:rPr>
          <w:rFonts w:hint="eastAsia" w:ascii="宋体" w:hAnsi="宋体" w:eastAsia="宋体" w:cs="宋体"/>
          <w:color w:val="auto"/>
          <w:kern w:val="0"/>
          <w:sz w:val="24"/>
          <w:szCs w:val="24"/>
          <w:highlight w:val="none"/>
          <w:lang w:val="en-US" w:eastAsia="zh-CN" w:bidi="ar"/>
        </w:rPr>
        <w:t>）不高于本项目采购的单价</w:t>
      </w:r>
      <w:r>
        <w:rPr>
          <w:rFonts w:hint="eastAsia" w:ascii="宋体" w:hAnsi="宋体" w:cs="宋体"/>
          <w:color w:val="auto"/>
          <w:kern w:val="0"/>
          <w:sz w:val="24"/>
          <w:szCs w:val="24"/>
          <w:highlight w:val="none"/>
          <w:lang w:val="en-US" w:eastAsia="zh-CN" w:bidi="ar"/>
        </w:rPr>
        <w:t>，并加盖公章</w:t>
      </w:r>
      <w:r>
        <w:rPr>
          <w:rFonts w:hint="eastAsia" w:ascii="宋体" w:hAnsi="宋体" w:eastAsia="宋体" w:cs="宋体"/>
          <w:color w:val="auto"/>
          <w:kern w:val="0"/>
          <w:sz w:val="24"/>
          <w:szCs w:val="24"/>
          <w:highlight w:val="none"/>
          <w:lang w:val="en-US" w:eastAsia="zh-CN" w:bidi="ar"/>
        </w:rPr>
        <w:t>。参选人提供的产品</w:t>
      </w:r>
      <w:r>
        <w:rPr>
          <w:rFonts w:hint="eastAsia" w:ascii="宋体" w:hAnsi="宋体" w:cs="宋体"/>
          <w:color w:val="auto"/>
          <w:kern w:val="0"/>
          <w:sz w:val="24"/>
          <w:szCs w:val="24"/>
          <w:highlight w:val="none"/>
          <w:lang w:val="en-US" w:eastAsia="zh-CN" w:bidi="ar"/>
        </w:rPr>
        <w:t>或功能模块</w:t>
      </w:r>
      <w:r>
        <w:rPr>
          <w:rFonts w:hint="eastAsia" w:ascii="宋体" w:hAnsi="宋体" w:eastAsia="宋体" w:cs="宋体"/>
          <w:color w:val="auto"/>
          <w:kern w:val="0"/>
          <w:sz w:val="24"/>
          <w:szCs w:val="24"/>
          <w:highlight w:val="none"/>
          <w:lang w:val="en-US" w:eastAsia="zh-CN" w:bidi="ar"/>
        </w:rPr>
        <w:t>若为第三方产品，则产品供应商也须出具承诺书</w:t>
      </w:r>
      <w:r>
        <w:rPr>
          <w:rFonts w:hint="eastAsia" w:ascii="宋体" w:hAnsi="宋体" w:cs="宋体"/>
          <w:color w:val="auto"/>
          <w:kern w:val="0"/>
          <w:sz w:val="24"/>
          <w:szCs w:val="24"/>
          <w:highlight w:val="none"/>
          <w:lang w:val="en-US" w:eastAsia="zh-CN" w:bidi="ar"/>
        </w:rPr>
        <w:t>并加盖</w:t>
      </w:r>
      <w:r>
        <w:rPr>
          <w:rFonts w:hint="eastAsia" w:ascii="宋体" w:hAnsi="宋体" w:eastAsia="宋体" w:cs="宋体"/>
          <w:color w:val="auto"/>
          <w:kern w:val="0"/>
          <w:sz w:val="24"/>
          <w:szCs w:val="24"/>
          <w:highlight w:val="none"/>
          <w:lang w:val="en-US" w:eastAsia="zh-CN" w:bidi="ar"/>
        </w:rPr>
        <w:t>产品供应商</w:t>
      </w:r>
      <w:r>
        <w:rPr>
          <w:rFonts w:hint="eastAsia" w:ascii="宋体" w:hAnsi="宋体" w:cs="宋体"/>
          <w:color w:val="auto"/>
          <w:kern w:val="0"/>
          <w:sz w:val="24"/>
          <w:szCs w:val="24"/>
          <w:highlight w:val="none"/>
          <w:lang w:val="en-US" w:eastAsia="zh-CN" w:bidi="ar"/>
        </w:rPr>
        <w:t>公章。</w:t>
      </w:r>
      <w:r>
        <w:rPr>
          <w:rFonts w:hint="eastAsia" w:ascii="宋体" w:hAnsi="宋体" w:eastAsia="宋体" w:cs="宋体"/>
          <w:color w:val="auto"/>
          <w:kern w:val="0"/>
          <w:sz w:val="24"/>
          <w:szCs w:val="24"/>
          <w:highlight w:val="none"/>
          <w:lang w:val="en-US" w:eastAsia="zh-CN" w:bidi="ar"/>
        </w:rPr>
        <w:t>格式自拟</w:t>
      </w:r>
      <w:r>
        <w:rPr>
          <w:rFonts w:hint="eastAsia" w:ascii="宋体" w:hAnsi="宋体" w:cs="宋体"/>
          <w:color w:val="auto"/>
          <w:kern w:val="0"/>
          <w:sz w:val="24"/>
          <w:szCs w:val="24"/>
          <w:highlight w:val="none"/>
          <w:lang w:val="en-US" w:eastAsia="zh-CN" w:bidi="ar"/>
        </w:rPr>
        <w:t>。</w:t>
      </w:r>
    </w:p>
    <w:p w14:paraId="5CFB1325">
      <w:pPr>
        <w:rPr>
          <w:rFonts w:hint="default" w:ascii="Times New Roman" w:hAnsi="Times New Roman" w:cs="Times New Roman"/>
          <w:color w:val="auto"/>
          <w:highlight w:val="none"/>
          <w:lang w:val="zh-CN"/>
        </w:rPr>
      </w:pPr>
    </w:p>
    <w:p w14:paraId="460F33C8">
      <w:pPr>
        <w:rPr>
          <w:rFonts w:hint="default" w:ascii="Times New Roman" w:hAnsi="Times New Roman" w:cs="Times New Roman"/>
          <w:color w:val="auto"/>
          <w:highlight w:val="none"/>
          <w:lang w:val="zh-CN"/>
        </w:rPr>
      </w:pPr>
    </w:p>
    <w:p w14:paraId="6D85E4C3">
      <w:pPr>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br w:type="page"/>
      </w:r>
    </w:p>
    <w:p w14:paraId="2257CE96">
      <w:pPr>
        <w:pStyle w:val="34"/>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四、响应</w:t>
      </w:r>
      <w:r>
        <w:rPr>
          <w:rFonts w:hint="eastAsia" w:ascii="Times New Roman" w:hAnsi="Times New Roman" w:cs="Times New Roman"/>
          <w:color w:val="auto"/>
          <w:highlight w:val="none"/>
          <w:lang w:val="en-US" w:eastAsia="zh-CN"/>
        </w:rPr>
        <w:t>性文件</w:t>
      </w:r>
    </w:p>
    <w:p w14:paraId="1714A8A8">
      <w:pPr>
        <w:pStyle w:val="36"/>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（一）响应承诺函</w:t>
      </w:r>
    </w:p>
    <w:p w14:paraId="7E7664A9">
      <w:pPr>
        <w:ind w:firstLine="420"/>
        <w:rPr>
          <w:color w:val="auto"/>
          <w:highlight w:val="none"/>
        </w:rPr>
      </w:pPr>
      <w:r>
        <w:rPr>
          <w:rFonts w:hint="eastAsia" w:ascii="宋体"/>
          <w:color w:val="auto"/>
          <w:szCs w:val="28"/>
          <w:highlight w:val="none"/>
        </w:rPr>
        <w:t>项目名称</w:t>
      </w:r>
      <w:r>
        <w:rPr>
          <w:rFonts w:hint="eastAsia" w:ascii="宋体"/>
          <w:color w:val="auto"/>
          <w:highlight w:val="none"/>
        </w:rPr>
        <w:t>：</w:t>
      </w:r>
    </w:p>
    <w:p w14:paraId="537CBE46">
      <w:pPr>
        <w:autoSpaceDE/>
        <w:autoSpaceDN/>
        <w:rPr>
          <w:rFonts w:hint="default" w:ascii="Times New Roman" w:hAnsi="Times New Roman" w:cs="Times New Roman"/>
          <w:color w:val="auto"/>
          <w:sz w:val="18"/>
          <w:szCs w:val="18"/>
          <w:highlight w:val="none"/>
        </w:rPr>
      </w:pPr>
    </w:p>
    <w:p w14:paraId="48BC2530">
      <w:pPr>
        <w:pStyle w:val="36"/>
        <w:keepNext w:val="0"/>
        <w:keepLines w:val="0"/>
        <w:pageBreakBefore w:val="0"/>
        <w:widowControl w:val="0"/>
        <w:kinsoku/>
        <w:wordWrap/>
        <w:overflowPunct/>
        <w:topLinePunct w:val="0"/>
        <w:autoSpaceDE w:val="0"/>
        <w:autoSpaceDN w:val="0"/>
        <w:bidi w:val="0"/>
        <w:adjustRightInd/>
        <w:snapToGrid/>
        <w:ind w:firstLine="48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14:paraId="0E11CBD2">
      <w:pPr>
        <w:ind w:firstLine="420"/>
        <w:rPr>
          <w:color w:val="auto"/>
          <w:highlight w:val="none"/>
        </w:rPr>
      </w:pPr>
      <w:r>
        <w:rPr>
          <w:rFonts w:hint="eastAsia"/>
          <w:color w:val="auto"/>
          <w:highlight w:val="none"/>
        </w:rPr>
        <w:t>我公司郑重承诺，完全满足第三章“项目要求”所有内容。</w:t>
      </w:r>
    </w:p>
    <w:p w14:paraId="11016907">
      <w:pPr>
        <w:ind w:firstLine="420"/>
        <w:rPr>
          <w:rFonts w:cs="Times New Roman"/>
          <w:color w:val="auto"/>
          <w:highlight w:val="none"/>
        </w:rPr>
      </w:pPr>
      <w:r>
        <w:rPr>
          <w:rFonts w:hint="eastAsia"/>
          <w:color w:val="auto"/>
          <w:highlight w:val="none"/>
        </w:rPr>
        <w:t>我公司中选后，</w:t>
      </w:r>
      <w:r>
        <w:rPr>
          <w:rFonts w:cs="Times New Roman"/>
          <w:color w:val="auto"/>
          <w:highlight w:val="none"/>
        </w:rPr>
        <w:t>未征得比选人书面同意的情况下不得更换项目成员</w:t>
      </w:r>
      <w:r>
        <w:rPr>
          <w:rFonts w:hint="eastAsia" w:cs="Times New Roman"/>
          <w:color w:val="auto"/>
          <w:highlight w:val="none"/>
        </w:rPr>
        <w:t>。</w:t>
      </w:r>
    </w:p>
    <w:p w14:paraId="2F8A6F18">
      <w:pPr>
        <w:ind w:firstLine="420"/>
        <w:rPr>
          <w:color w:val="auto"/>
          <w:highlight w:val="none"/>
        </w:rPr>
      </w:pPr>
      <w:r>
        <w:rPr>
          <w:rFonts w:hint="eastAsia"/>
          <w:color w:val="auto"/>
          <w:highlight w:val="none"/>
        </w:rPr>
        <w:t>我公司中选后</w:t>
      </w:r>
      <w:r>
        <w:rPr>
          <w:rFonts w:hint="eastAsia"/>
          <w:color w:val="auto"/>
          <w:highlight w:val="none"/>
          <w:lang w:eastAsia="zh-CN"/>
        </w:rPr>
        <w:t>，</w:t>
      </w:r>
      <w:r>
        <w:rPr>
          <w:rFonts w:hint="eastAsia"/>
          <w:color w:val="auto"/>
          <w:highlight w:val="none"/>
        </w:rPr>
        <w:t>将根据</w:t>
      </w:r>
      <w:r>
        <w:rPr>
          <w:rFonts w:hint="eastAsia" w:cs="Times New Roman"/>
          <w:color w:val="auto"/>
          <w:highlight w:val="none"/>
        </w:rPr>
        <w:t>我公司提供的</w:t>
      </w:r>
      <w:r>
        <w:rPr>
          <w:rFonts w:cs="Times New Roman"/>
          <w:color w:val="auto"/>
          <w:highlight w:val="none"/>
        </w:rPr>
        <w:t>售后服务</w:t>
      </w:r>
      <w:r>
        <w:rPr>
          <w:rFonts w:hint="eastAsia" w:cs="Times New Roman"/>
          <w:color w:val="auto"/>
          <w:highlight w:val="none"/>
          <w:lang w:val="en-US" w:eastAsia="zh-CN"/>
        </w:rPr>
        <w:t>方案</w:t>
      </w:r>
      <w:r>
        <w:rPr>
          <w:rFonts w:cs="Times New Roman"/>
          <w:color w:val="auto"/>
          <w:highlight w:val="none"/>
        </w:rPr>
        <w:t>和培训方案</w:t>
      </w:r>
      <w:r>
        <w:rPr>
          <w:rFonts w:hint="eastAsia" w:cs="Times New Roman"/>
          <w:color w:val="auto"/>
          <w:highlight w:val="none"/>
        </w:rPr>
        <w:t>进行售后服务和培训。</w:t>
      </w:r>
    </w:p>
    <w:p w14:paraId="37892525">
      <w:pPr>
        <w:rPr>
          <w:rFonts w:hint="default" w:ascii="Times New Roman" w:hAnsi="Times New Roman" w:cs="Times New Roman"/>
          <w:color w:val="auto"/>
          <w:highlight w:val="none"/>
          <w:lang w:val="zh-CN"/>
        </w:rPr>
      </w:pPr>
    </w:p>
    <w:p w14:paraId="18C0F4B4">
      <w:pPr>
        <w:spacing w:line="480" w:lineRule="exact"/>
        <w:ind w:firstLine="0" w:firstLineChars="0"/>
        <w:rPr>
          <w:color w:val="auto"/>
          <w:highlight w:val="none"/>
        </w:rPr>
      </w:pPr>
      <w:r>
        <w:rPr>
          <w:rFonts w:hint="eastAsia"/>
          <w:color w:val="auto"/>
          <w:highlight w:val="none"/>
        </w:rPr>
        <w:t>特此承诺。</w:t>
      </w:r>
    </w:p>
    <w:p w14:paraId="1D7B36E0">
      <w:pPr>
        <w:rPr>
          <w:rFonts w:hint="default" w:ascii="Times New Roman" w:hAnsi="Times New Roman" w:cs="Times New Roman"/>
          <w:color w:val="auto"/>
          <w:highlight w:val="none"/>
          <w:lang w:val="zh-CN"/>
        </w:rPr>
      </w:pPr>
    </w:p>
    <w:p w14:paraId="51A7409C">
      <w:pPr>
        <w:rPr>
          <w:rFonts w:hint="default" w:ascii="Times New Roman" w:hAnsi="Times New Roman" w:cs="Times New Roman"/>
          <w:color w:val="auto"/>
          <w:highlight w:val="none"/>
        </w:rPr>
      </w:pPr>
    </w:p>
    <w:p w14:paraId="4CA15D4E">
      <w:pPr>
        <w:tabs>
          <w:tab w:val="left" w:pos="6300"/>
        </w:tabs>
        <w:snapToGrid w:val="0"/>
        <w:spacing w:line="480" w:lineRule="exact"/>
        <w:ind w:right="424" w:firstLine="420"/>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546EE5BA">
      <w:pPr>
        <w:tabs>
          <w:tab w:val="left" w:pos="6300"/>
        </w:tabs>
        <w:snapToGrid w:val="0"/>
        <w:spacing w:line="480" w:lineRule="exact"/>
        <w:ind w:right="480" w:firstLine="420"/>
        <w:jc w:val="right"/>
        <w:rPr>
          <w:rFonts w:hint="default" w:ascii="Times New Roman" w:hAnsi="Times New Roman" w:cs="Times New Roman"/>
          <w:color w:val="auto"/>
          <w:highlight w:val="none"/>
        </w:rPr>
      </w:pPr>
      <w:r>
        <w:rPr>
          <w:rFonts w:hint="eastAsia" w:ascii="宋体"/>
          <w:color w:val="auto"/>
          <w:highlight w:val="none"/>
        </w:rPr>
        <w:t>年   月   日</w:t>
      </w:r>
    </w:p>
    <w:p w14:paraId="1697D46D">
      <w:pPr>
        <w:rPr>
          <w:rFonts w:hint="default" w:ascii="Times New Roman" w:hAnsi="Times New Roman" w:cs="Times New Roman"/>
          <w:color w:val="auto"/>
          <w:highlight w:val="none"/>
        </w:rPr>
      </w:pPr>
    </w:p>
    <w:p w14:paraId="6F8459DE">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highlight w:val="none"/>
        </w:rPr>
        <w:br w:type="page"/>
      </w:r>
    </w:p>
    <w:p w14:paraId="7B474B66">
      <w:pPr>
        <w:jc w:val="center"/>
        <w:outlineLvl w:val="2"/>
        <w:rPr>
          <w:rFonts w:hint="default" w:ascii="Times New Roman" w:hAnsi="Times New Roman" w:cs="Times New Roman"/>
          <w:color w:val="auto"/>
          <w:highlight w:val="none"/>
        </w:rPr>
      </w:pPr>
      <w:r>
        <w:rPr>
          <w:rFonts w:hint="eastAsia" w:ascii="Times New Roman" w:hAnsi="Times New Roman" w:cs="Times New Roman"/>
          <w:color w:val="auto"/>
          <w:szCs w:val="24"/>
          <w:highlight w:val="none"/>
          <w:shd w:val="clear" w:color="auto" w:fill="FFFFFF"/>
          <w:lang w:val="en-US" w:eastAsia="zh-CN"/>
        </w:rPr>
        <w:t>（二）项目组成员简历信息</w:t>
      </w:r>
    </w:p>
    <w:p w14:paraId="7D3F0C96">
      <w:pPr>
        <w:rPr>
          <w:rFonts w:hint="eastAsia" w:ascii="Times New Roman" w:hAnsi="Times New Roman" w:eastAsia="宋体" w:cs="Times New Roman"/>
          <w:color w:val="auto"/>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参与本项目建设的成员清单，并附上相关人员简历、劳动合同、资质证书复印件</w:t>
      </w:r>
      <w:r>
        <w:rPr>
          <w:rFonts w:hint="eastAsia" w:ascii="Times New Roman" w:hAnsi="Times New Roman" w:cs="Times New Roman"/>
          <w:color w:val="auto"/>
          <w:highlight w:val="none"/>
          <w:lang w:eastAsia="zh-CN"/>
        </w:rPr>
        <w:t>。</w:t>
      </w:r>
    </w:p>
    <w:p w14:paraId="3A15FE13">
      <w:pPr>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三</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售后服务方案</w:t>
      </w:r>
    </w:p>
    <w:p w14:paraId="57AE4D34">
      <w:pPr>
        <w:outlineLvl w:val="2"/>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F9B42F3">
      <w:pPr>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四</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培训</w:t>
      </w:r>
      <w:r>
        <w:rPr>
          <w:rFonts w:ascii="Times New Roman" w:hAnsi="Times New Roman" w:cs="Times New Roman"/>
          <w:color w:val="auto"/>
          <w:highlight w:val="none"/>
        </w:rPr>
        <w:t>方案</w:t>
      </w:r>
    </w:p>
    <w:p w14:paraId="6C82B7FA">
      <w:pPr>
        <w:jc w:val="center"/>
        <w:outlineLvl w:val="2"/>
        <w:rPr>
          <w:rFonts w:hint="eastAsia" w:ascii="Times New Roman" w:hAnsi="Times New Roman" w:cs="Times New Roman"/>
          <w:color w:val="auto"/>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89500C3">
      <w:pPr>
        <w:jc w:val="center"/>
        <w:outlineLvl w:val="2"/>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服务连续性预案</w:t>
      </w:r>
    </w:p>
    <w:p w14:paraId="7D8B990E">
      <w:pPr>
        <w:outlineLvl w:val="2"/>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7EC5B29">
      <w:pPr>
        <w:jc w:val="center"/>
        <w:outlineLvl w:val="2"/>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项目实施方案</w:t>
      </w:r>
    </w:p>
    <w:p w14:paraId="1B4FEA9D">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方案</w:t>
      </w:r>
      <w:r>
        <w:rPr>
          <w:rFonts w:hint="eastAsia" w:ascii="Times New Roman" w:hAnsi="Times New Roman" w:cs="Times New Roman"/>
          <w:color w:val="auto"/>
          <w:highlight w:val="none"/>
          <w:lang w:val="en-US" w:eastAsia="zh-CN"/>
        </w:rPr>
        <w:t>应基于对本项目的理解，至少需提供如下内容，格式自拟。</w:t>
      </w:r>
    </w:p>
    <w:p w14:paraId="723EFADB">
      <w:pPr>
        <w:numPr>
          <w:ilvl w:val="0"/>
          <w:numId w:val="48"/>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产品介绍：包括湖仓一体底座和数据作业平台的产品主要功能介绍；</w:t>
      </w:r>
    </w:p>
    <w:p w14:paraId="453D190F">
      <w:pPr>
        <w:numPr>
          <w:ilvl w:val="0"/>
          <w:numId w:val="48"/>
        </w:num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实施和迁移方案：根据比选人对本项目的要求，阐述本项目的详细实施和迁移的方案，如进度规划、里程碑计划、各阶段建设内容与提交资料内容等。</w:t>
      </w:r>
    </w:p>
    <w:p w14:paraId="7941D6D7">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color w:val="auto"/>
          <w:kern w:val="0"/>
          <w:highlight w:val="none"/>
        </w:rPr>
        <w:br w:type="page"/>
      </w:r>
    </w:p>
    <w:p w14:paraId="1AC8361F">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t>五、参选保证金</w:t>
      </w:r>
    </w:p>
    <w:p w14:paraId="17AA8487">
      <w:pPr>
        <w:spacing w:line="360" w:lineRule="auto"/>
        <w:rPr>
          <w:rFonts w:hint="default" w:ascii="Times New Roman" w:hAnsi="Times New Roman" w:cs="Times New Roman"/>
          <w:color w:val="auto"/>
          <w:highlight w:val="none"/>
        </w:rPr>
      </w:pPr>
    </w:p>
    <w:p w14:paraId="0E1709D9">
      <w:pPr>
        <w:spacing w:line="360" w:lineRule="auto"/>
        <w:rPr>
          <w:rFonts w:hint="default" w:ascii="Times New Roman" w:hAnsi="Times New Roman" w:cs="Times New Roman"/>
          <w:color w:val="auto"/>
          <w:highlight w:val="none"/>
        </w:rPr>
      </w:pPr>
    </w:p>
    <w:p w14:paraId="6DEF511C">
      <w:pPr>
        <w:spacing w:line="360" w:lineRule="auto"/>
        <w:rPr>
          <w:rFonts w:hint="default" w:ascii="Times New Roman" w:hAnsi="Times New Roman" w:cs="Times New Roman"/>
          <w:color w:val="auto"/>
          <w:highlight w:val="none"/>
        </w:rPr>
      </w:pPr>
    </w:p>
    <w:p w14:paraId="27FE9D34">
      <w:pPr>
        <w:spacing w:line="360" w:lineRule="auto"/>
        <w:rPr>
          <w:rFonts w:hint="default" w:ascii="Times New Roman" w:hAnsi="Times New Roman" w:cs="Times New Roman"/>
          <w:color w:val="auto"/>
          <w:highlight w:val="none"/>
        </w:rPr>
      </w:pPr>
    </w:p>
    <w:p w14:paraId="5136E453">
      <w:pPr>
        <w:spacing w:line="360" w:lineRule="auto"/>
        <w:rPr>
          <w:rFonts w:hint="default" w:ascii="Times New Roman" w:hAnsi="Times New Roman" w:cs="Times New Roman"/>
          <w:color w:val="auto"/>
          <w:highlight w:val="none"/>
        </w:rPr>
      </w:pPr>
    </w:p>
    <w:p w14:paraId="628481CF">
      <w:pPr>
        <w:spacing w:line="360" w:lineRule="auto"/>
        <w:rPr>
          <w:rFonts w:hint="default" w:ascii="Times New Roman" w:hAnsi="Times New Roman" w:cs="Times New Roman"/>
          <w:color w:val="auto"/>
          <w:highlight w:val="none"/>
        </w:rPr>
      </w:pPr>
    </w:p>
    <w:p w14:paraId="4CF00039">
      <w:pPr>
        <w:spacing w:line="360" w:lineRule="auto"/>
        <w:rPr>
          <w:rFonts w:hint="default" w:ascii="Times New Roman" w:hAnsi="Times New Roman" w:cs="Times New Roman"/>
          <w:color w:val="auto"/>
          <w:highlight w:val="none"/>
        </w:rPr>
      </w:pPr>
    </w:p>
    <w:p w14:paraId="055939D6">
      <w:pPr>
        <w:spacing w:line="360" w:lineRule="auto"/>
        <w:rPr>
          <w:rFonts w:hint="default" w:ascii="Times New Roman" w:hAnsi="Times New Roman" w:cs="Times New Roman"/>
          <w:color w:val="auto"/>
          <w:highlight w:val="none"/>
        </w:rPr>
      </w:pPr>
    </w:p>
    <w:p w14:paraId="0FE2C1AF">
      <w:pPr>
        <w:spacing w:line="360" w:lineRule="auto"/>
        <w:rPr>
          <w:rFonts w:hint="default" w:ascii="Times New Roman" w:hAnsi="Times New Roman" w:cs="Times New Roman"/>
          <w:color w:val="auto"/>
          <w:highlight w:val="none"/>
        </w:rPr>
      </w:pPr>
    </w:p>
    <w:p w14:paraId="6240646F">
      <w:pPr>
        <w:spacing w:line="360" w:lineRule="auto"/>
        <w:rPr>
          <w:rFonts w:hint="default" w:ascii="Times New Roman" w:hAnsi="Times New Roman" w:cs="Times New Roman"/>
          <w:color w:val="auto"/>
          <w:highlight w:val="none"/>
        </w:rPr>
      </w:pPr>
    </w:p>
    <w:p w14:paraId="6D71EFB3">
      <w:pPr>
        <w:spacing w:line="360" w:lineRule="auto"/>
        <w:rPr>
          <w:rFonts w:hint="default" w:ascii="Times New Roman" w:hAnsi="Times New Roman" w:cs="Times New Roman"/>
          <w:color w:val="auto"/>
          <w:highlight w:val="none"/>
        </w:rPr>
      </w:pPr>
    </w:p>
    <w:p w14:paraId="19FB9C5F">
      <w:pPr>
        <w:spacing w:line="360" w:lineRule="auto"/>
        <w:rPr>
          <w:rFonts w:hint="default" w:ascii="Times New Roman" w:hAnsi="Times New Roman" w:cs="Times New Roman"/>
          <w:color w:val="auto"/>
          <w:highlight w:val="none"/>
        </w:rPr>
      </w:pPr>
    </w:p>
    <w:p w14:paraId="3FB8B5A8">
      <w:pPr>
        <w:spacing w:line="360" w:lineRule="auto"/>
        <w:rPr>
          <w:rFonts w:hint="default" w:ascii="Times New Roman" w:hAnsi="Times New Roman" w:cs="Times New Roman"/>
          <w:color w:val="auto"/>
          <w:highlight w:val="none"/>
        </w:rPr>
      </w:pPr>
    </w:p>
    <w:p w14:paraId="71CE30D4">
      <w:pPr>
        <w:spacing w:line="360" w:lineRule="auto"/>
        <w:rPr>
          <w:rFonts w:hint="default" w:ascii="Times New Roman" w:hAnsi="Times New Roman" w:cs="Times New Roman"/>
          <w:color w:val="auto"/>
          <w:highlight w:val="none"/>
        </w:rPr>
      </w:pPr>
    </w:p>
    <w:p w14:paraId="763F15A9">
      <w:pPr>
        <w:spacing w:line="360" w:lineRule="auto"/>
        <w:rPr>
          <w:rFonts w:hint="default" w:ascii="Times New Roman" w:hAnsi="Times New Roman" w:cs="Times New Roman"/>
          <w:color w:val="auto"/>
          <w:highlight w:val="none"/>
        </w:rPr>
      </w:pPr>
    </w:p>
    <w:p w14:paraId="4AFBF13E">
      <w:pPr>
        <w:spacing w:line="360" w:lineRule="auto"/>
        <w:rPr>
          <w:rFonts w:hint="default" w:ascii="Times New Roman" w:hAnsi="Times New Roman" w:cs="Times New Roman"/>
          <w:color w:val="auto"/>
          <w:highlight w:val="none"/>
        </w:rPr>
      </w:pPr>
    </w:p>
    <w:p w14:paraId="09FA014B">
      <w:pPr>
        <w:spacing w:line="360" w:lineRule="auto"/>
        <w:rPr>
          <w:rFonts w:hint="default" w:ascii="Times New Roman" w:hAnsi="Times New Roman" w:cs="Times New Roman"/>
          <w:color w:val="auto"/>
          <w:highlight w:val="none"/>
        </w:rPr>
      </w:pPr>
    </w:p>
    <w:p w14:paraId="65916F16">
      <w:pPr>
        <w:spacing w:line="360" w:lineRule="auto"/>
        <w:rPr>
          <w:rFonts w:hint="default" w:ascii="Times New Roman" w:hAnsi="Times New Roman" w:cs="Times New Roman"/>
          <w:color w:val="auto"/>
          <w:highlight w:val="none"/>
        </w:rPr>
      </w:pPr>
    </w:p>
    <w:p w14:paraId="6DDC1A32">
      <w:pPr>
        <w:adjustRightInd w:val="0"/>
        <w:snapToGrid w:val="0"/>
        <w:spacing w:line="360" w:lineRule="auto"/>
        <w:jc w:val="left"/>
        <w:rPr>
          <w:rFonts w:hint="default" w:ascii="Times New Roman" w:hAnsi="Times New Roman" w:cs="Times New Roman"/>
          <w:color w:val="auto"/>
          <w:kern w:val="0"/>
          <w:highlight w:val="none"/>
        </w:rPr>
      </w:pPr>
    </w:p>
    <w:p w14:paraId="7F38E6EA">
      <w:pPr>
        <w:adjustRightInd w:val="0"/>
        <w:snapToGrid w:val="0"/>
        <w:spacing w:line="360" w:lineRule="auto"/>
        <w:jc w:val="left"/>
        <w:rPr>
          <w:rFonts w:hint="default" w:ascii="Times New Roman" w:hAnsi="Times New Roman" w:cs="Times New Roman"/>
          <w:color w:val="auto"/>
          <w:kern w:val="0"/>
          <w:highlight w:val="none"/>
        </w:rPr>
      </w:pPr>
    </w:p>
    <w:p w14:paraId="51C21840">
      <w:pPr>
        <w:adjustRightInd w:val="0"/>
        <w:snapToGrid w:val="0"/>
        <w:spacing w:line="360" w:lineRule="auto"/>
        <w:jc w:val="left"/>
        <w:rPr>
          <w:rFonts w:hint="default" w:ascii="Times New Roman" w:hAnsi="Times New Roman" w:cs="Times New Roman"/>
          <w:color w:val="auto"/>
          <w:kern w:val="0"/>
          <w:highlight w:val="none"/>
        </w:rPr>
      </w:pPr>
    </w:p>
    <w:p w14:paraId="2E1D313B">
      <w:pPr>
        <w:adjustRightInd w:val="0"/>
        <w:snapToGrid w:val="0"/>
        <w:spacing w:line="360" w:lineRule="auto"/>
        <w:jc w:val="left"/>
        <w:rPr>
          <w:rFonts w:hint="default" w:ascii="Times New Roman" w:hAnsi="Times New Roman" w:cs="Times New Roman"/>
          <w:color w:val="auto"/>
          <w:kern w:val="0"/>
          <w:highlight w:val="none"/>
        </w:rPr>
      </w:pPr>
    </w:p>
    <w:p w14:paraId="4694B796">
      <w:pPr>
        <w:adjustRightInd w:val="0"/>
        <w:snapToGrid w:val="0"/>
        <w:spacing w:line="360" w:lineRule="auto"/>
        <w:jc w:val="left"/>
        <w:rPr>
          <w:rFonts w:hint="default" w:ascii="Times New Roman" w:hAnsi="Times New Roman" w:cs="Times New Roman"/>
          <w:color w:val="auto"/>
          <w:kern w:val="0"/>
          <w:highlight w:val="none"/>
        </w:rPr>
      </w:pPr>
    </w:p>
    <w:p w14:paraId="4AF0A924">
      <w:pPr>
        <w:adjustRightInd w:val="0"/>
        <w:snapToGrid w:val="0"/>
        <w:spacing w:line="360" w:lineRule="auto"/>
        <w:jc w:val="left"/>
        <w:rPr>
          <w:rFonts w:hint="default" w:ascii="Times New Roman" w:hAnsi="Times New Roman" w:cs="Times New Roman"/>
          <w:color w:val="auto"/>
          <w:kern w:val="0"/>
          <w:highlight w:val="none"/>
        </w:rPr>
      </w:pPr>
    </w:p>
    <w:p w14:paraId="797A85A2">
      <w:pPr>
        <w:adjustRightInd w:val="0"/>
        <w:snapToGrid w:val="0"/>
        <w:spacing w:line="360" w:lineRule="auto"/>
        <w:jc w:val="left"/>
        <w:rPr>
          <w:rFonts w:hint="default" w:ascii="Times New Roman" w:hAnsi="Times New Roman" w:cs="Times New Roman"/>
          <w:color w:val="auto"/>
          <w:kern w:val="0"/>
          <w:highlight w:val="none"/>
        </w:rPr>
      </w:pPr>
    </w:p>
    <w:p w14:paraId="1A899BC5">
      <w:pPr>
        <w:adjustRightInd w:val="0"/>
        <w:snapToGrid w:val="0"/>
        <w:spacing w:line="360" w:lineRule="auto"/>
        <w:ind w:left="0" w:leftChars="0" w:firstLine="0" w:firstLineChars="0"/>
        <w:jc w:val="left"/>
        <w:rPr>
          <w:rFonts w:hint="default" w:ascii="Times New Roman" w:hAnsi="Times New Roman" w:cs="Times New Roman"/>
          <w:color w:val="auto"/>
          <w:kern w:val="0"/>
          <w:highlight w:val="none"/>
        </w:rPr>
      </w:pPr>
    </w:p>
    <w:p w14:paraId="0522E03F">
      <w:pPr>
        <w:adjustRightInd w:val="0"/>
        <w:snapToGrid w:val="0"/>
        <w:spacing w:line="360" w:lineRule="auto"/>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0DFD985F">
      <w:pPr>
        <w:tabs>
          <w:tab w:val="left" w:pos="6300"/>
        </w:tabs>
        <w:snapToGrid w:val="0"/>
        <w:spacing w:line="360" w:lineRule="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注：附</w:t>
      </w:r>
      <w:r>
        <w:rPr>
          <w:rFonts w:hint="default" w:ascii="Times New Roman" w:hAnsi="Times New Roman" w:cs="Times New Roman"/>
          <w:snapToGrid w:val="0"/>
          <w:color w:val="auto"/>
          <w:kern w:val="0"/>
          <w:szCs w:val="24"/>
          <w:highlight w:val="none"/>
        </w:rPr>
        <w:t>参选</w:t>
      </w:r>
      <w:r>
        <w:rPr>
          <w:rFonts w:hint="default" w:ascii="Times New Roman" w:hAnsi="Times New Roman" w:cs="Times New Roman"/>
          <w:snapToGrid w:val="0"/>
          <w:color w:val="auto"/>
          <w:kern w:val="0"/>
          <w:highlight w:val="none"/>
        </w:rPr>
        <w:t>保证金交款凭据复印件</w:t>
      </w:r>
    </w:p>
    <w:p w14:paraId="4A88C7F8">
      <w:pPr>
        <w:tabs>
          <w:tab w:val="left" w:pos="6300"/>
        </w:tabs>
        <w:snapToGrid w:val="0"/>
        <w:spacing w:line="360" w:lineRule="auto"/>
        <w:rPr>
          <w:rFonts w:hint="default" w:ascii="Times New Roman" w:hAnsi="Times New Roman" w:cs="Times New Roman"/>
          <w:snapToGrid w:val="0"/>
          <w:color w:val="auto"/>
          <w:kern w:val="0"/>
          <w:highlight w:val="none"/>
        </w:rPr>
      </w:pPr>
    </w:p>
    <w:p w14:paraId="20FE1201">
      <w:pPr>
        <w:pStyle w:val="34"/>
        <w:numPr>
          <w:ilvl w:val="0"/>
          <w:numId w:val="49"/>
        </w:numPr>
        <w:rPr>
          <w:rFonts w:hint="default" w:ascii="Times New Roman" w:hAnsi="Times New Roman" w:cs="Times New Roman"/>
          <w:color w:val="auto"/>
          <w:highlight w:val="none"/>
        </w:rPr>
      </w:pPr>
      <w:r>
        <w:rPr>
          <w:rFonts w:hint="default" w:ascii="Times New Roman" w:hAnsi="Times New Roman" w:cs="Times New Roman"/>
          <w:color w:val="auto"/>
          <w:highlight w:val="none"/>
        </w:rPr>
        <w:t>服务水平协议（SLA）</w:t>
      </w:r>
    </w:p>
    <w:tbl>
      <w:tblPr>
        <w:tblStyle w:val="2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tblGrid>
      <w:tr w14:paraId="4CF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shd w:val="clear" w:color="auto" w:fill="auto"/>
            <w:noWrap w:val="0"/>
            <w:vAlign w:val="center"/>
          </w:tcPr>
          <w:p w14:paraId="382B24E5">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710" w:type="dxa"/>
            <w:shd w:val="clear" w:color="auto" w:fill="auto"/>
            <w:noWrap w:val="0"/>
            <w:vAlign w:val="center"/>
          </w:tcPr>
          <w:p w14:paraId="058688B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服务内容</w:t>
            </w:r>
          </w:p>
        </w:tc>
        <w:tc>
          <w:tcPr>
            <w:tcW w:w="1134" w:type="dxa"/>
            <w:shd w:val="clear" w:color="auto" w:fill="auto"/>
            <w:noWrap w:val="0"/>
            <w:vAlign w:val="center"/>
          </w:tcPr>
          <w:p w14:paraId="79D61BE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服务定义</w:t>
            </w:r>
          </w:p>
        </w:tc>
        <w:tc>
          <w:tcPr>
            <w:tcW w:w="1701" w:type="dxa"/>
            <w:shd w:val="clear" w:color="auto" w:fill="auto"/>
            <w:noWrap w:val="0"/>
            <w:vAlign w:val="center"/>
          </w:tcPr>
          <w:p w14:paraId="7CBF4E8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服务标准</w:t>
            </w:r>
          </w:p>
        </w:tc>
        <w:tc>
          <w:tcPr>
            <w:tcW w:w="1842" w:type="dxa"/>
            <w:shd w:val="clear" w:color="auto" w:fill="auto"/>
            <w:noWrap w:val="0"/>
            <w:vAlign w:val="center"/>
          </w:tcPr>
          <w:p w14:paraId="0E575A38">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指标计算</w:t>
            </w:r>
          </w:p>
        </w:tc>
        <w:tc>
          <w:tcPr>
            <w:tcW w:w="1843" w:type="dxa"/>
            <w:shd w:val="clear" w:color="auto" w:fill="auto"/>
            <w:noWrap w:val="0"/>
            <w:vAlign w:val="center"/>
          </w:tcPr>
          <w:p w14:paraId="77C2E41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服务水平要求</w:t>
            </w:r>
          </w:p>
        </w:tc>
        <w:tc>
          <w:tcPr>
            <w:tcW w:w="1843" w:type="dxa"/>
            <w:shd w:val="clear" w:color="auto" w:fill="auto"/>
            <w:noWrap w:val="0"/>
            <w:vAlign w:val="center"/>
          </w:tcPr>
          <w:p w14:paraId="32F58F31">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违约金标准</w:t>
            </w:r>
          </w:p>
        </w:tc>
      </w:tr>
      <w:tr w14:paraId="1290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67" w:type="dxa"/>
            <w:shd w:val="clear" w:color="auto" w:fill="auto"/>
            <w:noWrap w:val="0"/>
            <w:vAlign w:val="center"/>
          </w:tcPr>
          <w:p w14:paraId="14CB86D3">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0" w:type="dxa"/>
            <w:shd w:val="clear" w:color="auto" w:fill="auto"/>
            <w:noWrap w:val="0"/>
            <w:vAlign w:val="center"/>
          </w:tcPr>
          <w:p w14:paraId="7986F1E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任务响应</w:t>
            </w:r>
          </w:p>
        </w:tc>
        <w:tc>
          <w:tcPr>
            <w:tcW w:w="1134" w:type="dxa"/>
            <w:shd w:val="clear" w:color="auto" w:fill="auto"/>
            <w:noWrap w:val="0"/>
            <w:vAlign w:val="center"/>
          </w:tcPr>
          <w:p w14:paraId="73E2233A">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衡量乙方在需求与问题响应方面的能力</w:t>
            </w:r>
          </w:p>
        </w:tc>
        <w:tc>
          <w:tcPr>
            <w:tcW w:w="1701" w:type="dxa"/>
            <w:shd w:val="clear" w:color="auto" w:fill="auto"/>
            <w:noWrap w:val="0"/>
            <w:vAlign w:val="center"/>
          </w:tcPr>
          <w:p w14:paraId="7FE1442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乙方在收到甲方任务后2个工作日内，向甲方反馈确认任务的实施方案、计划和工作量等</w:t>
            </w:r>
          </w:p>
        </w:tc>
        <w:tc>
          <w:tcPr>
            <w:tcW w:w="1842" w:type="dxa"/>
            <w:shd w:val="clear" w:color="auto" w:fill="auto"/>
            <w:noWrap w:val="0"/>
            <w:vAlign w:val="center"/>
          </w:tcPr>
          <w:p w14:paraId="7D015906">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甲方应当明确任务提出时间，乙方应当向甲方发出一个确认任务响应信息</w:t>
            </w:r>
          </w:p>
        </w:tc>
        <w:tc>
          <w:tcPr>
            <w:tcW w:w="1843" w:type="dxa"/>
            <w:shd w:val="clear" w:color="auto" w:fill="auto"/>
            <w:noWrap w:val="0"/>
            <w:vAlign w:val="center"/>
          </w:tcPr>
          <w:p w14:paraId="40078C5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乙方不得违反承诺响应时间</w:t>
            </w:r>
          </w:p>
        </w:tc>
        <w:tc>
          <w:tcPr>
            <w:tcW w:w="1843" w:type="dxa"/>
            <w:shd w:val="clear" w:color="auto" w:fill="auto"/>
            <w:noWrap w:val="0"/>
            <w:vAlign w:val="center"/>
          </w:tcPr>
          <w:p w14:paraId="03BA2C57">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如违反承诺的响应时间要求，每次扣除1000元违约金</w:t>
            </w:r>
          </w:p>
        </w:tc>
      </w:tr>
      <w:tr w14:paraId="4A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67" w:type="dxa"/>
            <w:shd w:val="clear" w:color="auto" w:fill="auto"/>
            <w:noWrap w:val="0"/>
            <w:vAlign w:val="center"/>
          </w:tcPr>
          <w:p w14:paraId="6F39AC94">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10" w:type="dxa"/>
            <w:shd w:val="clear" w:color="auto" w:fill="auto"/>
            <w:noWrap w:val="0"/>
            <w:vAlign w:val="center"/>
          </w:tcPr>
          <w:p w14:paraId="1AC73E7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任务完成情况</w:t>
            </w:r>
          </w:p>
        </w:tc>
        <w:tc>
          <w:tcPr>
            <w:tcW w:w="1134" w:type="dxa"/>
            <w:shd w:val="clear" w:color="auto" w:fill="auto"/>
            <w:noWrap w:val="0"/>
            <w:vAlign w:val="center"/>
          </w:tcPr>
          <w:p w14:paraId="6036EC6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衡量乙方按计划完成任务的能力</w:t>
            </w:r>
          </w:p>
        </w:tc>
        <w:tc>
          <w:tcPr>
            <w:tcW w:w="1701" w:type="dxa"/>
            <w:shd w:val="clear" w:color="auto" w:fill="auto"/>
            <w:noWrap w:val="0"/>
            <w:vAlign w:val="center"/>
          </w:tcPr>
          <w:p w14:paraId="47D01A2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乙方应当在双方确认的时间内完成任务</w:t>
            </w:r>
          </w:p>
        </w:tc>
        <w:tc>
          <w:tcPr>
            <w:tcW w:w="1842" w:type="dxa"/>
            <w:shd w:val="clear" w:color="auto" w:fill="auto"/>
            <w:noWrap w:val="0"/>
            <w:vAlign w:val="center"/>
          </w:tcPr>
          <w:p w14:paraId="0D494D21">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shd w:val="solid" w:color="FFFF00" w:fill="FFFFFF"/>
              </w:rPr>
            </w:pPr>
            <w:r>
              <w:rPr>
                <w:rFonts w:hint="default" w:ascii="Times New Roman" w:hAnsi="Times New Roman" w:eastAsia="宋体" w:cs="Times New Roman"/>
                <w:color w:val="auto"/>
                <w:sz w:val="21"/>
                <w:szCs w:val="21"/>
                <w:highlight w:val="none"/>
              </w:rPr>
              <w:t>任务完成及时率＝（规定时间内完成任务的次数/总任务数）×100%</w:t>
            </w:r>
          </w:p>
        </w:tc>
        <w:tc>
          <w:tcPr>
            <w:tcW w:w="1843" w:type="dxa"/>
            <w:shd w:val="clear" w:color="auto" w:fill="auto"/>
            <w:noWrap w:val="0"/>
            <w:vAlign w:val="center"/>
          </w:tcPr>
          <w:p w14:paraId="6EB8D64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任务完成及时率≥90%</w:t>
            </w:r>
          </w:p>
        </w:tc>
        <w:tc>
          <w:tcPr>
            <w:tcW w:w="1843" w:type="dxa"/>
            <w:shd w:val="clear" w:color="auto" w:fill="auto"/>
            <w:noWrap w:val="0"/>
            <w:vAlign w:val="center"/>
          </w:tcPr>
          <w:p w14:paraId="17CBD677">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p>
        </w:tc>
      </w:tr>
      <w:tr w14:paraId="281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shd w:val="clear" w:color="auto" w:fill="auto"/>
            <w:noWrap w:val="0"/>
            <w:vAlign w:val="center"/>
          </w:tcPr>
          <w:p w14:paraId="3CC0CEC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10" w:type="dxa"/>
            <w:shd w:val="clear" w:color="auto" w:fill="auto"/>
            <w:noWrap w:val="0"/>
            <w:vAlign w:val="center"/>
          </w:tcPr>
          <w:p w14:paraId="3108B4D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项目延期</w:t>
            </w:r>
          </w:p>
        </w:tc>
        <w:tc>
          <w:tcPr>
            <w:tcW w:w="1134" w:type="dxa"/>
            <w:shd w:val="clear" w:color="auto" w:fill="auto"/>
            <w:noWrap w:val="0"/>
            <w:vAlign w:val="center"/>
          </w:tcPr>
          <w:p w14:paraId="4680ACE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衡量乙方对项目整体实施进度的控制能力</w:t>
            </w:r>
          </w:p>
        </w:tc>
        <w:tc>
          <w:tcPr>
            <w:tcW w:w="1701" w:type="dxa"/>
            <w:shd w:val="clear" w:color="auto" w:fill="auto"/>
            <w:noWrap w:val="0"/>
            <w:vAlign w:val="center"/>
          </w:tcPr>
          <w:p w14:paraId="0B6B732F">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乙方原因导致的项目进度偏差</w:t>
            </w:r>
          </w:p>
        </w:tc>
        <w:tc>
          <w:tcPr>
            <w:tcW w:w="1842" w:type="dxa"/>
            <w:shd w:val="clear" w:color="auto" w:fill="auto"/>
            <w:noWrap w:val="0"/>
            <w:vAlign w:val="center"/>
          </w:tcPr>
          <w:p w14:paraId="5EAC6BF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按项目计划为基准计算进度偏差天数</w:t>
            </w:r>
          </w:p>
        </w:tc>
        <w:tc>
          <w:tcPr>
            <w:tcW w:w="1843" w:type="dxa"/>
            <w:shd w:val="clear" w:color="auto" w:fill="auto"/>
            <w:noWrap w:val="0"/>
            <w:vAlign w:val="center"/>
          </w:tcPr>
          <w:p w14:paraId="3B9F1F06">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进度偏差率=进度偏差天数/项目计划中进度天数（进度偏差率≤20%）</w:t>
            </w:r>
          </w:p>
        </w:tc>
        <w:tc>
          <w:tcPr>
            <w:tcW w:w="1843" w:type="dxa"/>
            <w:shd w:val="clear" w:color="auto" w:fill="auto"/>
            <w:noWrap w:val="0"/>
            <w:vAlign w:val="center"/>
          </w:tcPr>
          <w:p w14:paraId="62EE0B1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20%＜进度偏差率≤30%，每偏差一天按合同金额的0.1%罚款，进度偏差率＞30%并且延期3个月以上，罚款合同金额的10%</w:t>
            </w:r>
          </w:p>
        </w:tc>
      </w:tr>
      <w:tr w14:paraId="5F77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7" w:type="dxa"/>
            <w:shd w:val="clear" w:color="auto" w:fill="auto"/>
            <w:noWrap w:val="0"/>
            <w:vAlign w:val="center"/>
          </w:tcPr>
          <w:p w14:paraId="7E609182">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10" w:type="dxa"/>
            <w:shd w:val="clear" w:color="auto" w:fill="auto"/>
            <w:noWrap w:val="0"/>
            <w:vAlign w:val="center"/>
          </w:tcPr>
          <w:p w14:paraId="703215F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驻场时间</w:t>
            </w:r>
          </w:p>
        </w:tc>
        <w:tc>
          <w:tcPr>
            <w:tcW w:w="1134" w:type="dxa"/>
            <w:shd w:val="clear" w:color="auto" w:fill="auto"/>
            <w:noWrap w:val="0"/>
            <w:vAlign w:val="center"/>
          </w:tcPr>
          <w:p w14:paraId="0F11234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衡量乙方关键咨询专家驻场服务时间</w:t>
            </w:r>
          </w:p>
        </w:tc>
        <w:tc>
          <w:tcPr>
            <w:tcW w:w="1701" w:type="dxa"/>
            <w:shd w:val="clear" w:color="auto" w:fill="auto"/>
            <w:noWrap w:val="0"/>
            <w:vAlign w:val="center"/>
          </w:tcPr>
          <w:p w14:paraId="7548D39E">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乙方专家实际驻场时间应与合同约定时间一致</w:t>
            </w:r>
          </w:p>
        </w:tc>
        <w:tc>
          <w:tcPr>
            <w:tcW w:w="1842" w:type="dxa"/>
            <w:shd w:val="clear" w:color="auto" w:fill="auto"/>
            <w:noWrap w:val="0"/>
            <w:vAlign w:val="center"/>
          </w:tcPr>
          <w:p w14:paraId="6324D1F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按实际天数与合同约定天数对比</w:t>
            </w:r>
          </w:p>
        </w:tc>
        <w:tc>
          <w:tcPr>
            <w:tcW w:w="1843" w:type="dxa"/>
            <w:shd w:val="clear" w:color="auto" w:fill="auto"/>
            <w:noWrap w:val="0"/>
            <w:vAlign w:val="center"/>
          </w:tcPr>
          <w:p w14:paraId="7E2ABB98">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乙方不得违反承诺驻场时间</w:t>
            </w:r>
          </w:p>
        </w:tc>
        <w:tc>
          <w:tcPr>
            <w:tcW w:w="1843" w:type="dxa"/>
            <w:shd w:val="clear" w:color="auto" w:fill="auto"/>
            <w:noWrap w:val="0"/>
            <w:vAlign w:val="center"/>
          </w:tcPr>
          <w:p w14:paraId="4F8FEA5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实际驻场天数与合同约定天数每偏差1天，扣除合同金额5000元</w:t>
            </w:r>
          </w:p>
        </w:tc>
      </w:tr>
      <w:tr w14:paraId="5882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7" w:type="dxa"/>
            <w:shd w:val="clear" w:color="auto" w:fill="auto"/>
            <w:noWrap w:val="0"/>
            <w:vAlign w:val="center"/>
          </w:tcPr>
          <w:p w14:paraId="29391134">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10" w:type="dxa"/>
            <w:shd w:val="clear" w:color="auto" w:fill="auto"/>
            <w:noWrap w:val="0"/>
            <w:vAlign w:val="center"/>
          </w:tcPr>
          <w:p w14:paraId="0450CC85">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交付文档数量及质量</w:t>
            </w:r>
          </w:p>
        </w:tc>
        <w:tc>
          <w:tcPr>
            <w:tcW w:w="1134" w:type="dxa"/>
            <w:shd w:val="clear" w:color="auto" w:fill="auto"/>
            <w:noWrap w:val="0"/>
            <w:vAlign w:val="center"/>
          </w:tcPr>
          <w:p w14:paraId="32F0CCD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衡量甲方内部人员对乙方所提供文档的满意情况</w:t>
            </w:r>
          </w:p>
        </w:tc>
        <w:tc>
          <w:tcPr>
            <w:tcW w:w="1701" w:type="dxa"/>
            <w:shd w:val="clear" w:color="auto" w:fill="auto"/>
            <w:noWrap w:val="0"/>
            <w:vAlign w:val="center"/>
          </w:tcPr>
          <w:p w14:paraId="5346DAB8">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交付文档数量及质量满足甲方要求</w:t>
            </w:r>
          </w:p>
        </w:tc>
        <w:tc>
          <w:tcPr>
            <w:tcW w:w="1842" w:type="dxa"/>
            <w:shd w:val="clear" w:color="auto" w:fill="auto"/>
            <w:noWrap w:val="0"/>
            <w:vAlign w:val="center"/>
          </w:tcPr>
          <w:p w14:paraId="426E994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甲方根据乙方实际交付的文档数量及文档质量计算</w:t>
            </w:r>
          </w:p>
        </w:tc>
        <w:tc>
          <w:tcPr>
            <w:tcW w:w="1843" w:type="dxa"/>
            <w:shd w:val="clear" w:color="auto" w:fill="auto"/>
            <w:noWrap w:val="0"/>
            <w:vAlign w:val="center"/>
          </w:tcPr>
          <w:p w14:paraId="6AABD8E1">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文档实际交付数量不少于甲方要求数量（文档实际交付数量是指文档交付甲方后甲方确认文档质量并实际接收的文档数量）</w:t>
            </w:r>
          </w:p>
        </w:tc>
        <w:tc>
          <w:tcPr>
            <w:tcW w:w="1843" w:type="dxa"/>
            <w:shd w:val="clear" w:color="auto" w:fill="auto"/>
            <w:noWrap w:val="0"/>
            <w:vAlign w:val="center"/>
          </w:tcPr>
          <w:p w14:paraId="5237AB0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文档每缺少一个扣除合同金额2000元；每有一个文档质量不合格扣除合同金额2000元</w:t>
            </w:r>
          </w:p>
        </w:tc>
      </w:tr>
      <w:tr w14:paraId="4483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7" w:type="dxa"/>
            <w:shd w:val="clear" w:color="auto" w:fill="auto"/>
            <w:noWrap w:val="0"/>
            <w:vAlign w:val="center"/>
          </w:tcPr>
          <w:p w14:paraId="2C9B364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10" w:type="dxa"/>
            <w:shd w:val="clear" w:color="auto" w:fill="auto"/>
            <w:noWrap w:val="0"/>
            <w:vAlign w:val="center"/>
          </w:tcPr>
          <w:p w14:paraId="443552C6">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人力资源投入及人员稳定性</w:t>
            </w:r>
          </w:p>
        </w:tc>
        <w:tc>
          <w:tcPr>
            <w:tcW w:w="1134" w:type="dxa"/>
            <w:shd w:val="clear" w:color="auto" w:fill="auto"/>
            <w:noWrap w:val="0"/>
            <w:vAlign w:val="center"/>
          </w:tcPr>
          <w:p w14:paraId="039A4CE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衡量乙方人员服务的符合度及人员稳定性</w:t>
            </w:r>
          </w:p>
        </w:tc>
        <w:tc>
          <w:tcPr>
            <w:tcW w:w="1701" w:type="dxa"/>
            <w:shd w:val="clear" w:color="auto" w:fill="auto"/>
            <w:noWrap w:val="0"/>
            <w:vAlign w:val="center"/>
          </w:tcPr>
          <w:p w14:paraId="3B5E0ABE">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投入人员情况符合投标文件或合同要求，乙方项目组人员变动比例不得高于30%</w:t>
            </w:r>
          </w:p>
        </w:tc>
        <w:tc>
          <w:tcPr>
            <w:tcW w:w="1842" w:type="dxa"/>
            <w:shd w:val="clear" w:color="auto" w:fill="auto"/>
            <w:noWrap w:val="0"/>
            <w:vAlign w:val="center"/>
          </w:tcPr>
          <w:p w14:paraId="00FC84B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甲方按合同要求判定乙方人员投入及变动情况</w:t>
            </w:r>
          </w:p>
        </w:tc>
        <w:tc>
          <w:tcPr>
            <w:tcW w:w="1843" w:type="dxa"/>
            <w:shd w:val="clear" w:color="auto" w:fill="auto"/>
            <w:noWrap w:val="0"/>
            <w:vAlign w:val="center"/>
          </w:tcPr>
          <w:p w14:paraId="11CCC39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人员数量差异=承诺人数-实际人数</w:t>
            </w:r>
          </w:p>
          <w:p w14:paraId="33AE118E">
            <w:pPr>
              <w:keepNext w:val="0"/>
              <w:keepLines w:val="0"/>
              <w:pageBreakBefore w:val="0"/>
              <w:widowControl/>
              <w:kinsoku/>
              <w:wordWrap/>
              <w:overflowPunct/>
              <w:topLinePunct w:val="0"/>
              <w:autoSpaceDE w:val="0"/>
              <w:autoSpaceDN w:val="0"/>
              <w:bidi w:val="0"/>
              <w:adjustRightInd/>
              <w:snapToGrid w:val="0"/>
              <w:spacing w:line="400" w:lineRule="exact"/>
              <w:ind w:left="105"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人员变动率=人员变动人数/原项目组人员总人数（人员数量差异≤2；人咨询骨干专家不得变动；咨询人员变动率≤30%）</w:t>
            </w:r>
          </w:p>
        </w:tc>
        <w:tc>
          <w:tcPr>
            <w:tcW w:w="1843" w:type="dxa"/>
            <w:shd w:val="clear" w:color="auto" w:fill="auto"/>
            <w:noWrap w:val="0"/>
            <w:vAlign w:val="center"/>
          </w:tcPr>
          <w:p w14:paraId="16B28867">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咨询专家变动扣除专家人月单价（至少不低于5万元），咨询人员变动高于超过30%，扣除合同金额10%</w:t>
            </w:r>
          </w:p>
        </w:tc>
      </w:tr>
      <w:tr w14:paraId="43C9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7" w:type="dxa"/>
            <w:shd w:val="clear" w:color="auto" w:fill="auto"/>
            <w:noWrap w:val="0"/>
            <w:vAlign w:val="center"/>
          </w:tcPr>
          <w:p w14:paraId="507BA5EE">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10" w:type="dxa"/>
            <w:shd w:val="clear" w:color="auto" w:fill="auto"/>
            <w:noWrap w:val="0"/>
            <w:vAlign w:val="center"/>
          </w:tcPr>
          <w:p w14:paraId="6FB7709A">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人员异常退出</w:t>
            </w:r>
          </w:p>
        </w:tc>
        <w:tc>
          <w:tcPr>
            <w:tcW w:w="1134" w:type="dxa"/>
            <w:shd w:val="clear" w:color="auto" w:fill="auto"/>
            <w:noWrap w:val="0"/>
            <w:vAlign w:val="center"/>
          </w:tcPr>
          <w:p w14:paraId="05BBA3E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衡量乙方人员是否提供持续服务</w:t>
            </w:r>
          </w:p>
        </w:tc>
        <w:tc>
          <w:tcPr>
            <w:tcW w:w="1701" w:type="dxa"/>
            <w:shd w:val="clear" w:color="auto" w:fill="auto"/>
            <w:noWrap w:val="0"/>
            <w:vAlign w:val="center"/>
          </w:tcPr>
          <w:p w14:paraId="3C349498">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未经甲方同意，乙方人员辞职和离职或无计划的调离项目组</w:t>
            </w:r>
          </w:p>
        </w:tc>
        <w:tc>
          <w:tcPr>
            <w:tcW w:w="1842" w:type="dxa"/>
            <w:shd w:val="clear" w:color="auto" w:fill="auto"/>
            <w:noWrap w:val="0"/>
            <w:vAlign w:val="center"/>
          </w:tcPr>
          <w:p w14:paraId="015EAE09">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甲方根据乙方人员退出的具体时间和原因测算</w:t>
            </w:r>
          </w:p>
        </w:tc>
        <w:tc>
          <w:tcPr>
            <w:tcW w:w="1843" w:type="dxa"/>
            <w:shd w:val="clear" w:color="auto" w:fill="auto"/>
            <w:noWrap w:val="0"/>
            <w:vAlign w:val="center"/>
          </w:tcPr>
          <w:p w14:paraId="493DAD5E">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人员异常退出次数=0</w:t>
            </w:r>
          </w:p>
        </w:tc>
        <w:tc>
          <w:tcPr>
            <w:tcW w:w="1843" w:type="dxa"/>
            <w:shd w:val="clear" w:color="auto" w:fill="auto"/>
            <w:noWrap w:val="0"/>
            <w:vAlign w:val="center"/>
          </w:tcPr>
          <w:p w14:paraId="29F55084">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每次人员异常退出扣除乙方金额人民币1000元</w:t>
            </w:r>
          </w:p>
        </w:tc>
      </w:tr>
      <w:tr w14:paraId="3E0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67" w:type="dxa"/>
            <w:shd w:val="clear" w:color="auto" w:fill="auto"/>
            <w:noWrap w:val="0"/>
            <w:vAlign w:val="center"/>
          </w:tcPr>
          <w:p w14:paraId="07D7C37A">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10" w:type="dxa"/>
            <w:shd w:val="clear" w:color="auto" w:fill="auto"/>
            <w:noWrap w:val="0"/>
            <w:vAlign w:val="center"/>
          </w:tcPr>
          <w:p w14:paraId="541565DF">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人员纪律性</w:t>
            </w:r>
          </w:p>
        </w:tc>
        <w:tc>
          <w:tcPr>
            <w:tcW w:w="1134" w:type="dxa"/>
            <w:shd w:val="clear" w:color="auto" w:fill="auto"/>
            <w:noWrap w:val="0"/>
            <w:vAlign w:val="center"/>
          </w:tcPr>
          <w:p w14:paraId="6EB119EF">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衡量乙方人员是否遵守甲方的日常规章和操作规范</w:t>
            </w:r>
          </w:p>
        </w:tc>
        <w:tc>
          <w:tcPr>
            <w:tcW w:w="1701" w:type="dxa"/>
            <w:shd w:val="clear" w:color="auto" w:fill="auto"/>
            <w:noWrap w:val="0"/>
            <w:vAlign w:val="center"/>
          </w:tcPr>
          <w:p w14:paraId="2B2FCDC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乙方人员不得违反甲方的各项规章制度和操作规范</w:t>
            </w:r>
          </w:p>
        </w:tc>
        <w:tc>
          <w:tcPr>
            <w:tcW w:w="1842" w:type="dxa"/>
            <w:shd w:val="clear" w:color="auto" w:fill="auto"/>
            <w:noWrap w:val="0"/>
            <w:vAlign w:val="center"/>
          </w:tcPr>
          <w:p w14:paraId="6D751B28">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甲方根据自身检查及其他管理部门的检查结果为依据统计乙方人员违规次数。</w:t>
            </w:r>
          </w:p>
        </w:tc>
        <w:tc>
          <w:tcPr>
            <w:tcW w:w="1843" w:type="dxa"/>
            <w:shd w:val="clear" w:color="auto" w:fill="auto"/>
            <w:noWrap w:val="0"/>
            <w:vAlign w:val="center"/>
          </w:tcPr>
          <w:p w14:paraId="09EB9B5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人员违规次数=0次</w:t>
            </w:r>
          </w:p>
        </w:tc>
        <w:tc>
          <w:tcPr>
            <w:tcW w:w="1843" w:type="dxa"/>
            <w:shd w:val="clear" w:color="auto" w:fill="auto"/>
            <w:noWrap w:val="0"/>
            <w:vAlign w:val="center"/>
          </w:tcPr>
          <w:p w14:paraId="33BC565E">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乙方人员违规每次扣除乙方金额人民币500元</w:t>
            </w:r>
          </w:p>
        </w:tc>
      </w:tr>
      <w:tr w14:paraId="196E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67" w:type="dxa"/>
            <w:shd w:val="clear" w:color="auto" w:fill="auto"/>
            <w:noWrap w:val="0"/>
            <w:vAlign w:val="center"/>
          </w:tcPr>
          <w:p w14:paraId="741AFF9A">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10" w:type="dxa"/>
            <w:shd w:val="clear" w:color="auto" w:fill="auto"/>
            <w:noWrap w:val="0"/>
            <w:vAlign w:val="center"/>
          </w:tcPr>
          <w:p w14:paraId="7FB4907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网络安全事件</w:t>
            </w:r>
          </w:p>
        </w:tc>
        <w:tc>
          <w:tcPr>
            <w:tcW w:w="1134" w:type="dxa"/>
            <w:shd w:val="clear" w:color="auto" w:fill="auto"/>
            <w:noWrap w:val="0"/>
            <w:vAlign w:val="center"/>
          </w:tcPr>
          <w:p w14:paraId="66C2712D">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控制网络安全风险</w:t>
            </w:r>
          </w:p>
        </w:tc>
        <w:tc>
          <w:tcPr>
            <w:tcW w:w="1701" w:type="dxa"/>
            <w:shd w:val="clear" w:color="auto" w:fill="auto"/>
            <w:noWrap w:val="0"/>
            <w:vAlign w:val="center"/>
          </w:tcPr>
          <w:p w14:paraId="2810BC56">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不得因乙方原因（含乙方合作的第三方）导致甲方发生网络安全事件</w:t>
            </w:r>
          </w:p>
        </w:tc>
        <w:tc>
          <w:tcPr>
            <w:tcW w:w="1842" w:type="dxa"/>
            <w:shd w:val="clear" w:color="auto" w:fill="auto"/>
            <w:noWrap w:val="0"/>
            <w:vAlign w:val="center"/>
          </w:tcPr>
          <w:p w14:paraId="69B09420">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甲方根据监管及本行要求及事件危害程度判定。</w:t>
            </w:r>
          </w:p>
        </w:tc>
        <w:tc>
          <w:tcPr>
            <w:tcW w:w="1843" w:type="dxa"/>
            <w:shd w:val="clear" w:color="auto" w:fill="auto"/>
            <w:noWrap w:val="0"/>
            <w:vAlign w:val="center"/>
          </w:tcPr>
          <w:p w14:paraId="7982551A">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网络安全事件=0</w:t>
            </w:r>
          </w:p>
        </w:tc>
        <w:tc>
          <w:tcPr>
            <w:tcW w:w="1843" w:type="dxa"/>
            <w:shd w:val="clear" w:color="auto" w:fill="auto"/>
            <w:noWrap w:val="0"/>
            <w:vAlign w:val="center"/>
          </w:tcPr>
          <w:p w14:paraId="3C0FDE47">
            <w:pPr>
              <w:keepNext w:val="0"/>
              <w:keepLines w:val="0"/>
              <w:pageBreakBefore w:val="0"/>
              <w:widowControl/>
              <w:kinsoku/>
              <w:wordWrap/>
              <w:overflowPunct/>
              <w:topLinePunct w:val="0"/>
              <w:autoSpaceDE w:val="0"/>
              <w:autoSpaceDN w:val="0"/>
              <w:bidi w:val="0"/>
              <w:adjustRightInd/>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每发生一次网络安全事件扣除乙方合同金额不低于3%,并要求乙方赔偿实际损失。</w:t>
            </w:r>
          </w:p>
        </w:tc>
      </w:tr>
      <w:tr w14:paraId="7871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7" w:type="dxa"/>
            <w:shd w:val="clear" w:color="auto" w:fill="auto"/>
            <w:noWrap/>
            <w:vAlign w:val="center"/>
          </w:tcPr>
          <w:p w14:paraId="4F36C7A2">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10" w:type="dxa"/>
            <w:shd w:val="clear" w:color="auto" w:fill="auto"/>
            <w:noWrap w:val="0"/>
            <w:vAlign w:val="center"/>
          </w:tcPr>
          <w:p w14:paraId="7EC36F03">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外包安全事件</w:t>
            </w:r>
          </w:p>
        </w:tc>
        <w:tc>
          <w:tcPr>
            <w:tcW w:w="1134" w:type="dxa"/>
            <w:shd w:val="clear" w:color="auto" w:fill="auto"/>
            <w:noWrap w:val="0"/>
            <w:vAlign w:val="center"/>
          </w:tcPr>
          <w:p w14:paraId="794398B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控制外包操作风险</w:t>
            </w:r>
          </w:p>
        </w:tc>
        <w:tc>
          <w:tcPr>
            <w:tcW w:w="1701" w:type="dxa"/>
            <w:shd w:val="clear" w:color="auto" w:fill="auto"/>
            <w:noWrap w:val="0"/>
            <w:vAlign w:val="center"/>
          </w:tcPr>
          <w:p w14:paraId="1866CE2C">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乙方不得出现危害甲方生产运行安全、数据安全等外包安全事件。</w:t>
            </w:r>
          </w:p>
        </w:tc>
        <w:tc>
          <w:tcPr>
            <w:tcW w:w="1842" w:type="dxa"/>
            <w:shd w:val="clear" w:color="auto" w:fill="auto"/>
            <w:noWrap w:val="0"/>
            <w:vAlign w:val="center"/>
          </w:tcPr>
          <w:p w14:paraId="520A8F61">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甲方根据监管要求及时间的危害程度判定</w:t>
            </w:r>
          </w:p>
        </w:tc>
        <w:tc>
          <w:tcPr>
            <w:tcW w:w="1843" w:type="dxa"/>
            <w:shd w:val="clear" w:color="auto" w:fill="auto"/>
            <w:noWrap w:val="0"/>
            <w:vAlign w:val="center"/>
          </w:tcPr>
          <w:p w14:paraId="1F96027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shd w:val="clear" w:color="auto" w:fill="auto"/>
            <w:noWrap w:val="0"/>
            <w:vAlign w:val="center"/>
          </w:tcPr>
          <w:p w14:paraId="5C4413BA">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每次事件扣除乙方金额不低于人民币1000元，并要求乙方赔偿实际损失。</w:t>
            </w:r>
          </w:p>
        </w:tc>
      </w:tr>
      <w:tr w14:paraId="2472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67" w:type="dxa"/>
            <w:shd w:val="clear" w:color="auto" w:fill="auto"/>
            <w:noWrap/>
            <w:vAlign w:val="center"/>
          </w:tcPr>
          <w:p w14:paraId="13273C54">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10" w:type="dxa"/>
            <w:shd w:val="clear" w:color="auto" w:fill="auto"/>
            <w:noWrap/>
            <w:vAlign w:val="center"/>
          </w:tcPr>
          <w:p w14:paraId="6BE6409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SLA满足率</w:t>
            </w:r>
          </w:p>
        </w:tc>
        <w:tc>
          <w:tcPr>
            <w:tcW w:w="1134" w:type="dxa"/>
            <w:shd w:val="clear" w:color="auto" w:fill="auto"/>
            <w:noWrap/>
            <w:vAlign w:val="center"/>
          </w:tcPr>
          <w:p w14:paraId="52807844">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此数据是衡量满足要求的SLA个数与整体SLA个数的百分之整体的比率</w:t>
            </w:r>
          </w:p>
        </w:tc>
        <w:tc>
          <w:tcPr>
            <w:tcW w:w="1701" w:type="dxa"/>
            <w:shd w:val="clear" w:color="auto" w:fill="auto"/>
            <w:noWrap/>
            <w:vAlign w:val="center"/>
          </w:tcPr>
          <w:p w14:paraId="7649D077">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衡量乙方达到要求的SLA占全部SLA的百分比。</w:t>
            </w:r>
          </w:p>
        </w:tc>
        <w:tc>
          <w:tcPr>
            <w:tcW w:w="1842" w:type="dxa"/>
            <w:shd w:val="clear" w:color="auto" w:fill="auto"/>
            <w:noWrap/>
            <w:vAlign w:val="center"/>
          </w:tcPr>
          <w:p w14:paraId="2827924B">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为了这个度量报告，需要持续汇报SOW中所有SLA情况。</w:t>
            </w:r>
          </w:p>
        </w:tc>
        <w:tc>
          <w:tcPr>
            <w:tcW w:w="1843" w:type="dxa"/>
            <w:shd w:val="clear" w:color="auto" w:fill="auto"/>
            <w:noWrap/>
            <w:vAlign w:val="center"/>
          </w:tcPr>
          <w:p w14:paraId="0591EB1D">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SLA满足率＝（满足SLA的个数/总体SLA的个数）×100%（SLA满足率≥70%）</w:t>
            </w:r>
          </w:p>
        </w:tc>
        <w:tc>
          <w:tcPr>
            <w:tcW w:w="1843" w:type="dxa"/>
            <w:shd w:val="clear" w:color="auto" w:fill="auto"/>
            <w:noWrap/>
            <w:vAlign w:val="center"/>
          </w:tcPr>
          <w:p w14:paraId="505EC670">
            <w:pPr>
              <w:keepNext w:val="0"/>
              <w:keepLines w:val="0"/>
              <w:pageBreakBefore w:val="0"/>
              <w:widowControl/>
              <w:kinsoku/>
              <w:wordWrap/>
              <w:overflowPunct/>
              <w:topLinePunct w:val="0"/>
              <w:autoSpaceDE w:val="0"/>
              <w:autoSpaceDN w:val="0"/>
              <w:bidi w:val="0"/>
              <w:adjustRightInd/>
              <w:snapToGrid w:val="0"/>
              <w:spacing w:line="40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SLA满足率每低于标准5%，扣除合同金额的1%</w:t>
            </w:r>
          </w:p>
        </w:tc>
      </w:tr>
    </w:tbl>
    <w:p w14:paraId="2E1AF49C">
      <w:pPr>
        <w:rPr>
          <w:rFonts w:hint="default" w:ascii="Times New Roman" w:hAnsi="Times New Roman" w:cs="Times New Roman"/>
          <w:color w:val="auto"/>
          <w:highlight w:val="none"/>
        </w:rPr>
      </w:pPr>
    </w:p>
    <w:p w14:paraId="763C1DE0">
      <w:pPr>
        <w:rPr>
          <w:rFonts w:hint="default" w:ascii="Times New Roman" w:hAnsi="Times New Roman"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DB84E6D">
      <w:pPr>
        <w:rPr>
          <w:rFonts w:hint="default" w:ascii="Times New Roman" w:hAnsi="Times New Roman" w:cs="Times New Roman"/>
          <w:color w:val="auto"/>
          <w:highlight w:val="none"/>
        </w:rPr>
      </w:pPr>
    </w:p>
    <w:p w14:paraId="2E7FF0D8">
      <w:pPr>
        <w:pStyle w:val="34"/>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、其他（如有</w:t>
      </w:r>
      <w:r>
        <w:rPr>
          <w:rFonts w:hint="eastAsia" w:ascii="Times New Roman" w:hAnsi="Times New Roman" w:cs="Times New Roman"/>
          <w:color w:val="auto"/>
          <w:highlight w:val="none"/>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EC50">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4042" cy="381000"/>
                      </a:xfrm>
                      <a:prstGeom prst="rect">
                        <a:avLst/>
                      </a:prstGeom>
                      <a:noFill/>
                      <a:ln w="6350" cap="flat" cmpd="sng">
                        <a:noFill/>
                        <a:prstDash val="solid"/>
                        <a:round/>
                      </a:ln>
                    </wps:spPr>
                    <wps:txbx>
                      <w:txbxContent>
                        <w:p w14:paraId="108AFEA0">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YJq1wAAAAMBAAAPAAAAAAAAAAEAIAAAACIAAABkcnMv&#10;ZG93bnJldi54bWxQSwECFAAUAAAACACHTuJA8A2D8gQCAAD0AwAADgAAAAAAAAABACAAAAAmAQAA&#10;ZHJzL2Uyb0RvYy54bWxQSwUGAAAAAAYABgBZAQAAnAUAAAAA&#10;">
              <v:fill on="f" focussize="0,0"/>
              <v:stroke on="f" weight="0.5pt" joinstyle="round"/>
              <v:imagedata o:title=""/>
              <o:lock v:ext="edit" aspectratio="f"/>
              <v:textbox inset="0mm,0mm,0mm,0mm" style="mso-fit-shape-to-text:t;">
                <w:txbxContent>
                  <w:p w14:paraId="108AFEA0">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B0FA">
    <w:pPr>
      <w:pStyle w:val="17"/>
      <w:jc w:val="center"/>
      <w:rPr>
        <w:rFonts w:hint="default" w:ascii="Times New Roman" w:hAnsi="Times New Roman" w:cs="Times New Roman"/>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PAGE</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rPr>
      <w:t>25</w:t>
    </w:r>
    <w:r>
      <w:rPr>
        <w:rFonts w:hint="default" w:ascii="Times New Roman" w:hAnsi="Times New Roman" w:cs="Times New Roman"/>
        <w:b w:val="0"/>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B577">
    <w:pPr>
      <w:pStyle w:val="17"/>
      <w:framePr w:wrap="around" w:vAnchor="text" w:hAnchor="margin" w:xAlign="center" w:y="1"/>
      <w:rPr>
        <w:rStyle w:val="26"/>
      </w:rPr>
    </w:pPr>
    <w:r>
      <w:rPr>
        <w:rStyle w:val="26"/>
      </w:rPr>
      <w:fldChar w:fldCharType="begin"/>
    </w:r>
    <w:r>
      <w:rPr>
        <w:rStyle w:val="26"/>
      </w:rPr>
      <w:instrText xml:space="preserve">PAGE  </w:instrText>
    </w:r>
    <w:r>
      <w:fldChar w:fldCharType="end"/>
    </w:r>
  </w:p>
  <w:p w14:paraId="2FEE07C2">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69CE">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FB30">
    <w:pPr>
      <w:pStyle w:val="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9870">
    <w:pPr>
      <w:pStyle w:val="18"/>
      <w:jc w:val="left"/>
    </w:pPr>
    <w:r>
      <w:rPr>
        <w:rFonts w:hint="eastAsia" w:ascii="宋体" w:eastAsia="宋体"/>
        <w:spacing w:val="0"/>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23334"/>
    <w:multiLevelType w:val="singleLevel"/>
    <w:tmpl w:val="84123334"/>
    <w:lvl w:ilvl="0" w:tentative="0">
      <w:start w:val="1"/>
      <w:numFmt w:val="decimal"/>
      <w:suff w:val="nothing"/>
      <w:lvlText w:val="%1."/>
      <w:lvlJc w:val="left"/>
    </w:lvl>
  </w:abstractNum>
  <w:abstractNum w:abstractNumId="1">
    <w:nsid w:val="8C2743F9"/>
    <w:multiLevelType w:val="singleLevel"/>
    <w:tmpl w:val="8C2743F9"/>
    <w:lvl w:ilvl="0" w:tentative="0">
      <w:start w:val="1"/>
      <w:numFmt w:val="chineseCounting"/>
      <w:suff w:val="nothing"/>
      <w:lvlText w:val="%1、"/>
      <w:lvlJc w:val="left"/>
      <w:pPr>
        <w:ind w:left="0" w:firstLine="420"/>
      </w:pPr>
      <w:rPr>
        <w:rFonts w:hint="eastAsia"/>
      </w:rPr>
    </w:lvl>
  </w:abstractNum>
  <w:abstractNum w:abstractNumId="2">
    <w:nsid w:val="9D2E581E"/>
    <w:multiLevelType w:val="multilevel"/>
    <w:tmpl w:val="9D2E581E"/>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suff w:val="nothing"/>
      <w:lvlText w:val="%1.%2.%3"/>
      <w:lvlJc w:val="left"/>
      <w:pPr>
        <w:ind w:left="1508" w:hanging="708"/>
      </w:pPr>
      <w:rPr>
        <w:rFonts w:hint="default"/>
      </w:rPr>
    </w:lvl>
    <w:lvl w:ilvl="3" w:tentative="0">
      <w:start w:val="1"/>
      <w:numFmt w:val="decimal"/>
      <w:suff w:val="nothing"/>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9EE5A2C0"/>
    <w:multiLevelType w:val="singleLevel"/>
    <w:tmpl w:val="9EE5A2C0"/>
    <w:lvl w:ilvl="0" w:tentative="0">
      <w:start w:val="2"/>
      <w:numFmt w:val="chineseCounting"/>
      <w:suff w:val="nothing"/>
      <w:lvlText w:val="%1、"/>
      <w:lvlJc w:val="left"/>
      <w:rPr>
        <w:rFonts w:hint="eastAsia"/>
      </w:rPr>
    </w:lvl>
  </w:abstractNum>
  <w:abstractNum w:abstractNumId="4">
    <w:nsid w:val="9FD6BEA1"/>
    <w:multiLevelType w:val="singleLevel"/>
    <w:tmpl w:val="9FD6BEA1"/>
    <w:lvl w:ilvl="0" w:tentative="0">
      <w:start w:val="1"/>
      <w:numFmt w:val="decimal"/>
      <w:suff w:val="nothing"/>
      <w:lvlText w:val="%1）"/>
      <w:lvlJc w:val="left"/>
    </w:lvl>
  </w:abstractNum>
  <w:abstractNum w:abstractNumId="5">
    <w:nsid w:val="A76DABF8"/>
    <w:multiLevelType w:val="singleLevel"/>
    <w:tmpl w:val="A76DABF8"/>
    <w:lvl w:ilvl="0" w:tentative="0">
      <w:start w:val="1"/>
      <w:numFmt w:val="decimal"/>
      <w:suff w:val="nothing"/>
      <w:lvlText w:val="%1."/>
      <w:lvlJc w:val="left"/>
    </w:lvl>
  </w:abstractNum>
  <w:abstractNum w:abstractNumId="6">
    <w:nsid w:val="AB76A366"/>
    <w:multiLevelType w:val="singleLevel"/>
    <w:tmpl w:val="AB76A366"/>
    <w:lvl w:ilvl="0" w:tentative="0">
      <w:start w:val="1"/>
      <w:numFmt w:val="decimal"/>
      <w:suff w:val="nothing"/>
      <w:lvlText w:val="%1）"/>
      <w:lvlJc w:val="left"/>
    </w:lvl>
  </w:abstractNum>
  <w:abstractNum w:abstractNumId="7">
    <w:nsid w:val="B17E7007"/>
    <w:multiLevelType w:val="singleLevel"/>
    <w:tmpl w:val="B17E7007"/>
    <w:lvl w:ilvl="0" w:tentative="0">
      <w:start w:val="6"/>
      <w:numFmt w:val="chineseCounting"/>
      <w:suff w:val="nothing"/>
      <w:lvlText w:val="%1、"/>
      <w:lvlJc w:val="left"/>
      <w:rPr>
        <w:rFonts w:hint="eastAsia"/>
      </w:rPr>
    </w:lvl>
  </w:abstractNum>
  <w:abstractNum w:abstractNumId="8">
    <w:nsid w:val="B7FDB8F9"/>
    <w:multiLevelType w:val="singleLevel"/>
    <w:tmpl w:val="B7FDB8F9"/>
    <w:lvl w:ilvl="0" w:tentative="0">
      <w:start w:val="1"/>
      <w:numFmt w:val="decimal"/>
      <w:suff w:val="nothing"/>
      <w:lvlText w:val="（%1）"/>
      <w:lvlJc w:val="left"/>
    </w:lvl>
  </w:abstractNum>
  <w:abstractNum w:abstractNumId="9">
    <w:nsid w:val="B8547C24"/>
    <w:multiLevelType w:val="singleLevel"/>
    <w:tmpl w:val="B8547C24"/>
    <w:lvl w:ilvl="0" w:tentative="0">
      <w:start w:val="1"/>
      <w:numFmt w:val="decimal"/>
      <w:suff w:val="nothing"/>
      <w:lvlText w:val="%1）"/>
      <w:lvlJc w:val="left"/>
    </w:lvl>
  </w:abstractNum>
  <w:abstractNum w:abstractNumId="10">
    <w:nsid w:val="BDB47840"/>
    <w:multiLevelType w:val="singleLevel"/>
    <w:tmpl w:val="BDB47840"/>
    <w:lvl w:ilvl="0" w:tentative="0">
      <w:start w:val="1"/>
      <w:numFmt w:val="bullet"/>
      <w:lvlText w:val=""/>
      <w:lvlJc w:val="left"/>
      <w:pPr>
        <w:ind w:left="420" w:hanging="420"/>
      </w:pPr>
      <w:rPr>
        <w:rFonts w:hint="default" w:ascii="Wingdings" w:hAnsi="Wingdings"/>
        <w:sz w:val="18"/>
        <w:szCs w:val="18"/>
      </w:rPr>
    </w:lvl>
  </w:abstractNum>
  <w:abstractNum w:abstractNumId="11">
    <w:nsid w:val="C0D59572"/>
    <w:multiLevelType w:val="singleLevel"/>
    <w:tmpl w:val="C0D59572"/>
    <w:lvl w:ilvl="0" w:tentative="0">
      <w:start w:val="5"/>
      <w:numFmt w:val="chineseCounting"/>
      <w:suff w:val="nothing"/>
      <w:lvlText w:val="（%1）"/>
      <w:lvlJc w:val="left"/>
      <w:rPr>
        <w:rFonts w:hint="eastAsia"/>
      </w:rPr>
    </w:lvl>
  </w:abstractNum>
  <w:abstractNum w:abstractNumId="12">
    <w:nsid w:val="CA02DCB2"/>
    <w:multiLevelType w:val="singleLevel"/>
    <w:tmpl w:val="CA02DCB2"/>
    <w:lvl w:ilvl="0" w:tentative="0">
      <w:start w:val="1"/>
      <w:numFmt w:val="decimal"/>
      <w:suff w:val="nothing"/>
      <w:lvlText w:val="%1）"/>
      <w:lvlJc w:val="left"/>
      <w:rPr>
        <w:rFonts w:hint="default"/>
        <w:b w:val="0"/>
        <w:bCs w:val="0"/>
      </w:rPr>
    </w:lvl>
  </w:abstractNum>
  <w:abstractNum w:abstractNumId="13">
    <w:nsid w:val="D5198000"/>
    <w:multiLevelType w:val="singleLevel"/>
    <w:tmpl w:val="D5198000"/>
    <w:lvl w:ilvl="0" w:tentative="0">
      <w:start w:val="1"/>
      <w:numFmt w:val="decimal"/>
      <w:suff w:val="nothing"/>
      <w:lvlText w:val="（%1）"/>
      <w:lvlJc w:val="left"/>
    </w:lvl>
  </w:abstractNum>
  <w:abstractNum w:abstractNumId="14">
    <w:nsid w:val="D602C215"/>
    <w:multiLevelType w:val="singleLevel"/>
    <w:tmpl w:val="D602C215"/>
    <w:lvl w:ilvl="0" w:tentative="0">
      <w:start w:val="1"/>
      <w:numFmt w:val="decimal"/>
      <w:suff w:val="nothing"/>
      <w:lvlText w:val="%1）"/>
      <w:lvlJc w:val="left"/>
    </w:lvl>
  </w:abstractNum>
  <w:abstractNum w:abstractNumId="15">
    <w:nsid w:val="DA190193"/>
    <w:multiLevelType w:val="singleLevel"/>
    <w:tmpl w:val="DA190193"/>
    <w:lvl w:ilvl="0" w:tentative="0">
      <w:start w:val="1"/>
      <w:numFmt w:val="decimal"/>
      <w:suff w:val="nothing"/>
      <w:lvlText w:val="%1."/>
      <w:lvlJc w:val="left"/>
    </w:lvl>
  </w:abstractNum>
  <w:abstractNum w:abstractNumId="16">
    <w:nsid w:val="E0564493"/>
    <w:multiLevelType w:val="singleLevel"/>
    <w:tmpl w:val="E0564493"/>
    <w:lvl w:ilvl="0" w:tentative="0">
      <w:start w:val="1"/>
      <w:numFmt w:val="decimal"/>
      <w:suff w:val="nothing"/>
      <w:lvlText w:val="（%1）"/>
      <w:lvlJc w:val="left"/>
    </w:lvl>
  </w:abstractNum>
  <w:abstractNum w:abstractNumId="17">
    <w:nsid w:val="E9100A73"/>
    <w:multiLevelType w:val="singleLevel"/>
    <w:tmpl w:val="E9100A73"/>
    <w:lvl w:ilvl="0" w:tentative="0">
      <w:start w:val="2"/>
      <w:numFmt w:val="chineseCounting"/>
      <w:suff w:val="nothing"/>
      <w:lvlText w:val="（%1）"/>
      <w:lvlJc w:val="left"/>
      <w:rPr>
        <w:rFonts w:hint="eastAsia"/>
      </w:rPr>
    </w:lvl>
  </w:abstractNum>
  <w:abstractNum w:abstractNumId="18">
    <w:nsid w:val="F0F827B6"/>
    <w:multiLevelType w:val="singleLevel"/>
    <w:tmpl w:val="F0F827B6"/>
    <w:lvl w:ilvl="0" w:tentative="0">
      <w:start w:val="1"/>
      <w:numFmt w:val="decimal"/>
      <w:suff w:val="nothing"/>
      <w:lvlText w:val="%1"/>
      <w:lvlJc w:val="left"/>
      <w:pPr>
        <w:ind w:left="454" w:leftChars="0" w:hanging="454" w:firstLineChars="0"/>
      </w:pPr>
      <w:rPr>
        <w:rFonts w:hint="default"/>
      </w:rPr>
    </w:lvl>
  </w:abstractNum>
  <w:abstractNum w:abstractNumId="19">
    <w:nsid w:val="F593E0AD"/>
    <w:multiLevelType w:val="multilevel"/>
    <w:tmpl w:val="F593E0AD"/>
    <w:lvl w:ilvl="0" w:tentative="0">
      <w:start w:val="2"/>
      <w:numFmt w:val="decimal"/>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850" w:hanging="453"/>
      </w:pPr>
      <w:rPr>
        <w:rFonts w:hint="default"/>
      </w:rPr>
    </w:lvl>
    <w:lvl w:ilvl="2" w:tentative="0">
      <w:start w:val="1"/>
      <w:numFmt w:val="decimal"/>
      <w:suff w:val="nothing"/>
      <w:lvlText w:val="%1.%2.%3"/>
      <w:lvlJc w:val="left"/>
      <w:pPr>
        <w:ind w:left="1508" w:hanging="708"/>
      </w:pPr>
      <w:rPr>
        <w:rFonts w:hint="default"/>
      </w:rPr>
    </w:lvl>
    <w:lvl w:ilvl="3" w:tentative="0">
      <w:start w:val="1"/>
      <w:numFmt w:val="decimal"/>
      <w:suff w:val="nothing"/>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F8770B4C"/>
    <w:multiLevelType w:val="singleLevel"/>
    <w:tmpl w:val="F8770B4C"/>
    <w:lvl w:ilvl="0" w:tentative="0">
      <w:start w:val="1"/>
      <w:numFmt w:val="decimal"/>
      <w:suff w:val="nothing"/>
      <w:lvlText w:val="%1."/>
      <w:lvlJc w:val="left"/>
    </w:lvl>
  </w:abstractNum>
  <w:abstractNum w:abstractNumId="21">
    <w:nsid w:val="F90FB16A"/>
    <w:multiLevelType w:val="singleLevel"/>
    <w:tmpl w:val="F90FB16A"/>
    <w:lvl w:ilvl="0" w:tentative="0">
      <w:start w:val="1"/>
      <w:numFmt w:val="chineseCounting"/>
      <w:suff w:val="nothing"/>
      <w:lvlText w:val="%1、"/>
      <w:lvlJc w:val="left"/>
      <w:pPr>
        <w:ind w:left="0" w:firstLine="420"/>
      </w:pPr>
      <w:rPr>
        <w:rFonts w:hint="eastAsia"/>
      </w:rPr>
    </w:lvl>
  </w:abstractNum>
  <w:abstractNum w:abstractNumId="22">
    <w:nsid w:val="F9209EFF"/>
    <w:multiLevelType w:val="singleLevel"/>
    <w:tmpl w:val="F9209EFF"/>
    <w:lvl w:ilvl="0" w:tentative="0">
      <w:start w:val="1"/>
      <w:numFmt w:val="decimal"/>
      <w:suff w:val="nothing"/>
      <w:lvlText w:val="%1."/>
      <w:lvlJc w:val="left"/>
    </w:lvl>
  </w:abstractNum>
  <w:abstractNum w:abstractNumId="23">
    <w:nsid w:val="FA2126B0"/>
    <w:multiLevelType w:val="singleLevel"/>
    <w:tmpl w:val="FA2126B0"/>
    <w:lvl w:ilvl="0" w:tentative="0">
      <w:start w:val="1"/>
      <w:numFmt w:val="decimal"/>
      <w:suff w:val="nothing"/>
      <w:lvlText w:val="%1"/>
      <w:lvlJc w:val="left"/>
      <w:pPr>
        <w:ind w:left="454" w:leftChars="0" w:hanging="454" w:firstLineChars="0"/>
      </w:pPr>
      <w:rPr>
        <w:rFonts w:hint="default"/>
      </w:rPr>
    </w:lvl>
  </w:abstractNum>
  <w:abstractNum w:abstractNumId="24">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5">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6">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7">
    <w:nsid w:val="06D6A72A"/>
    <w:multiLevelType w:val="singleLevel"/>
    <w:tmpl w:val="06D6A72A"/>
    <w:lvl w:ilvl="0" w:tentative="0">
      <w:start w:val="1"/>
      <w:numFmt w:val="decimal"/>
      <w:suff w:val="nothing"/>
      <w:lvlText w:val="%1."/>
      <w:lvlJc w:val="left"/>
    </w:lvl>
  </w:abstractNum>
  <w:abstractNum w:abstractNumId="28">
    <w:nsid w:val="091EA727"/>
    <w:multiLevelType w:val="singleLevel"/>
    <w:tmpl w:val="091EA727"/>
    <w:lvl w:ilvl="0" w:tentative="0">
      <w:start w:val="1"/>
      <w:numFmt w:val="decimal"/>
      <w:suff w:val="nothing"/>
      <w:lvlText w:val="%1）"/>
      <w:lvlJc w:val="left"/>
    </w:lvl>
  </w:abstractNum>
  <w:abstractNum w:abstractNumId="29">
    <w:nsid w:val="0CF18694"/>
    <w:multiLevelType w:val="singleLevel"/>
    <w:tmpl w:val="0CF18694"/>
    <w:lvl w:ilvl="0" w:tentative="0">
      <w:start w:val="1"/>
      <w:numFmt w:val="decimal"/>
      <w:suff w:val="nothing"/>
      <w:lvlText w:val="%1."/>
      <w:lvlJc w:val="left"/>
    </w:lvl>
  </w:abstractNum>
  <w:abstractNum w:abstractNumId="30">
    <w:nsid w:val="123B5813"/>
    <w:multiLevelType w:val="singleLevel"/>
    <w:tmpl w:val="123B5813"/>
    <w:lvl w:ilvl="0" w:tentative="0">
      <w:start w:val="1"/>
      <w:numFmt w:val="decimal"/>
      <w:suff w:val="nothing"/>
      <w:lvlText w:val="%1）"/>
      <w:lvlJc w:val="left"/>
    </w:lvl>
  </w:abstractNum>
  <w:abstractNum w:abstractNumId="31">
    <w:nsid w:val="14DEFFB8"/>
    <w:multiLevelType w:val="singleLevel"/>
    <w:tmpl w:val="14DEFFB8"/>
    <w:lvl w:ilvl="0" w:tentative="0">
      <w:start w:val="1"/>
      <w:numFmt w:val="decimal"/>
      <w:suff w:val="space"/>
      <w:lvlText w:val="%1."/>
      <w:lvlJc w:val="left"/>
    </w:lvl>
  </w:abstractNum>
  <w:abstractNum w:abstractNumId="32">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33">
    <w:nsid w:val="2829E5F2"/>
    <w:multiLevelType w:val="singleLevel"/>
    <w:tmpl w:val="2829E5F2"/>
    <w:lvl w:ilvl="0" w:tentative="0">
      <w:start w:val="1"/>
      <w:numFmt w:val="decimal"/>
      <w:suff w:val="nothing"/>
      <w:lvlText w:val="（%1）"/>
      <w:lvlJc w:val="left"/>
      <w:rPr>
        <w:rFonts w:hint="default" w:ascii="Times New Roman" w:hAnsi="Times New Roman" w:cs="Times New Roman"/>
      </w:rPr>
    </w:lvl>
  </w:abstractNum>
  <w:abstractNum w:abstractNumId="34">
    <w:nsid w:val="3290B33C"/>
    <w:multiLevelType w:val="singleLevel"/>
    <w:tmpl w:val="3290B33C"/>
    <w:lvl w:ilvl="0" w:tentative="0">
      <w:start w:val="1"/>
      <w:numFmt w:val="decimal"/>
      <w:suff w:val="nothing"/>
      <w:lvlText w:val="（%1）"/>
      <w:lvlJc w:val="left"/>
      <w:rPr>
        <w:rFonts w:hint="default"/>
        <w:b w:val="0"/>
        <w:bCs w:val="0"/>
        <w:sz w:val="24"/>
        <w:szCs w:val="24"/>
      </w:rPr>
    </w:lvl>
  </w:abstractNum>
  <w:abstractNum w:abstractNumId="35">
    <w:nsid w:val="35EA231E"/>
    <w:multiLevelType w:val="singleLevel"/>
    <w:tmpl w:val="35EA231E"/>
    <w:lvl w:ilvl="0" w:tentative="0">
      <w:start w:val="1"/>
      <w:numFmt w:val="decimal"/>
      <w:suff w:val="space"/>
      <w:lvlText w:val="%1."/>
      <w:lvlJc w:val="left"/>
    </w:lvl>
  </w:abstractNum>
  <w:abstractNum w:abstractNumId="36">
    <w:nsid w:val="35F659A5"/>
    <w:multiLevelType w:val="singleLevel"/>
    <w:tmpl w:val="35F659A5"/>
    <w:lvl w:ilvl="0" w:tentative="0">
      <w:start w:val="2"/>
      <w:numFmt w:val="chineseCounting"/>
      <w:suff w:val="nothing"/>
      <w:lvlText w:val="（%1）"/>
      <w:lvlJc w:val="left"/>
      <w:rPr>
        <w:rFonts w:hint="eastAsia"/>
      </w:rPr>
    </w:lvl>
  </w:abstractNum>
  <w:abstractNum w:abstractNumId="37">
    <w:nsid w:val="379D0380"/>
    <w:multiLevelType w:val="singleLevel"/>
    <w:tmpl w:val="379D0380"/>
    <w:lvl w:ilvl="0" w:tentative="0">
      <w:start w:val="1"/>
      <w:numFmt w:val="decimal"/>
      <w:suff w:val="nothing"/>
      <w:lvlText w:val="%1."/>
      <w:lvlJc w:val="left"/>
    </w:lvl>
  </w:abstractNum>
  <w:abstractNum w:abstractNumId="38">
    <w:nsid w:val="3A78D2D3"/>
    <w:multiLevelType w:val="singleLevel"/>
    <w:tmpl w:val="3A78D2D3"/>
    <w:lvl w:ilvl="0" w:tentative="0">
      <w:start w:val="1"/>
      <w:numFmt w:val="decimal"/>
      <w:suff w:val="nothing"/>
      <w:lvlText w:val="%1）"/>
      <w:lvlJc w:val="left"/>
    </w:lvl>
  </w:abstractNum>
  <w:abstractNum w:abstractNumId="39">
    <w:nsid w:val="3C4005DA"/>
    <w:multiLevelType w:val="singleLevel"/>
    <w:tmpl w:val="3C4005DA"/>
    <w:lvl w:ilvl="0" w:tentative="0">
      <w:start w:val="1"/>
      <w:numFmt w:val="decimal"/>
      <w:suff w:val="nothing"/>
      <w:lvlText w:val="%1）"/>
      <w:lvlJc w:val="left"/>
    </w:lvl>
  </w:abstractNum>
  <w:abstractNum w:abstractNumId="40">
    <w:nsid w:val="404D6290"/>
    <w:multiLevelType w:val="singleLevel"/>
    <w:tmpl w:val="404D6290"/>
    <w:lvl w:ilvl="0" w:tentative="0">
      <w:start w:val="1"/>
      <w:numFmt w:val="decimal"/>
      <w:suff w:val="nothing"/>
      <w:lvlText w:val="%1."/>
      <w:lvlJc w:val="left"/>
    </w:lvl>
  </w:abstractNum>
  <w:abstractNum w:abstractNumId="41">
    <w:nsid w:val="421E60DC"/>
    <w:multiLevelType w:val="singleLevel"/>
    <w:tmpl w:val="421E60DC"/>
    <w:lvl w:ilvl="0" w:tentative="0">
      <w:start w:val="1"/>
      <w:numFmt w:val="decimal"/>
      <w:suff w:val="nothing"/>
      <w:lvlText w:val="%1."/>
      <w:lvlJc w:val="left"/>
    </w:lvl>
  </w:abstractNum>
  <w:abstractNum w:abstractNumId="42">
    <w:nsid w:val="42480766"/>
    <w:multiLevelType w:val="multilevel"/>
    <w:tmpl w:val="42480766"/>
    <w:lvl w:ilvl="0" w:tentative="0">
      <w:start w:val="1"/>
      <w:numFmt w:val="bullet"/>
      <w:lvlText w:val=""/>
      <w:lvlJc w:val="left"/>
      <w:pPr>
        <w:tabs>
          <w:tab w:val="left" w:pos="420"/>
        </w:tabs>
        <w:ind w:left="1549" w:hanging="420"/>
      </w:pPr>
      <w:rPr>
        <w:rFonts w:hint="default" w:ascii="Wingdings" w:hAnsi="Wingdings"/>
      </w:rPr>
    </w:lvl>
    <w:lvl w:ilvl="1" w:tentative="0">
      <w:start w:val="1"/>
      <w:numFmt w:val="bullet"/>
      <w:lvlText w:val=""/>
      <w:lvlJc w:val="left"/>
      <w:pPr>
        <w:tabs>
          <w:tab w:val="left" w:pos="420"/>
        </w:tabs>
        <w:ind w:left="1969" w:hanging="420"/>
      </w:pPr>
      <w:rPr>
        <w:rFonts w:hint="default" w:ascii="Wingdings" w:hAnsi="Wingdings"/>
      </w:rPr>
    </w:lvl>
    <w:lvl w:ilvl="2" w:tentative="0">
      <w:start w:val="1"/>
      <w:numFmt w:val="bullet"/>
      <w:lvlText w:val=""/>
      <w:lvlJc w:val="left"/>
      <w:pPr>
        <w:tabs>
          <w:tab w:val="left" w:pos="420"/>
        </w:tabs>
        <w:ind w:left="2389" w:hanging="420"/>
      </w:pPr>
      <w:rPr>
        <w:rFonts w:hint="default" w:ascii="Wingdings" w:hAnsi="Wingdings"/>
      </w:rPr>
    </w:lvl>
    <w:lvl w:ilvl="3" w:tentative="0">
      <w:start w:val="1"/>
      <w:numFmt w:val="bullet"/>
      <w:lvlText w:val=""/>
      <w:lvlJc w:val="left"/>
      <w:pPr>
        <w:tabs>
          <w:tab w:val="left" w:pos="420"/>
        </w:tabs>
        <w:ind w:left="2809" w:hanging="420"/>
      </w:pPr>
      <w:rPr>
        <w:rFonts w:hint="default" w:ascii="Wingdings" w:hAnsi="Wingdings"/>
      </w:rPr>
    </w:lvl>
    <w:lvl w:ilvl="4" w:tentative="0">
      <w:start w:val="1"/>
      <w:numFmt w:val="bullet"/>
      <w:lvlText w:val=""/>
      <w:lvlJc w:val="left"/>
      <w:pPr>
        <w:tabs>
          <w:tab w:val="left" w:pos="420"/>
        </w:tabs>
        <w:ind w:left="3229" w:hanging="420"/>
      </w:pPr>
      <w:rPr>
        <w:rFonts w:hint="default" w:ascii="Wingdings" w:hAnsi="Wingdings"/>
      </w:rPr>
    </w:lvl>
    <w:lvl w:ilvl="5" w:tentative="0">
      <w:start w:val="1"/>
      <w:numFmt w:val="bullet"/>
      <w:lvlText w:val=""/>
      <w:lvlJc w:val="left"/>
      <w:pPr>
        <w:tabs>
          <w:tab w:val="left" w:pos="420"/>
        </w:tabs>
        <w:ind w:left="3649" w:hanging="420"/>
      </w:pPr>
      <w:rPr>
        <w:rFonts w:hint="default" w:ascii="Wingdings" w:hAnsi="Wingdings"/>
      </w:rPr>
    </w:lvl>
    <w:lvl w:ilvl="6" w:tentative="0">
      <w:start w:val="1"/>
      <w:numFmt w:val="bullet"/>
      <w:lvlText w:val=""/>
      <w:lvlJc w:val="left"/>
      <w:pPr>
        <w:tabs>
          <w:tab w:val="left" w:pos="420"/>
        </w:tabs>
        <w:ind w:left="4069" w:hanging="420"/>
      </w:pPr>
      <w:rPr>
        <w:rFonts w:hint="default" w:ascii="Wingdings" w:hAnsi="Wingdings"/>
      </w:rPr>
    </w:lvl>
    <w:lvl w:ilvl="7" w:tentative="0">
      <w:start w:val="1"/>
      <w:numFmt w:val="bullet"/>
      <w:lvlText w:val=""/>
      <w:lvlJc w:val="left"/>
      <w:pPr>
        <w:tabs>
          <w:tab w:val="left" w:pos="420"/>
        </w:tabs>
        <w:ind w:left="4489" w:hanging="420"/>
      </w:pPr>
      <w:rPr>
        <w:rFonts w:hint="default" w:ascii="Wingdings" w:hAnsi="Wingdings"/>
      </w:rPr>
    </w:lvl>
    <w:lvl w:ilvl="8" w:tentative="0">
      <w:start w:val="1"/>
      <w:numFmt w:val="bullet"/>
      <w:lvlText w:val=""/>
      <w:lvlJc w:val="left"/>
      <w:pPr>
        <w:tabs>
          <w:tab w:val="left" w:pos="420"/>
        </w:tabs>
        <w:ind w:left="4909" w:hanging="420"/>
      </w:pPr>
      <w:rPr>
        <w:rFonts w:hint="default" w:ascii="Wingdings" w:hAnsi="Wingdings"/>
      </w:rPr>
    </w:lvl>
  </w:abstractNum>
  <w:abstractNum w:abstractNumId="43">
    <w:nsid w:val="47BFA1AF"/>
    <w:multiLevelType w:val="singleLevel"/>
    <w:tmpl w:val="47BFA1AF"/>
    <w:lvl w:ilvl="0" w:tentative="0">
      <w:start w:val="1"/>
      <w:numFmt w:val="decimal"/>
      <w:suff w:val="nothing"/>
      <w:lvlText w:val="（%1）"/>
      <w:lvlJc w:val="left"/>
    </w:lvl>
  </w:abstractNum>
  <w:abstractNum w:abstractNumId="44">
    <w:nsid w:val="524CD421"/>
    <w:multiLevelType w:val="multilevel"/>
    <w:tmpl w:val="524CD421"/>
    <w:lvl w:ilvl="0" w:tentative="0">
      <w:start w:val="1"/>
      <w:numFmt w:val="decimal"/>
      <w:suff w:val="nothing"/>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55163925"/>
    <w:multiLevelType w:val="singleLevel"/>
    <w:tmpl w:val="55163925"/>
    <w:lvl w:ilvl="0" w:tentative="0">
      <w:start w:val="1"/>
      <w:numFmt w:val="decimal"/>
      <w:suff w:val="nothing"/>
      <w:lvlText w:val="%1."/>
      <w:lvlJc w:val="left"/>
    </w:lvl>
  </w:abstractNum>
  <w:abstractNum w:abstractNumId="46">
    <w:nsid w:val="5DB2B960"/>
    <w:multiLevelType w:val="singleLevel"/>
    <w:tmpl w:val="5DB2B960"/>
    <w:lvl w:ilvl="0" w:tentative="0">
      <w:start w:val="1"/>
      <w:numFmt w:val="decimal"/>
      <w:suff w:val="nothing"/>
      <w:lvlText w:val="%1."/>
      <w:lvlJc w:val="left"/>
    </w:lvl>
  </w:abstractNum>
  <w:abstractNum w:abstractNumId="47">
    <w:nsid w:val="619598E9"/>
    <w:multiLevelType w:val="singleLevel"/>
    <w:tmpl w:val="619598E9"/>
    <w:lvl w:ilvl="0" w:tentative="0">
      <w:start w:val="1"/>
      <w:numFmt w:val="decimal"/>
      <w:suff w:val="nothing"/>
      <w:lvlText w:val="%1."/>
      <w:lvlJc w:val="left"/>
    </w:lvl>
  </w:abstractNum>
  <w:abstractNum w:abstractNumId="48">
    <w:nsid w:val="740DC2E0"/>
    <w:multiLevelType w:val="singleLevel"/>
    <w:tmpl w:val="740DC2E0"/>
    <w:lvl w:ilvl="0" w:tentative="0">
      <w:start w:val="1"/>
      <w:numFmt w:val="decimal"/>
      <w:suff w:val="nothing"/>
      <w:lvlText w:val="%1."/>
      <w:lvlJc w:val="left"/>
    </w:lvl>
  </w:abstractNum>
  <w:num w:numId="1">
    <w:abstractNumId w:val="44"/>
  </w:num>
  <w:num w:numId="2">
    <w:abstractNumId w:val="2"/>
  </w:num>
  <w:num w:numId="3">
    <w:abstractNumId w:val="12"/>
  </w:num>
  <w:num w:numId="4">
    <w:abstractNumId w:val="14"/>
  </w:num>
  <w:num w:numId="5">
    <w:abstractNumId w:val="9"/>
  </w:num>
  <w:num w:numId="6">
    <w:abstractNumId w:val="39"/>
  </w:num>
  <w:num w:numId="7">
    <w:abstractNumId w:val="30"/>
  </w:num>
  <w:num w:numId="8">
    <w:abstractNumId w:val="4"/>
  </w:num>
  <w:num w:numId="9">
    <w:abstractNumId w:val="28"/>
  </w:num>
  <w:num w:numId="10">
    <w:abstractNumId w:val="23"/>
  </w:num>
  <w:num w:numId="11">
    <w:abstractNumId w:val="6"/>
  </w:num>
  <w:num w:numId="12">
    <w:abstractNumId w:val="18"/>
  </w:num>
  <w:num w:numId="13">
    <w:abstractNumId w:val="33"/>
  </w:num>
  <w:num w:numId="14">
    <w:abstractNumId w:val="16"/>
  </w:num>
  <w:num w:numId="15">
    <w:abstractNumId w:val="19"/>
  </w:num>
  <w:num w:numId="16">
    <w:abstractNumId w:val="38"/>
  </w:num>
  <w:num w:numId="17">
    <w:abstractNumId w:val="13"/>
  </w:num>
  <w:num w:numId="18">
    <w:abstractNumId w:val="1"/>
  </w:num>
  <w:num w:numId="19">
    <w:abstractNumId w:val="31"/>
  </w:num>
  <w:num w:numId="20">
    <w:abstractNumId w:val="35"/>
  </w:num>
  <w:num w:numId="21">
    <w:abstractNumId w:val="17"/>
  </w:num>
  <w:num w:numId="22">
    <w:abstractNumId w:val="48"/>
  </w:num>
  <w:num w:numId="23">
    <w:abstractNumId w:val="47"/>
  </w:num>
  <w:num w:numId="24">
    <w:abstractNumId w:val="0"/>
  </w:num>
  <w:num w:numId="25">
    <w:abstractNumId w:val="5"/>
  </w:num>
  <w:num w:numId="26">
    <w:abstractNumId w:val="22"/>
  </w:num>
  <w:num w:numId="27">
    <w:abstractNumId w:val="15"/>
  </w:num>
  <w:num w:numId="28">
    <w:abstractNumId w:val="37"/>
  </w:num>
  <w:num w:numId="29">
    <w:abstractNumId w:val="41"/>
  </w:num>
  <w:num w:numId="30">
    <w:abstractNumId w:val="40"/>
  </w:num>
  <w:num w:numId="31">
    <w:abstractNumId w:val="46"/>
  </w:num>
  <w:num w:numId="32">
    <w:abstractNumId w:val="29"/>
  </w:num>
  <w:num w:numId="33">
    <w:abstractNumId w:val="45"/>
  </w:num>
  <w:num w:numId="34">
    <w:abstractNumId w:val="20"/>
  </w:num>
  <w:num w:numId="35">
    <w:abstractNumId w:val="21"/>
  </w:num>
  <w:num w:numId="36">
    <w:abstractNumId w:val="8"/>
  </w:num>
  <w:num w:numId="37">
    <w:abstractNumId w:val="27"/>
  </w:num>
  <w:num w:numId="38">
    <w:abstractNumId w:val="36"/>
  </w:num>
  <w:num w:numId="39">
    <w:abstractNumId w:val="25"/>
  </w:num>
  <w:num w:numId="40">
    <w:abstractNumId w:val="24"/>
  </w:num>
  <w:num w:numId="41">
    <w:abstractNumId w:val="26"/>
  </w:num>
  <w:num w:numId="42">
    <w:abstractNumId w:val="42"/>
  </w:num>
  <w:num w:numId="43">
    <w:abstractNumId w:val="32"/>
  </w:num>
  <w:num w:numId="44">
    <w:abstractNumId w:val="10"/>
  </w:num>
  <w:num w:numId="45">
    <w:abstractNumId w:val="3"/>
  </w:num>
  <w:num w:numId="46">
    <w:abstractNumId w:val="11"/>
  </w:num>
  <w:num w:numId="47">
    <w:abstractNumId w:val="43"/>
  </w:num>
  <w:num w:numId="48">
    <w:abstractNumId w:val="3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TQ0ZjJkOGNiZDRkOTI3MjJmOGY1NDU4MmViYTdhNzgifQ=="/>
  </w:docVars>
  <w:rsids>
    <w:rsidRoot w:val="00000000"/>
    <w:rsid w:val="00005402"/>
    <w:rsid w:val="00013654"/>
    <w:rsid w:val="0002117A"/>
    <w:rsid w:val="00024352"/>
    <w:rsid w:val="00060C6A"/>
    <w:rsid w:val="000749E3"/>
    <w:rsid w:val="000A002F"/>
    <w:rsid w:val="000A0BB4"/>
    <w:rsid w:val="000A4616"/>
    <w:rsid w:val="000B423D"/>
    <w:rsid w:val="000E2FF8"/>
    <w:rsid w:val="000F5245"/>
    <w:rsid w:val="001126DD"/>
    <w:rsid w:val="00135135"/>
    <w:rsid w:val="001725C6"/>
    <w:rsid w:val="00172E78"/>
    <w:rsid w:val="00176375"/>
    <w:rsid w:val="00182FB7"/>
    <w:rsid w:val="001D4206"/>
    <w:rsid w:val="001D7745"/>
    <w:rsid w:val="001E387A"/>
    <w:rsid w:val="001F3ADA"/>
    <w:rsid w:val="00212CDA"/>
    <w:rsid w:val="00213CF6"/>
    <w:rsid w:val="00215E0B"/>
    <w:rsid w:val="0022181C"/>
    <w:rsid w:val="00237A6E"/>
    <w:rsid w:val="002630BB"/>
    <w:rsid w:val="002649D8"/>
    <w:rsid w:val="00270BE1"/>
    <w:rsid w:val="002723C6"/>
    <w:rsid w:val="00274BDD"/>
    <w:rsid w:val="00285085"/>
    <w:rsid w:val="00294959"/>
    <w:rsid w:val="002E01C1"/>
    <w:rsid w:val="002E24F5"/>
    <w:rsid w:val="00311A5F"/>
    <w:rsid w:val="003126D7"/>
    <w:rsid w:val="0031380D"/>
    <w:rsid w:val="00327CB1"/>
    <w:rsid w:val="00333A2A"/>
    <w:rsid w:val="00356CAE"/>
    <w:rsid w:val="00381040"/>
    <w:rsid w:val="00384B9C"/>
    <w:rsid w:val="003956AF"/>
    <w:rsid w:val="003A0914"/>
    <w:rsid w:val="003B643A"/>
    <w:rsid w:val="003C28DE"/>
    <w:rsid w:val="003C6A33"/>
    <w:rsid w:val="003D0404"/>
    <w:rsid w:val="00405784"/>
    <w:rsid w:val="00416146"/>
    <w:rsid w:val="00417944"/>
    <w:rsid w:val="00425A1B"/>
    <w:rsid w:val="004408FF"/>
    <w:rsid w:val="00441793"/>
    <w:rsid w:val="00453B37"/>
    <w:rsid w:val="004672B9"/>
    <w:rsid w:val="00490B8F"/>
    <w:rsid w:val="004B25A9"/>
    <w:rsid w:val="004E43BF"/>
    <w:rsid w:val="004E48A5"/>
    <w:rsid w:val="004E616D"/>
    <w:rsid w:val="00504F4C"/>
    <w:rsid w:val="00533C4C"/>
    <w:rsid w:val="00583A0B"/>
    <w:rsid w:val="00593490"/>
    <w:rsid w:val="005A2848"/>
    <w:rsid w:val="005C6ADC"/>
    <w:rsid w:val="00615EA1"/>
    <w:rsid w:val="0067722F"/>
    <w:rsid w:val="00690EC8"/>
    <w:rsid w:val="006B2C4E"/>
    <w:rsid w:val="006C3EBE"/>
    <w:rsid w:val="006E0AFD"/>
    <w:rsid w:val="006E4A62"/>
    <w:rsid w:val="00702870"/>
    <w:rsid w:val="00710405"/>
    <w:rsid w:val="00724552"/>
    <w:rsid w:val="0075194C"/>
    <w:rsid w:val="007535E1"/>
    <w:rsid w:val="00760CE2"/>
    <w:rsid w:val="007A3406"/>
    <w:rsid w:val="007B28B4"/>
    <w:rsid w:val="007C2CDB"/>
    <w:rsid w:val="007C3ECB"/>
    <w:rsid w:val="007C717F"/>
    <w:rsid w:val="007F3472"/>
    <w:rsid w:val="00814795"/>
    <w:rsid w:val="00847DE1"/>
    <w:rsid w:val="00856F88"/>
    <w:rsid w:val="008878D1"/>
    <w:rsid w:val="0089189B"/>
    <w:rsid w:val="00893649"/>
    <w:rsid w:val="00893706"/>
    <w:rsid w:val="008D313A"/>
    <w:rsid w:val="009049D8"/>
    <w:rsid w:val="00936276"/>
    <w:rsid w:val="009372E5"/>
    <w:rsid w:val="009444C8"/>
    <w:rsid w:val="00951FEE"/>
    <w:rsid w:val="00973FB8"/>
    <w:rsid w:val="0098388D"/>
    <w:rsid w:val="009E5347"/>
    <w:rsid w:val="009E6F42"/>
    <w:rsid w:val="009F7228"/>
    <w:rsid w:val="00A10993"/>
    <w:rsid w:val="00A3295D"/>
    <w:rsid w:val="00A3470B"/>
    <w:rsid w:val="00A42231"/>
    <w:rsid w:val="00A43989"/>
    <w:rsid w:val="00A508D1"/>
    <w:rsid w:val="00A566D5"/>
    <w:rsid w:val="00A81D22"/>
    <w:rsid w:val="00A83AD0"/>
    <w:rsid w:val="00AD558A"/>
    <w:rsid w:val="00AD7338"/>
    <w:rsid w:val="00AE30B0"/>
    <w:rsid w:val="00AE4E5E"/>
    <w:rsid w:val="00AE616B"/>
    <w:rsid w:val="00B13186"/>
    <w:rsid w:val="00B1643D"/>
    <w:rsid w:val="00B26C01"/>
    <w:rsid w:val="00B3556F"/>
    <w:rsid w:val="00B4075E"/>
    <w:rsid w:val="00B561ED"/>
    <w:rsid w:val="00B71F65"/>
    <w:rsid w:val="00B76582"/>
    <w:rsid w:val="00B83C64"/>
    <w:rsid w:val="00B92181"/>
    <w:rsid w:val="00B93F2F"/>
    <w:rsid w:val="00B95CDD"/>
    <w:rsid w:val="00BC5C5C"/>
    <w:rsid w:val="00BE4406"/>
    <w:rsid w:val="00BE7797"/>
    <w:rsid w:val="00BF706B"/>
    <w:rsid w:val="00C30909"/>
    <w:rsid w:val="00C36B5B"/>
    <w:rsid w:val="00C41EE7"/>
    <w:rsid w:val="00C50B26"/>
    <w:rsid w:val="00C9580D"/>
    <w:rsid w:val="00CA115C"/>
    <w:rsid w:val="00CB3C62"/>
    <w:rsid w:val="00CD3536"/>
    <w:rsid w:val="00D42B17"/>
    <w:rsid w:val="00D72607"/>
    <w:rsid w:val="00D91EDB"/>
    <w:rsid w:val="00DB7FDF"/>
    <w:rsid w:val="00DC19CB"/>
    <w:rsid w:val="00DF3269"/>
    <w:rsid w:val="00E13486"/>
    <w:rsid w:val="00E15234"/>
    <w:rsid w:val="00E371FE"/>
    <w:rsid w:val="00E40880"/>
    <w:rsid w:val="00E60A9C"/>
    <w:rsid w:val="00E6284A"/>
    <w:rsid w:val="00EA1469"/>
    <w:rsid w:val="00EA233A"/>
    <w:rsid w:val="00EB103F"/>
    <w:rsid w:val="00ED5986"/>
    <w:rsid w:val="00EF7950"/>
    <w:rsid w:val="00F036C9"/>
    <w:rsid w:val="00F211EF"/>
    <w:rsid w:val="00F44F67"/>
    <w:rsid w:val="00F50CDF"/>
    <w:rsid w:val="00F54E9C"/>
    <w:rsid w:val="00F76805"/>
    <w:rsid w:val="00F83845"/>
    <w:rsid w:val="00F907CF"/>
    <w:rsid w:val="00F9432B"/>
    <w:rsid w:val="00F979A6"/>
    <w:rsid w:val="00FC3E1B"/>
    <w:rsid w:val="00FD3794"/>
    <w:rsid w:val="00FE1942"/>
    <w:rsid w:val="00FF56BA"/>
    <w:rsid w:val="010312EC"/>
    <w:rsid w:val="010333FC"/>
    <w:rsid w:val="01050F22"/>
    <w:rsid w:val="010567A3"/>
    <w:rsid w:val="01062EEC"/>
    <w:rsid w:val="01091DD9"/>
    <w:rsid w:val="0109689F"/>
    <w:rsid w:val="010A29DC"/>
    <w:rsid w:val="010B22B0"/>
    <w:rsid w:val="010B4357"/>
    <w:rsid w:val="010B5F67"/>
    <w:rsid w:val="010B76F2"/>
    <w:rsid w:val="010C1C3B"/>
    <w:rsid w:val="010D6379"/>
    <w:rsid w:val="010D7DD7"/>
    <w:rsid w:val="010F1980"/>
    <w:rsid w:val="010F1DA1"/>
    <w:rsid w:val="010F7FF3"/>
    <w:rsid w:val="011078C7"/>
    <w:rsid w:val="01110171"/>
    <w:rsid w:val="01113D6B"/>
    <w:rsid w:val="01115B19"/>
    <w:rsid w:val="01121891"/>
    <w:rsid w:val="01132522"/>
    <w:rsid w:val="01170C55"/>
    <w:rsid w:val="0117567B"/>
    <w:rsid w:val="01176EA7"/>
    <w:rsid w:val="0118231B"/>
    <w:rsid w:val="011954E1"/>
    <w:rsid w:val="011D2710"/>
    <w:rsid w:val="011E3D92"/>
    <w:rsid w:val="01205D5C"/>
    <w:rsid w:val="0120773B"/>
    <w:rsid w:val="01233A9E"/>
    <w:rsid w:val="01237CBA"/>
    <w:rsid w:val="0127533C"/>
    <w:rsid w:val="012810B4"/>
    <w:rsid w:val="012A0989"/>
    <w:rsid w:val="012A4E2C"/>
    <w:rsid w:val="012C2953"/>
    <w:rsid w:val="012C6F5C"/>
    <w:rsid w:val="012F41F1"/>
    <w:rsid w:val="0132783D"/>
    <w:rsid w:val="013435B5"/>
    <w:rsid w:val="01362446"/>
    <w:rsid w:val="01384D5C"/>
    <w:rsid w:val="0139378E"/>
    <w:rsid w:val="013C51D2"/>
    <w:rsid w:val="013C5927"/>
    <w:rsid w:val="013D4B60"/>
    <w:rsid w:val="01401F5A"/>
    <w:rsid w:val="01413E5F"/>
    <w:rsid w:val="01415CD2"/>
    <w:rsid w:val="01415F08"/>
    <w:rsid w:val="014179E5"/>
    <w:rsid w:val="0143304E"/>
    <w:rsid w:val="01435416"/>
    <w:rsid w:val="01447C0F"/>
    <w:rsid w:val="01453A14"/>
    <w:rsid w:val="01494C0D"/>
    <w:rsid w:val="014B07F6"/>
    <w:rsid w:val="014B46BF"/>
    <w:rsid w:val="014C6B51"/>
    <w:rsid w:val="014D0B1B"/>
    <w:rsid w:val="014F6641"/>
    <w:rsid w:val="015123B9"/>
    <w:rsid w:val="01543C57"/>
    <w:rsid w:val="01545A05"/>
    <w:rsid w:val="01554A29"/>
    <w:rsid w:val="0156177E"/>
    <w:rsid w:val="01561A81"/>
    <w:rsid w:val="01565C22"/>
    <w:rsid w:val="015679D0"/>
    <w:rsid w:val="0159126E"/>
    <w:rsid w:val="015C48BA"/>
    <w:rsid w:val="015D0D5E"/>
    <w:rsid w:val="015E6884"/>
    <w:rsid w:val="015F265A"/>
    <w:rsid w:val="016025FC"/>
    <w:rsid w:val="01613449"/>
    <w:rsid w:val="01675B7A"/>
    <w:rsid w:val="016A4E8A"/>
    <w:rsid w:val="016E0884"/>
    <w:rsid w:val="016E2F6B"/>
    <w:rsid w:val="016F0A91"/>
    <w:rsid w:val="016F430C"/>
    <w:rsid w:val="01706EDD"/>
    <w:rsid w:val="017165B7"/>
    <w:rsid w:val="01722330"/>
    <w:rsid w:val="01747E56"/>
    <w:rsid w:val="01792276"/>
    <w:rsid w:val="017B11E4"/>
    <w:rsid w:val="017B3FF0"/>
    <w:rsid w:val="017C2373"/>
    <w:rsid w:val="017D31AE"/>
    <w:rsid w:val="018207C5"/>
    <w:rsid w:val="01822573"/>
    <w:rsid w:val="01826A17"/>
    <w:rsid w:val="018378EB"/>
    <w:rsid w:val="018502B5"/>
    <w:rsid w:val="01852063"/>
    <w:rsid w:val="01852ACC"/>
    <w:rsid w:val="01853E11"/>
    <w:rsid w:val="018865F4"/>
    <w:rsid w:val="01897A84"/>
    <w:rsid w:val="018A7679"/>
    <w:rsid w:val="018C1643"/>
    <w:rsid w:val="018C33F1"/>
    <w:rsid w:val="018C519F"/>
    <w:rsid w:val="018E48EA"/>
    <w:rsid w:val="018F4C90"/>
    <w:rsid w:val="0190118E"/>
    <w:rsid w:val="01916216"/>
    <w:rsid w:val="019404F8"/>
    <w:rsid w:val="019855B9"/>
    <w:rsid w:val="01987F1A"/>
    <w:rsid w:val="01995B0E"/>
    <w:rsid w:val="019B36B5"/>
    <w:rsid w:val="019E3125"/>
    <w:rsid w:val="019E4ED3"/>
    <w:rsid w:val="019E50F7"/>
    <w:rsid w:val="01A02957"/>
    <w:rsid w:val="01A3073B"/>
    <w:rsid w:val="01A324E9"/>
    <w:rsid w:val="01A717A7"/>
    <w:rsid w:val="01A71FD9"/>
    <w:rsid w:val="01A72B23"/>
    <w:rsid w:val="01A87AFF"/>
    <w:rsid w:val="01AA7D1B"/>
    <w:rsid w:val="01AF70E0"/>
    <w:rsid w:val="01B15BC3"/>
    <w:rsid w:val="01B70CC2"/>
    <w:rsid w:val="01B841E6"/>
    <w:rsid w:val="01B974D3"/>
    <w:rsid w:val="01BA5A5B"/>
    <w:rsid w:val="01BA61B0"/>
    <w:rsid w:val="01BB3CD7"/>
    <w:rsid w:val="01BD35AB"/>
    <w:rsid w:val="01BE7323"/>
    <w:rsid w:val="01C04E49"/>
    <w:rsid w:val="01C0753F"/>
    <w:rsid w:val="01C1005C"/>
    <w:rsid w:val="01C25065"/>
    <w:rsid w:val="01C32F76"/>
    <w:rsid w:val="01C40F50"/>
    <w:rsid w:val="01C55A56"/>
    <w:rsid w:val="01C74429"/>
    <w:rsid w:val="01CA13BF"/>
    <w:rsid w:val="01CA3F1A"/>
    <w:rsid w:val="01CB02F3"/>
    <w:rsid w:val="01CB7837"/>
    <w:rsid w:val="01CD7566"/>
    <w:rsid w:val="01CF32DE"/>
    <w:rsid w:val="01CF7782"/>
    <w:rsid w:val="01D30DC0"/>
    <w:rsid w:val="01D6466C"/>
    <w:rsid w:val="01D6529C"/>
    <w:rsid w:val="01D66F36"/>
    <w:rsid w:val="01DA23AF"/>
    <w:rsid w:val="01DB5521"/>
    <w:rsid w:val="01DB5E86"/>
    <w:rsid w:val="01DB7ED5"/>
    <w:rsid w:val="01DF5C17"/>
    <w:rsid w:val="01E51B2E"/>
    <w:rsid w:val="01E51E07"/>
    <w:rsid w:val="01E90844"/>
    <w:rsid w:val="01EA0118"/>
    <w:rsid w:val="01EE7C08"/>
    <w:rsid w:val="01EF3980"/>
    <w:rsid w:val="01F1594A"/>
    <w:rsid w:val="01F40F97"/>
    <w:rsid w:val="01F42D45"/>
    <w:rsid w:val="01F70692"/>
    <w:rsid w:val="01F83E49"/>
    <w:rsid w:val="01F928B5"/>
    <w:rsid w:val="01FC0EE5"/>
    <w:rsid w:val="01FC44EA"/>
    <w:rsid w:val="0200793B"/>
    <w:rsid w:val="0204110C"/>
    <w:rsid w:val="0204567E"/>
    <w:rsid w:val="020967F0"/>
    <w:rsid w:val="020C008E"/>
    <w:rsid w:val="020C4406"/>
    <w:rsid w:val="020C615A"/>
    <w:rsid w:val="020C789B"/>
    <w:rsid w:val="0210580B"/>
    <w:rsid w:val="02110B3C"/>
    <w:rsid w:val="02123F76"/>
    <w:rsid w:val="0212502F"/>
    <w:rsid w:val="02145195"/>
    <w:rsid w:val="021639A4"/>
    <w:rsid w:val="0216715F"/>
    <w:rsid w:val="02172BE7"/>
    <w:rsid w:val="021822F8"/>
    <w:rsid w:val="021D229B"/>
    <w:rsid w:val="021E4C77"/>
    <w:rsid w:val="02217FDE"/>
    <w:rsid w:val="0224187C"/>
    <w:rsid w:val="0227136C"/>
    <w:rsid w:val="022C260F"/>
    <w:rsid w:val="022C3E83"/>
    <w:rsid w:val="022D1D83"/>
    <w:rsid w:val="022D376A"/>
    <w:rsid w:val="022E44A8"/>
    <w:rsid w:val="02300221"/>
    <w:rsid w:val="023318AB"/>
    <w:rsid w:val="02331ABF"/>
    <w:rsid w:val="02351881"/>
    <w:rsid w:val="02374414"/>
    <w:rsid w:val="023870D5"/>
    <w:rsid w:val="023B2791"/>
    <w:rsid w:val="023B4560"/>
    <w:rsid w:val="023D66C9"/>
    <w:rsid w:val="023F4A0A"/>
    <w:rsid w:val="024261A6"/>
    <w:rsid w:val="02444B97"/>
    <w:rsid w:val="024617F2"/>
    <w:rsid w:val="024912E2"/>
    <w:rsid w:val="024A0BB7"/>
    <w:rsid w:val="024E4B4B"/>
    <w:rsid w:val="024E7F60"/>
    <w:rsid w:val="024F0ED1"/>
    <w:rsid w:val="02511F45"/>
    <w:rsid w:val="0252560E"/>
    <w:rsid w:val="02551A35"/>
    <w:rsid w:val="02555ED9"/>
    <w:rsid w:val="025609B1"/>
    <w:rsid w:val="025A34EF"/>
    <w:rsid w:val="025A529E"/>
    <w:rsid w:val="025B4DE8"/>
    <w:rsid w:val="025B62BC"/>
    <w:rsid w:val="025C1772"/>
    <w:rsid w:val="025C7268"/>
    <w:rsid w:val="02624152"/>
    <w:rsid w:val="026659F0"/>
    <w:rsid w:val="02693733"/>
    <w:rsid w:val="026B3007"/>
    <w:rsid w:val="026E0D49"/>
    <w:rsid w:val="02714395"/>
    <w:rsid w:val="02720839"/>
    <w:rsid w:val="02757304"/>
    <w:rsid w:val="02775E4F"/>
    <w:rsid w:val="027A149C"/>
    <w:rsid w:val="027A5940"/>
    <w:rsid w:val="027F4D04"/>
    <w:rsid w:val="02805753"/>
    <w:rsid w:val="028102C3"/>
    <w:rsid w:val="028129C3"/>
    <w:rsid w:val="02820350"/>
    <w:rsid w:val="028247F4"/>
    <w:rsid w:val="02826293"/>
    <w:rsid w:val="0284056C"/>
    <w:rsid w:val="02850560"/>
    <w:rsid w:val="028642E4"/>
    <w:rsid w:val="02873BB9"/>
    <w:rsid w:val="02895B83"/>
    <w:rsid w:val="028B5457"/>
    <w:rsid w:val="028B75C9"/>
    <w:rsid w:val="028C6335"/>
    <w:rsid w:val="028C7F09"/>
    <w:rsid w:val="02910A6D"/>
    <w:rsid w:val="02953272"/>
    <w:rsid w:val="0298674F"/>
    <w:rsid w:val="029A7359"/>
    <w:rsid w:val="029A7D90"/>
    <w:rsid w:val="029C30FA"/>
    <w:rsid w:val="029C3A43"/>
    <w:rsid w:val="029C3B08"/>
    <w:rsid w:val="029D33DC"/>
    <w:rsid w:val="029F0F02"/>
    <w:rsid w:val="02A62291"/>
    <w:rsid w:val="02A824AD"/>
    <w:rsid w:val="02A93B2F"/>
    <w:rsid w:val="02AA5B00"/>
    <w:rsid w:val="02AD1871"/>
    <w:rsid w:val="02AD7AC3"/>
    <w:rsid w:val="02AF69EA"/>
    <w:rsid w:val="02B01361"/>
    <w:rsid w:val="02B034F7"/>
    <w:rsid w:val="02B05971"/>
    <w:rsid w:val="02B213E4"/>
    <w:rsid w:val="02B250DA"/>
    <w:rsid w:val="02B50726"/>
    <w:rsid w:val="02B608A3"/>
    <w:rsid w:val="02B71D9E"/>
    <w:rsid w:val="02B7624C"/>
    <w:rsid w:val="02BA5D3C"/>
    <w:rsid w:val="02BA78D1"/>
    <w:rsid w:val="02BC1AB4"/>
    <w:rsid w:val="02BC7B5E"/>
    <w:rsid w:val="02BE582C"/>
    <w:rsid w:val="02C1356F"/>
    <w:rsid w:val="02C202A3"/>
    <w:rsid w:val="02C34EEE"/>
    <w:rsid w:val="02C46BBB"/>
    <w:rsid w:val="02C80459"/>
    <w:rsid w:val="02C81F26"/>
    <w:rsid w:val="02CA35F2"/>
    <w:rsid w:val="02CB3A5E"/>
    <w:rsid w:val="02CB619B"/>
    <w:rsid w:val="02CE3596"/>
    <w:rsid w:val="02D0407E"/>
    <w:rsid w:val="02D05560"/>
    <w:rsid w:val="02D45050"/>
    <w:rsid w:val="02D45A47"/>
    <w:rsid w:val="02D54924"/>
    <w:rsid w:val="02D768EE"/>
    <w:rsid w:val="02D85BF6"/>
    <w:rsid w:val="02DA63DE"/>
    <w:rsid w:val="02DA6AC8"/>
    <w:rsid w:val="02DC2156"/>
    <w:rsid w:val="02DC5CB3"/>
    <w:rsid w:val="02E04227"/>
    <w:rsid w:val="02E32D09"/>
    <w:rsid w:val="02E35293"/>
    <w:rsid w:val="02E84657"/>
    <w:rsid w:val="02EB239A"/>
    <w:rsid w:val="02EB4148"/>
    <w:rsid w:val="02EE59E6"/>
    <w:rsid w:val="02F1741B"/>
    <w:rsid w:val="02F32FFC"/>
    <w:rsid w:val="02F474A0"/>
    <w:rsid w:val="02F53218"/>
    <w:rsid w:val="02FA438B"/>
    <w:rsid w:val="02FB316D"/>
    <w:rsid w:val="02FC05F3"/>
    <w:rsid w:val="02FC45A7"/>
    <w:rsid w:val="02FD6481"/>
    <w:rsid w:val="03044C13"/>
    <w:rsid w:val="030516AD"/>
    <w:rsid w:val="030529F6"/>
    <w:rsid w:val="03060F81"/>
    <w:rsid w:val="030642A9"/>
    <w:rsid w:val="030660AA"/>
    <w:rsid w:val="030671D3"/>
    <w:rsid w:val="03090A68"/>
    <w:rsid w:val="03092820"/>
    <w:rsid w:val="03093F10"/>
    <w:rsid w:val="030B2A3C"/>
    <w:rsid w:val="030B47EA"/>
    <w:rsid w:val="030D0562"/>
    <w:rsid w:val="030D40BE"/>
    <w:rsid w:val="030F42DA"/>
    <w:rsid w:val="03155ECB"/>
    <w:rsid w:val="0317318F"/>
    <w:rsid w:val="031C2553"/>
    <w:rsid w:val="031C2E9A"/>
    <w:rsid w:val="031E276F"/>
    <w:rsid w:val="031F2043"/>
    <w:rsid w:val="03217B69"/>
    <w:rsid w:val="0323509C"/>
    <w:rsid w:val="03237D85"/>
    <w:rsid w:val="03266FA7"/>
    <w:rsid w:val="03283EB6"/>
    <w:rsid w:val="032A2EC2"/>
    <w:rsid w:val="032B09E8"/>
    <w:rsid w:val="032B6C3A"/>
    <w:rsid w:val="032D648D"/>
    <w:rsid w:val="032F2A7D"/>
    <w:rsid w:val="03305FFE"/>
    <w:rsid w:val="0332621A"/>
    <w:rsid w:val="03327FC8"/>
    <w:rsid w:val="033330F0"/>
    <w:rsid w:val="0333397C"/>
    <w:rsid w:val="03340AC7"/>
    <w:rsid w:val="03343D40"/>
    <w:rsid w:val="03351867"/>
    <w:rsid w:val="03393105"/>
    <w:rsid w:val="03396C30"/>
    <w:rsid w:val="033A0998"/>
    <w:rsid w:val="033E4BBF"/>
    <w:rsid w:val="03404493"/>
    <w:rsid w:val="03411FE4"/>
    <w:rsid w:val="0341645D"/>
    <w:rsid w:val="034321D6"/>
    <w:rsid w:val="03451AAA"/>
    <w:rsid w:val="03455F4E"/>
    <w:rsid w:val="034877EC"/>
    <w:rsid w:val="034957EB"/>
    <w:rsid w:val="034A5312"/>
    <w:rsid w:val="034B0FFA"/>
    <w:rsid w:val="034B2FD9"/>
    <w:rsid w:val="034C3D5A"/>
    <w:rsid w:val="034F46D6"/>
    <w:rsid w:val="034F5D29"/>
    <w:rsid w:val="03511AD9"/>
    <w:rsid w:val="035166A0"/>
    <w:rsid w:val="03546191"/>
    <w:rsid w:val="03555A65"/>
    <w:rsid w:val="03563B41"/>
    <w:rsid w:val="035717DD"/>
    <w:rsid w:val="035937A7"/>
    <w:rsid w:val="035C6062"/>
    <w:rsid w:val="035D445C"/>
    <w:rsid w:val="03600692"/>
    <w:rsid w:val="03604B36"/>
    <w:rsid w:val="0360556D"/>
    <w:rsid w:val="03606F10"/>
    <w:rsid w:val="0361440A"/>
    <w:rsid w:val="03675EC4"/>
    <w:rsid w:val="036A11F0"/>
    <w:rsid w:val="036A59B4"/>
    <w:rsid w:val="036A7762"/>
    <w:rsid w:val="036B1176"/>
    <w:rsid w:val="036B7036"/>
    <w:rsid w:val="036D47D9"/>
    <w:rsid w:val="03703875"/>
    <w:rsid w:val="0370464D"/>
    <w:rsid w:val="037047FD"/>
    <w:rsid w:val="03710AF1"/>
    <w:rsid w:val="03764359"/>
    <w:rsid w:val="03767EB5"/>
    <w:rsid w:val="03791753"/>
    <w:rsid w:val="037A38B6"/>
    <w:rsid w:val="037A49DC"/>
    <w:rsid w:val="037B54CB"/>
    <w:rsid w:val="037E320E"/>
    <w:rsid w:val="037E4FBC"/>
    <w:rsid w:val="037E6D6A"/>
    <w:rsid w:val="03830824"/>
    <w:rsid w:val="0385634A"/>
    <w:rsid w:val="038720C2"/>
    <w:rsid w:val="038B058F"/>
    <w:rsid w:val="038F4AD6"/>
    <w:rsid w:val="038F71C9"/>
    <w:rsid w:val="03920A67"/>
    <w:rsid w:val="03922815"/>
    <w:rsid w:val="0394083A"/>
    <w:rsid w:val="03962305"/>
    <w:rsid w:val="0397213B"/>
    <w:rsid w:val="03991DF6"/>
    <w:rsid w:val="03993BA4"/>
    <w:rsid w:val="039E4589"/>
    <w:rsid w:val="03A02A00"/>
    <w:rsid w:val="03A25D32"/>
    <w:rsid w:val="03A26EFC"/>
    <w:rsid w:val="03A27EF1"/>
    <w:rsid w:val="03A52548"/>
    <w:rsid w:val="03A964DC"/>
    <w:rsid w:val="03AA5DB1"/>
    <w:rsid w:val="03AA7B5F"/>
    <w:rsid w:val="03AB2193"/>
    <w:rsid w:val="03AC12AA"/>
    <w:rsid w:val="03AC14BD"/>
    <w:rsid w:val="03AD764F"/>
    <w:rsid w:val="03AF05A0"/>
    <w:rsid w:val="03AF4968"/>
    <w:rsid w:val="03B22EB7"/>
    <w:rsid w:val="03B5159C"/>
    <w:rsid w:val="03B60759"/>
    <w:rsid w:val="03B95FF4"/>
    <w:rsid w:val="03BD3D36"/>
    <w:rsid w:val="03BD5AE4"/>
    <w:rsid w:val="03BE7AAE"/>
    <w:rsid w:val="03BF0C04"/>
    <w:rsid w:val="03BF2DA7"/>
    <w:rsid w:val="03C24F27"/>
    <w:rsid w:val="03C52BEB"/>
    <w:rsid w:val="03C70711"/>
    <w:rsid w:val="03C835BC"/>
    <w:rsid w:val="03CA507A"/>
    <w:rsid w:val="03CA566F"/>
    <w:rsid w:val="03CB0082"/>
    <w:rsid w:val="03CE720D"/>
    <w:rsid w:val="03D1158F"/>
    <w:rsid w:val="03D41080"/>
    <w:rsid w:val="03D63EB7"/>
    <w:rsid w:val="03D746CC"/>
    <w:rsid w:val="03DB41BC"/>
    <w:rsid w:val="03DD7F34"/>
    <w:rsid w:val="03DF1EFE"/>
    <w:rsid w:val="03E07A24"/>
    <w:rsid w:val="03E112D1"/>
    <w:rsid w:val="03E13EF3"/>
    <w:rsid w:val="03E219EE"/>
    <w:rsid w:val="03E524AE"/>
    <w:rsid w:val="03E70DB3"/>
    <w:rsid w:val="03EA2651"/>
    <w:rsid w:val="03EB72D6"/>
    <w:rsid w:val="03EC767D"/>
    <w:rsid w:val="03ED1C5C"/>
    <w:rsid w:val="03ED40B5"/>
    <w:rsid w:val="03EE6A84"/>
    <w:rsid w:val="03F02C08"/>
    <w:rsid w:val="03F15216"/>
    <w:rsid w:val="03F34C8E"/>
    <w:rsid w:val="03F359AA"/>
    <w:rsid w:val="03F60FF6"/>
    <w:rsid w:val="03F67E59"/>
    <w:rsid w:val="03F90AE6"/>
    <w:rsid w:val="03FA10BB"/>
    <w:rsid w:val="03FA6D38"/>
    <w:rsid w:val="03FC5419"/>
    <w:rsid w:val="03FD2384"/>
    <w:rsid w:val="03FE4A84"/>
    <w:rsid w:val="03FF434E"/>
    <w:rsid w:val="0402799B"/>
    <w:rsid w:val="04082AD7"/>
    <w:rsid w:val="0408709E"/>
    <w:rsid w:val="040B7C23"/>
    <w:rsid w:val="040C3B79"/>
    <w:rsid w:val="040C6A6B"/>
    <w:rsid w:val="040D6149"/>
    <w:rsid w:val="0410030A"/>
    <w:rsid w:val="04125FCD"/>
    <w:rsid w:val="04163446"/>
    <w:rsid w:val="041651F4"/>
    <w:rsid w:val="04180ACB"/>
    <w:rsid w:val="04180F6C"/>
    <w:rsid w:val="041A1188"/>
    <w:rsid w:val="041B0A5C"/>
    <w:rsid w:val="041B3B31"/>
    <w:rsid w:val="041E3F7D"/>
    <w:rsid w:val="042042C5"/>
    <w:rsid w:val="04212517"/>
    <w:rsid w:val="042167B5"/>
    <w:rsid w:val="04235139"/>
    <w:rsid w:val="04245B63"/>
    <w:rsid w:val="04253F9F"/>
    <w:rsid w:val="042711AF"/>
    <w:rsid w:val="042A0CA0"/>
    <w:rsid w:val="042A0FA8"/>
    <w:rsid w:val="042B5143"/>
    <w:rsid w:val="042E0DB9"/>
    <w:rsid w:val="042F4508"/>
    <w:rsid w:val="0431202E"/>
    <w:rsid w:val="04365896"/>
    <w:rsid w:val="043B4C5B"/>
    <w:rsid w:val="043B5A14"/>
    <w:rsid w:val="043D09D3"/>
    <w:rsid w:val="043D4E77"/>
    <w:rsid w:val="04402271"/>
    <w:rsid w:val="0443636B"/>
    <w:rsid w:val="044973C7"/>
    <w:rsid w:val="044B7594"/>
    <w:rsid w:val="044E498E"/>
    <w:rsid w:val="045301F6"/>
    <w:rsid w:val="04531FA4"/>
    <w:rsid w:val="0455562B"/>
    <w:rsid w:val="045716B0"/>
    <w:rsid w:val="0458580D"/>
    <w:rsid w:val="045A3333"/>
    <w:rsid w:val="045B70AB"/>
    <w:rsid w:val="045C354F"/>
    <w:rsid w:val="045F6B9B"/>
    <w:rsid w:val="04604573"/>
    <w:rsid w:val="04613C48"/>
    <w:rsid w:val="04620439"/>
    <w:rsid w:val="04642403"/>
    <w:rsid w:val="04651CD8"/>
    <w:rsid w:val="04694F7F"/>
    <w:rsid w:val="046C3066"/>
    <w:rsid w:val="046E5030"/>
    <w:rsid w:val="047313BB"/>
    <w:rsid w:val="04741F9E"/>
    <w:rsid w:val="04784101"/>
    <w:rsid w:val="047A1C27"/>
    <w:rsid w:val="047A5783"/>
    <w:rsid w:val="047B0F58"/>
    <w:rsid w:val="04846602"/>
    <w:rsid w:val="04865C14"/>
    <w:rsid w:val="04874344"/>
    <w:rsid w:val="04891E6A"/>
    <w:rsid w:val="048A15AE"/>
    <w:rsid w:val="048B5837"/>
    <w:rsid w:val="048E122E"/>
    <w:rsid w:val="048E7480"/>
    <w:rsid w:val="04950D4F"/>
    <w:rsid w:val="0495202A"/>
    <w:rsid w:val="049843D1"/>
    <w:rsid w:val="049974D6"/>
    <w:rsid w:val="049A5E25"/>
    <w:rsid w:val="049D10CF"/>
    <w:rsid w:val="049D3B67"/>
    <w:rsid w:val="049F2A9F"/>
    <w:rsid w:val="049F4DBC"/>
    <w:rsid w:val="04A10F62"/>
    <w:rsid w:val="04A258FF"/>
    <w:rsid w:val="04A41D9A"/>
    <w:rsid w:val="04A42800"/>
    <w:rsid w:val="04A47A17"/>
    <w:rsid w:val="04A47A5C"/>
    <w:rsid w:val="04A647CA"/>
    <w:rsid w:val="04A66578"/>
    <w:rsid w:val="04AB0766"/>
    <w:rsid w:val="04AB0951"/>
    <w:rsid w:val="04AE070E"/>
    <w:rsid w:val="04AE367F"/>
    <w:rsid w:val="04AE7B23"/>
    <w:rsid w:val="04AF2F6C"/>
    <w:rsid w:val="04B50EB1"/>
    <w:rsid w:val="04B52C5F"/>
    <w:rsid w:val="04B54A0D"/>
    <w:rsid w:val="04B64ED6"/>
    <w:rsid w:val="04B769D7"/>
    <w:rsid w:val="04B8274F"/>
    <w:rsid w:val="04BC3FEE"/>
    <w:rsid w:val="04BD1245"/>
    <w:rsid w:val="04BD38C2"/>
    <w:rsid w:val="04BE0603"/>
    <w:rsid w:val="04BF09C9"/>
    <w:rsid w:val="04C133B2"/>
    <w:rsid w:val="04C27BBD"/>
    <w:rsid w:val="04C335CE"/>
    <w:rsid w:val="04C4581E"/>
    <w:rsid w:val="04C47F6E"/>
    <w:rsid w:val="04C65105"/>
    <w:rsid w:val="04C72531"/>
    <w:rsid w:val="04C80BE4"/>
    <w:rsid w:val="04C956C5"/>
    <w:rsid w:val="04CB4231"/>
    <w:rsid w:val="04CB4348"/>
    <w:rsid w:val="04CC1D57"/>
    <w:rsid w:val="04CE3D21"/>
    <w:rsid w:val="04D035F5"/>
    <w:rsid w:val="04D208F9"/>
    <w:rsid w:val="04D255BF"/>
    <w:rsid w:val="04D56E5D"/>
    <w:rsid w:val="04D806FC"/>
    <w:rsid w:val="04DC643E"/>
    <w:rsid w:val="04DE21B6"/>
    <w:rsid w:val="04DF1A8A"/>
    <w:rsid w:val="04DF7CDC"/>
    <w:rsid w:val="04E14A0F"/>
    <w:rsid w:val="04E452F2"/>
    <w:rsid w:val="04E47157"/>
    <w:rsid w:val="04E6106A"/>
    <w:rsid w:val="04E67E0C"/>
    <w:rsid w:val="04E86B91"/>
    <w:rsid w:val="04EA6DAD"/>
    <w:rsid w:val="04EB0197"/>
    <w:rsid w:val="04EB690E"/>
    <w:rsid w:val="04ED23F9"/>
    <w:rsid w:val="04ED7A1B"/>
    <w:rsid w:val="04EF3956"/>
    <w:rsid w:val="04EF66A6"/>
    <w:rsid w:val="04F01EE9"/>
    <w:rsid w:val="04F33787"/>
    <w:rsid w:val="04F449E4"/>
    <w:rsid w:val="04F55E74"/>
    <w:rsid w:val="04F64013"/>
    <w:rsid w:val="04F66439"/>
    <w:rsid w:val="04F75026"/>
    <w:rsid w:val="04F853C7"/>
    <w:rsid w:val="04F95F66"/>
    <w:rsid w:val="04FC43EA"/>
    <w:rsid w:val="04FF037E"/>
    <w:rsid w:val="05015EA4"/>
    <w:rsid w:val="050463C4"/>
    <w:rsid w:val="05047743"/>
    <w:rsid w:val="050E236F"/>
    <w:rsid w:val="050E2686"/>
    <w:rsid w:val="050F05C1"/>
    <w:rsid w:val="05105DDD"/>
    <w:rsid w:val="051072C8"/>
    <w:rsid w:val="05107E95"/>
    <w:rsid w:val="051174AD"/>
    <w:rsid w:val="05121E5F"/>
    <w:rsid w:val="05145BD8"/>
    <w:rsid w:val="051536FE"/>
    <w:rsid w:val="051756C8"/>
    <w:rsid w:val="05177476"/>
    <w:rsid w:val="051E1688"/>
    <w:rsid w:val="051F4750"/>
    <w:rsid w:val="052027CE"/>
    <w:rsid w:val="052258A0"/>
    <w:rsid w:val="05235E1B"/>
    <w:rsid w:val="05257DE5"/>
    <w:rsid w:val="05281683"/>
    <w:rsid w:val="052971A9"/>
    <w:rsid w:val="052E509C"/>
    <w:rsid w:val="052E6377"/>
    <w:rsid w:val="052F5FCA"/>
    <w:rsid w:val="05304B47"/>
    <w:rsid w:val="05340028"/>
    <w:rsid w:val="0534627A"/>
    <w:rsid w:val="053462E4"/>
    <w:rsid w:val="05346BE0"/>
    <w:rsid w:val="05351CA6"/>
    <w:rsid w:val="05355B4E"/>
    <w:rsid w:val="05361078"/>
    <w:rsid w:val="053973EC"/>
    <w:rsid w:val="053B0AD6"/>
    <w:rsid w:val="053E0EA6"/>
    <w:rsid w:val="053E2C54"/>
    <w:rsid w:val="053E4A03"/>
    <w:rsid w:val="053F69CD"/>
    <w:rsid w:val="0542486B"/>
    <w:rsid w:val="054346C7"/>
    <w:rsid w:val="05452235"/>
    <w:rsid w:val="05463EB5"/>
    <w:rsid w:val="05465E5F"/>
    <w:rsid w:val="05493AAB"/>
    <w:rsid w:val="054A15F9"/>
    <w:rsid w:val="054A1F24"/>
    <w:rsid w:val="054B5371"/>
    <w:rsid w:val="054B711F"/>
    <w:rsid w:val="054C2F3C"/>
    <w:rsid w:val="054E09BE"/>
    <w:rsid w:val="054F4E62"/>
    <w:rsid w:val="054F6C10"/>
    <w:rsid w:val="05500BDA"/>
    <w:rsid w:val="05535400"/>
    <w:rsid w:val="05544226"/>
    <w:rsid w:val="05597A8E"/>
    <w:rsid w:val="055A7363"/>
    <w:rsid w:val="055E50A5"/>
    <w:rsid w:val="05616943"/>
    <w:rsid w:val="0565142B"/>
    <w:rsid w:val="05656433"/>
    <w:rsid w:val="05685F23"/>
    <w:rsid w:val="056929AF"/>
    <w:rsid w:val="056976B3"/>
    <w:rsid w:val="056A57F8"/>
    <w:rsid w:val="056B01D9"/>
    <w:rsid w:val="056B1570"/>
    <w:rsid w:val="056E0F69"/>
    <w:rsid w:val="056E1DDF"/>
    <w:rsid w:val="056F2E0E"/>
    <w:rsid w:val="056F72B2"/>
    <w:rsid w:val="05702F6F"/>
    <w:rsid w:val="05706B86"/>
    <w:rsid w:val="057351AA"/>
    <w:rsid w:val="05736B77"/>
    <w:rsid w:val="05742A39"/>
    <w:rsid w:val="057448C8"/>
    <w:rsid w:val="057730B9"/>
    <w:rsid w:val="05786D27"/>
    <w:rsid w:val="0579237E"/>
    <w:rsid w:val="0580326D"/>
    <w:rsid w:val="05832D9D"/>
    <w:rsid w:val="05834800"/>
    <w:rsid w:val="05852631"/>
    <w:rsid w:val="05856AD5"/>
    <w:rsid w:val="05880374"/>
    <w:rsid w:val="058A40EC"/>
    <w:rsid w:val="05900FD6"/>
    <w:rsid w:val="0590119C"/>
    <w:rsid w:val="05932345"/>
    <w:rsid w:val="059565ED"/>
    <w:rsid w:val="059603F2"/>
    <w:rsid w:val="0596483F"/>
    <w:rsid w:val="05964C1A"/>
    <w:rsid w:val="05976809"/>
    <w:rsid w:val="059B00A7"/>
    <w:rsid w:val="059E36F3"/>
    <w:rsid w:val="05A0746B"/>
    <w:rsid w:val="05A52CD4"/>
    <w:rsid w:val="05A56137"/>
    <w:rsid w:val="05A76A4C"/>
    <w:rsid w:val="05AA2098"/>
    <w:rsid w:val="05AB5E10"/>
    <w:rsid w:val="05AC3439"/>
    <w:rsid w:val="05AD3936"/>
    <w:rsid w:val="05AF5900"/>
    <w:rsid w:val="05AF6CF1"/>
    <w:rsid w:val="05B253F0"/>
    <w:rsid w:val="05B47F6F"/>
    <w:rsid w:val="05B64EE1"/>
    <w:rsid w:val="05B747B5"/>
    <w:rsid w:val="05B9052D"/>
    <w:rsid w:val="05BA1905"/>
    <w:rsid w:val="05BB5BCD"/>
    <w:rsid w:val="05BB6D13"/>
    <w:rsid w:val="05C02EA4"/>
    <w:rsid w:val="05C31215"/>
    <w:rsid w:val="05C53DD1"/>
    <w:rsid w:val="05C55124"/>
    <w:rsid w:val="05C63FE0"/>
    <w:rsid w:val="05C80770"/>
    <w:rsid w:val="05CA0776"/>
    <w:rsid w:val="05CA2855"/>
    <w:rsid w:val="05CC3B66"/>
    <w:rsid w:val="05CD2772"/>
    <w:rsid w:val="05CD3EB3"/>
    <w:rsid w:val="05CF13A4"/>
    <w:rsid w:val="05D02834"/>
    <w:rsid w:val="05D22059"/>
    <w:rsid w:val="05D610DF"/>
    <w:rsid w:val="05D80FC6"/>
    <w:rsid w:val="05D9297D"/>
    <w:rsid w:val="05D94337"/>
    <w:rsid w:val="05D97573"/>
    <w:rsid w:val="05DD246D"/>
    <w:rsid w:val="05DE7F94"/>
    <w:rsid w:val="05DF77D5"/>
    <w:rsid w:val="05E03D0C"/>
    <w:rsid w:val="05E27A84"/>
    <w:rsid w:val="05E509F9"/>
    <w:rsid w:val="05E536D6"/>
    <w:rsid w:val="05E57574"/>
    <w:rsid w:val="05EA4B8A"/>
    <w:rsid w:val="05EA6938"/>
    <w:rsid w:val="05F059C1"/>
    <w:rsid w:val="05F31C91"/>
    <w:rsid w:val="05F81055"/>
    <w:rsid w:val="05FB0B46"/>
    <w:rsid w:val="05FD2B10"/>
    <w:rsid w:val="05FD48BE"/>
    <w:rsid w:val="05FF21E1"/>
    <w:rsid w:val="06007F0A"/>
    <w:rsid w:val="06020126"/>
    <w:rsid w:val="0603061C"/>
    <w:rsid w:val="060321AA"/>
    <w:rsid w:val="06032B2D"/>
    <w:rsid w:val="06035C4C"/>
    <w:rsid w:val="060379FA"/>
    <w:rsid w:val="060519C4"/>
    <w:rsid w:val="06093262"/>
    <w:rsid w:val="060E0879"/>
    <w:rsid w:val="060E2B12"/>
    <w:rsid w:val="060E6ACB"/>
    <w:rsid w:val="060F6837"/>
    <w:rsid w:val="06110369"/>
    <w:rsid w:val="06112117"/>
    <w:rsid w:val="06113EC5"/>
    <w:rsid w:val="061340E1"/>
    <w:rsid w:val="061439B5"/>
    <w:rsid w:val="06147E59"/>
    <w:rsid w:val="06154ED4"/>
    <w:rsid w:val="061614DB"/>
    <w:rsid w:val="0616772D"/>
    <w:rsid w:val="06173EC2"/>
    <w:rsid w:val="061834A6"/>
    <w:rsid w:val="061B4ACE"/>
    <w:rsid w:val="061C3F4A"/>
    <w:rsid w:val="061C5ABD"/>
    <w:rsid w:val="061E4834"/>
    <w:rsid w:val="06201B78"/>
    <w:rsid w:val="0620235A"/>
    <w:rsid w:val="062112BF"/>
    <w:rsid w:val="06211B4A"/>
    <w:rsid w:val="06231E4A"/>
    <w:rsid w:val="06233BF8"/>
    <w:rsid w:val="062A31D9"/>
    <w:rsid w:val="062C0CFF"/>
    <w:rsid w:val="062C5397"/>
    <w:rsid w:val="062C6F51"/>
    <w:rsid w:val="062E0F1B"/>
    <w:rsid w:val="062E4A77"/>
    <w:rsid w:val="062F259D"/>
    <w:rsid w:val="0630278C"/>
    <w:rsid w:val="0630790C"/>
    <w:rsid w:val="063125AB"/>
    <w:rsid w:val="06314567"/>
    <w:rsid w:val="06316315"/>
    <w:rsid w:val="06333061"/>
    <w:rsid w:val="06336531"/>
    <w:rsid w:val="063442D3"/>
    <w:rsid w:val="06361B7E"/>
    <w:rsid w:val="06370210"/>
    <w:rsid w:val="063A05DB"/>
    <w:rsid w:val="063A7915"/>
    <w:rsid w:val="063B0884"/>
    <w:rsid w:val="063B3638"/>
    <w:rsid w:val="063B43C4"/>
    <w:rsid w:val="063B7194"/>
    <w:rsid w:val="063D4CBA"/>
    <w:rsid w:val="063F793B"/>
    <w:rsid w:val="064424ED"/>
    <w:rsid w:val="06443A3D"/>
    <w:rsid w:val="06450047"/>
    <w:rsid w:val="0648365F"/>
    <w:rsid w:val="064A0436"/>
    <w:rsid w:val="064C1AE1"/>
    <w:rsid w:val="064C75F3"/>
    <w:rsid w:val="064E6EC7"/>
    <w:rsid w:val="065168BB"/>
    <w:rsid w:val="065321FE"/>
    <w:rsid w:val="06563FCE"/>
    <w:rsid w:val="06564AEF"/>
    <w:rsid w:val="06565D7C"/>
    <w:rsid w:val="06566711"/>
    <w:rsid w:val="06585F98"/>
    <w:rsid w:val="06594D7C"/>
    <w:rsid w:val="0659586C"/>
    <w:rsid w:val="065A1D10"/>
    <w:rsid w:val="065C7563"/>
    <w:rsid w:val="065D24E3"/>
    <w:rsid w:val="065D710A"/>
    <w:rsid w:val="0661309E"/>
    <w:rsid w:val="06615C0A"/>
    <w:rsid w:val="06660700"/>
    <w:rsid w:val="066647AF"/>
    <w:rsid w:val="0667442D"/>
    <w:rsid w:val="06693D01"/>
    <w:rsid w:val="066C0621"/>
    <w:rsid w:val="066C559F"/>
    <w:rsid w:val="066E070B"/>
    <w:rsid w:val="066E30C6"/>
    <w:rsid w:val="066E7569"/>
    <w:rsid w:val="066F6E3E"/>
    <w:rsid w:val="06710E08"/>
    <w:rsid w:val="067526A6"/>
    <w:rsid w:val="0676641E"/>
    <w:rsid w:val="06770ACE"/>
    <w:rsid w:val="0677360E"/>
    <w:rsid w:val="067810A4"/>
    <w:rsid w:val="067A4160"/>
    <w:rsid w:val="067A57F6"/>
    <w:rsid w:val="067A7CBC"/>
    <w:rsid w:val="067B1C86"/>
    <w:rsid w:val="067E04FA"/>
    <w:rsid w:val="0680104B"/>
    <w:rsid w:val="068428E9"/>
    <w:rsid w:val="068723D9"/>
    <w:rsid w:val="06874187"/>
    <w:rsid w:val="068A4E6D"/>
    <w:rsid w:val="068B1EC9"/>
    <w:rsid w:val="068C3E93"/>
    <w:rsid w:val="068D4FC2"/>
    <w:rsid w:val="068F128E"/>
    <w:rsid w:val="06915006"/>
    <w:rsid w:val="0692233C"/>
    <w:rsid w:val="0693251F"/>
    <w:rsid w:val="06935222"/>
    <w:rsid w:val="06952D48"/>
    <w:rsid w:val="0696261C"/>
    <w:rsid w:val="069761AE"/>
    <w:rsid w:val="06982838"/>
    <w:rsid w:val="069A3EBB"/>
    <w:rsid w:val="069B5E85"/>
    <w:rsid w:val="069C689A"/>
    <w:rsid w:val="06A0349B"/>
    <w:rsid w:val="06A13572"/>
    <w:rsid w:val="06A34D53"/>
    <w:rsid w:val="06A40336"/>
    <w:rsid w:val="06A44D39"/>
    <w:rsid w:val="06A900F8"/>
    <w:rsid w:val="06AA0DF4"/>
    <w:rsid w:val="06AB256C"/>
    <w:rsid w:val="06AC1E40"/>
    <w:rsid w:val="06AE5BB8"/>
    <w:rsid w:val="06AE7966"/>
    <w:rsid w:val="06B036DE"/>
    <w:rsid w:val="06B07B82"/>
    <w:rsid w:val="06B156A8"/>
    <w:rsid w:val="06B17456"/>
    <w:rsid w:val="06B331CE"/>
    <w:rsid w:val="06B55198"/>
    <w:rsid w:val="06B61DA9"/>
    <w:rsid w:val="06B61F38"/>
    <w:rsid w:val="06BA455D"/>
    <w:rsid w:val="06BC02D5"/>
    <w:rsid w:val="06BC1BE0"/>
    <w:rsid w:val="06BD3726"/>
    <w:rsid w:val="06C07F8B"/>
    <w:rsid w:val="06C278B5"/>
    <w:rsid w:val="06C569FA"/>
    <w:rsid w:val="06C76C7A"/>
    <w:rsid w:val="06C8694B"/>
    <w:rsid w:val="06CB0518"/>
    <w:rsid w:val="06CC603E"/>
    <w:rsid w:val="06CD36B9"/>
    <w:rsid w:val="06CE0E4D"/>
    <w:rsid w:val="06D51397"/>
    <w:rsid w:val="06D575E9"/>
    <w:rsid w:val="06D66EBD"/>
    <w:rsid w:val="06D73361"/>
    <w:rsid w:val="06D77AC5"/>
    <w:rsid w:val="06D867B3"/>
    <w:rsid w:val="06DA0B31"/>
    <w:rsid w:val="06DB2F20"/>
    <w:rsid w:val="06DD024B"/>
    <w:rsid w:val="06E11AE9"/>
    <w:rsid w:val="06E31D05"/>
    <w:rsid w:val="06E4782C"/>
    <w:rsid w:val="06E55C44"/>
    <w:rsid w:val="06E845C5"/>
    <w:rsid w:val="06E92249"/>
    <w:rsid w:val="06EB2968"/>
    <w:rsid w:val="06EB6E0C"/>
    <w:rsid w:val="06EC66E0"/>
    <w:rsid w:val="06EC7D87"/>
    <w:rsid w:val="06F0766A"/>
    <w:rsid w:val="06F35831"/>
    <w:rsid w:val="06F35C48"/>
    <w:rsid w:val="06F55595"/>
    <w:rsid w:val="06F67972"/>
    <w:rsid w:val="06FA0DFD"/>
    <w:rsid w:val="06FC0A47"/>
    <w:rsid w:val="06FC6923"/>
    <w:rsid w:val="06FE5FE8"/>
    <w:rsid w:val="07016FBD"/>
    <w:rsid w:val="07034156"/>
    <w:rsid w:val="07050B05"/>
    <w:rsid w:val="07070CE0"/>
    <w:rsid w:val="070752C8"/>
    <w:rsid w:val="07091040"/>
    <w:rsid w:val="07097292"/>
    <w:rsid w:val="070C589E"/>
    <w:rsid w:val="070E2AFA"/>
    <w:rsid w:val="070E48A8"/>
    <w:rsid w:val="07124399"/>
    <w:rsid w:val="07126147"/>
    <w:rsid w:val="07131EBF"/>
    <w:rsid w:val="07140111"/>
    <w:rsid w:val="0715109C"/>
    <w:rsid w:val="0715712E"/>
    <w:rsid w:val="071579E5"/>
    <w:rsid w:val="07165861"/>
    <w:rsid w:val="0717375D"/>
    <w:rsid w:val="071835C2"/>
    <w:rsid w:val="071B013B"/>
    <w:rsid w:val="071C0D73"/>
    <w:rsid w:val="071D13D8"/>
    <w:rsid w:val="071F2612"/>
    <w:rsid w:val="072408B5"/>
    <w:rsid w:val="07281A58"/>
    <w:rsid w:val="07283BBC"/>
    <w:rsid w:val="07287718"/>
    <w:rsid w:val="072A4378"/>
    <w:rsid w:val="072A7934"/>
    <w:rsid w:val="072B7208"/>
    <w:rsid w:val="07302A71"/>
    <w:rsid w:val="073A38EF"/>
    <w:rsid w:val="073A7715"/>
    <w:rsid w:val="073B106D"/>
    <w:rsid w:val="07403158"/>
    <w:rsid w:val="07434BE5"/>
    <w:rsid w:val="07462294"/>
    <w:rsid w:val="07465E59"/>
    <w:rsid w:val="07487DBA"/>
    <w:rsid w:val="0749768F"/>
    <w:rsid w:val="074B1659"/>
    <w:rsid w:val="074B20D5"/>
    <w:rsid w:val="074B3407"/>
    <w:rsid w:val="074B78AB"/>
    <w:rsid w:val="074E5313"/>
    <w:rsid w:val="07502802"/>
    <w:rsid w:val="07550729"/>
    <w:rsid w:val="075A7AEE"/>
    <w:rsid w:val="075B3AB3"/>
    <w:rsid w:val="075B5D40"/>
    <w:rsid w:val="075E138C"/>
    <w:rsid w:val="075F5104"/>
    <w:rsid w:val="076171F1"/>
    <w:rsid w:val="076369A2"/>
    <w:rsid w:val="07660241"/>
    <w:rsid w:val="07670770"/>
    <w:rsid w:val="0768220B"/>
    <w:rsid w:val="076A4B6C"/>
    <w:rsid w:val="076C3487"/>
    <w:rsid w:val="076C4259"/>
    <w:rsid w:val="0774295E"/>
    <w:rsid w:val="07794418"/>
    <w:rsid w:val="077973F5"/>
    <w:rsid w:val="07797F74"/>
    <w:rsid w:val="077F7266"/>
    <w:rsid w:val="07804F8A"/>
    <w:rsid w:val="0782783A"/>
    <w:rsid w:val="07854B6B"/>
    <w:rsid w:val="07862691"/>
    <w:rsid w:val="078801B7"/>
    <w:rsid w:val="078D7EC3"/>
    <w:rsid w:val="078F7797"/>
    <w:rsid w:val="079052BE"/>
    <w:rsid w:val="079254DA"/>
    <w:rsid w:val="07951E26"/>
    <w:rsid w:val="079528D4"/>
    <w:rsid w:val="07963981"/>
    <w:rsid w:val="0797664C"/>
    <w:rsid w:val="079A2AEA"/>
    <w:rsid w:val="079B3507"/>
    <w:rsid w:val="079C0106"/>
    <w:rsid w:val="079E3062"/>
    <w:rsid w:val="07A1396F"/>
    <w:rsid w:val="07A33243"/>
    <w:rsid w:val="07A46156"/>
    <w:rsid w:val="07A56FBB"/>
    <w:rsid w:val="07A85A5C"/>
    <w:rsid w:val="07AA2823"/>
    <w:rsid w:val="07AB405E"/>
    <w:rsid w:val="07AD2313"/>
    <w:rsid w:val="07B216D8"/>
    <w:rsid w:val="07B26B71"/>
    <w:rsid w:val="07B43691"/>
    <w:rsid w:val="07B471FE"/>
    <w:rsid w:val="07B92E8A"/>
    <w:rsid w:val="07BB058C"/>
    <w:rsid w:val="07BD6BB5"/>
    <w:rsid w:val="07C03A74"/>
    <w:rsid w:val="07C5140B"/>
    <w:rsid w:val="07C531B9"/>
    <w:rsid w:val="07C6627C"/>
    <w:rsid w:val="07C77907"/>
    <w:rsid w:val="07C95826"/>
    <w:rsid w:val="07CA4C73"/>
    <w:rsid w:val="07CC0B06"/>
    <w:rsid w:val="07CD4764"/>
    <w:rsid w:val="07CF0EF6"/>
    <w:rsid w:val="07CF228A"/>
    <w:rsid w:val="07CF3015"/>
    <w:rsid w:val="07D01B5E"/>
    <w:rsid w:val="07D41E77"/>
    <w:rsid w:val="07D433FC"/>
    <w:rsid w:val="07D72EEC"/>
    <w:rsid w:val="07DB0C2F"/>
    <w:rsid w:val="07DB32BF"/>
    <w:rsid w:val="07DB5B40"/>
    <w:rsid w:val="07DC6755"/>
    <w:rsid w:val="07DE24CD"/>
    <w:rsid w:val="07E15B19"/>
    <w:rsid w:val="07E34DE1"/>
    <w:rsid w:val="07E35D35"/>
    <w:rsid w:val="07E66A89"/>
    <w:rsid w:val="07E86EA8"/>
    <w:rsid w:val="07EA3243"/>
    <w:rsid w:val="07EA70C4"/>
    <w:rsid w:val="07EC6998"/>
    <w:rsid w:val="07ED0104"/>
    <w:rsid w:val="07EF46DA"/>
    <w:rsid w:val="07EF6488"/>
    <w:rsid w:val="07EF6B13"/>
    <w:rsid w:val="07F4584C"/>
    <w:rsid w:val="07F67816"/>
    <w:rsid w:val="07F77E76"/>
    <w:rsid w:val="07F817E1"/>
    <w:rsid w:val="07F92E63"/>
    <w:rsid w:val="07F97754"/>
    <w:rsid w:val="07FA3C26"/>
    <w:rsid w:val="07FB488D"/>
    <w:rsid w:val="07FE5128"/>
    <w:rsid w:val="08031F33"/>
    <w:rsid w:val="080A1514"/>
    <w:rsid w:val="080C7A77"/>
    <w:rsid w:val="080D690E"/>
    <w:rsid w:val="080E209C"/>
    <w:rsid w:val="080F6B2A"/>
    <w:rsid w:val="0810758D"/>
    <w:rsid w:val="08114650"/>
    <w:rsid w:val="081163FE"/>
    <w:rsid w:val="081303C8"/>
    <w:rsid w:val="0814739E"/>
    <w:rsid w:val="08147C9D"/>
    <w:rsid w:val="08155C5D"/>
    <w:rsid w:val="0817778D"/>
    <w:rsid w:val="081859DF"/>
    <w:rsid w:val="081971AF"/>
    <w:rsid w:val="081A09F7"/>
    <w:rsid w:val="081A6E86"/>
    <w:rsid w:val="081B102B"/>
    <w:rsid w:val="081B54CF"/>
    <w:rsid w:val="081C4DA3"/>
    <w:rsid w:val="081D148E"/>
    <w:rsid w:val="0821404C"/>
    <w:rsid w:val="0822060B"/>
    <w:rsid w:val="082223BA"/>
    <w:rsid w:val="082425D6"/>
    <w:rsid w:val="08250323"/>
    <w:rsid w:val="082A15C4"/>
    <w:rsid w:val="082A74C0"/>
    <w:rsid w:val="082F13D5"/>
    <w:rsid w:val="082F2519"/>
    <w:rsid w:val="082F3634"/>
    <w:rsid w:val="0831084F"/>
    <w:rsid w:val="08350981"/>
    <w:rsid w:val="08386081"/>
    <w:rsid w:val="083C7F99"/>
    <w:rsid w:val="083D5D6A"/>
    <w:rsid w:val="083E22EA"/>
    <w:rsid w:val="083E2F6B"/>
    <w:rsid w:val="084329EC"/>
    <w:rsid w:val="084542FA"/>
    <w:rsid w:val="08470072"/>
    <w:rsid w:val="084C5688"/>
    <w:rsid w:val="084E5DED"/>
    <w:rsid w:val="084E7652"/>
    <w:rsid w:val="084F0A5C"/>
    <w:rsid w:val="084F247A"/>
    <w:rsid w:val="084F6F27"/>
    <w:rsid w:val="08526089"/>
    <w:rsid w:val="085723C5"/>
    <w:rsid w:val="085803BD"/>
    <w:rsid w:val="085B1D6F"/>
    <w:rsid w:val="085E716A"/>
    <w:rsid w:val="08602EE2"/>
    <w:rsid w:val="086230FE"/>
    <w:rsid w:val="08642221"/>
    <w:rsid w:val="08652422"/>
    <w:rsid w:val="0865499C"/>
    <w:rsid w:val="08666989"/>
    <w:rsid w:val="08674270"/>
    <w:rsid w:val="086A3D60"/>
    <w:rsid w:val="086D41EB"/>
    <w:rsid w:val="086E3851"/>
    <w:rsid w:val="086E4F34"/>
    <w:rsid w:val="086E61A0"/>
    <w:rsid w:val="086E7FA8"/>
    <w:rsid w:val="08711187"/>
    <w:rsid w:val="087150EF"/>
    <w:rsid w:val="08730E67"/>
    <w:rsid w:val="087A1BF2"/>
    <w:rsid w:val="087B0816"/>
    <w:rsid w:val="087D1CE6"/>
    <w:rsid w:val="087D3A94"/>
    <w:rsid w:val="08805332"/>
    <w:rsid w:val="08856DEC"/>
    <w:rsid w:val="088774EE"/>
    <w:rsid w:val="0888740E"/>
    <w:rsid w:val="0889068B"/>
    <w:rsid w:val="088B1937"/>
    <w:rsid w:val="088C1F29"/>
    <w:rsid w:val="088D73C8"/>
    <w:rsid w:val="088E3EF3"/>
    <w:rsid w:val="088F37C7"/>
    <w:rsid w:val="088F491C"/>
    <w:rsid w:val="08901A19"/>
    <w:rsid w:val="08907C6B"/>
    <w:rsid w:val="08932B62"/>
    <w:rsid w:val="0895702F"/>
    <w:rsid w:val="089808CE"/>
    <w:rsid w:val="08980AF6"/>
    <w:rsid w:val="0898267C"/>
    <w:rsid w:val="089963F4"/>
    <w:rsid w:val="089B412D"/>
    <w:rsid w:val="089E0E96"/>
    <w:rsid w:val="08A12EF0"/>
    <w:rsid w:val="08A2174C"/>
    <w:rsid w:val="08A26784"/>
    <w:rsid w:val="08A50077"/>
    <w:rsid w:val="08A76701"/>
    <w:rsid w:val="08A812A6"/>
    <w:rsid w:val="08A92ADB"/>
    <w:rsid w:val="08AA23AF"/>
    <w:rsid w:val="08AB6853"/>
    <w:rsid w:val="08AC25CB"/>
    <w:rsid w:val="08AF3CFA"/>
    <w:rsid w:val="08AF4D90"/>
    <w:rsid w:val="08B03E69"/>
    <w:rsid w:val="08B05C3F"/>
    <w:rsid w:val="08B1198F"/>
    <w:rsid w:val="08B1373D"/>
    <w:rsid w:val="08B35707"/>
    <w:rsid w:val="08B51480"/>
    <w:rsid w:val="08B66FA6"/>
    <w:rsid w:val="08B733B2"/>
    <w:rsid w:val="08BA3694"/>
    <w:rsid w:val="08BB280E"/>
    <w:rsid w:val="08BD0334"/>
    <w:rsid w:val="08BE7346"/>
    <w:rsid w:val="08C07E24"/>
    <w:rsid w:val="08C47915"/>
    <w:rsid w:val="08C50AF1"/>
    <w:rsid w:val="08C6368D"/>
    <w:rsid w:val="08C674F9"/>
    <w:rsid w:val="08C711B3"/>
    <w:rsid w:val="08C77405"/>
    <w:rsid w:val="08C94F2B"/>
    <w:rsid w:val="08C96CD9"/>
    <w:rsid w:val="08C97472"/>
    <w:rsid w:val="08CC0577"/>
    <w:rsid w:val="08CE42EF"/>
    <w:rsid w:val="08CF4872"/>
    <w:rsid w:val="08D30471"/>
    <w:rsid w:val="08D4742C"/>
    <w:rsid w:val="08D631A4"/>
    <w:rsid w:val="08D73E8D"/>
    <w:rsid w:val="08D85AD7"/>
    <w:rsid w:val="08DB6A0C"/>
    <w:rsid w:val="08DC58E8"/>
    <w:rsid w:val="08DF38E2"/>
    <w:rsid w:val="08E157B6"/>
    <w:rsid w:val="08E2175A"/>
    <w:rsid w:val="08E458C1"/>
    <w:rsid w:val="08E5550A"/>
    <w:rsid w:val="08EB30F3"/>
    <w:rsid w:val="08EE04EE"/>
    <w:rsid w:val="08EF68F2"/>
    <w:rsid w:val="08F31FA8"/>
    <w:rsid w:val="08F455F2"/>
    <w:rsid w:val="08F47CE0"/>
    <w:rsid w:val="08F47ED8"/>
    <w:rsid w:val="08F54FFF"/>
    <w:rsid w:val="08FA1588"/>
    <w:rsid w:val="08FC38DF"/>
    <w:rsid w:val="08FD6983"/>
    <w:rsid w:val="08FE77F2"/>
    <w:rsid w:val="09025EC2"/>
    <w:rsid w:val="09032742"/>
    <w:rsid w:val="09043664"/>
    <w:rsid w:val="090441B5"/>
    <w:rsid w:val="090B4153"/>
    <w:rsid w:val="090D12BC"/>
    <w:rsid w:val="0911242E"/>
    <w:rsid w:val="09145F72"/>
    <w:rsid w:val="09150170"/>
    <w:rsid w:val="09155A79"/>
    <w:rsid w:val="09175198"/>
    <w:rsid w:val="09175C96"/>
    <w:rsid w:val="09175F3C"/>
    <w:rsid w:val="091A588A"/>
    <w:rsid w:val="091B505B"/>
    <w:rsid w:val="091C14FF"/>
    <w:rsid w:val="091D7025"/>
    <w:rsid w:val="091E1E7E"/>
    <w:rsid w:val="091F4B4B"/>
    <w:rsid w:val="09223368"/>
    <w:rsid w:val="0923288D"/>
    <w:rsid w:val="0925299D"/>
    <w:rsid w:val="092812C3"/>
    <w:rsid w:val="092959CA"/>
    <w:rsid w:val="092B34F0"/>
    <w:rsid w:val="092B63E5"/>
    <w:rsid w:val="092C1016"/>
    <w:rsid w:val="092C7268"/>
    <w:rsid w:val="092E095D"/>
    <w:rsid w:val="092E2FE0"/>
    <w:rsid w:val="092E6619"/>
    <w:rsid w:val="0935436E"/>
    <w:rsid w:val="0935611C"/>
    <w:rsid w:val="09383E5F"/>
    <w:rsid w:val="093920B1"/>
    <w:rsid w:val="093A3598"/>
    <w:rsid w:val="093A3733"/>
    <w:rsid w:val="093C56FD"/>
    <w:rsid w:val="09410F65"/>
    <w:rsid w:val="0949606C"/>
    <w:rsid w:val="094B1DE4"/>
    <w:rsid w:val="094B5940"/>
    <w:rsid w:val="094C3466"/>
    <w:rsid w:val="094C5B8E"/>
    <w:rsid w:val="094E1A1E"/>
    <w:rsid w:val="094E3682"/>
    <w:rsid w:val="094E5430"/>
    <w:rsid w:val="094E5A0C"/>
    <w:rsid w:val="09500231"/>
    <w:rsid w:val="09502F56"/>
    <w:rsid w:val="09507869"/>
    <w:rsid w:val="09532A47"/>
    <w:rsid w:val="0955056D"/>
    <w:rsid w:val="095742E5"/>
    <w:rsid w:val="09581E0B"/>
    <w:rsid w:val="095C5D9F"/>
    <w:rsid w:val="095C7B4D"/>
    <w:rsid w:val="095D6ACD"/>
    <w:rsid w:val="096133B5"/>
    <w:rsid w:val="09616F12"/>
    <w:rsid w:val="096227F5"/>
    <w:rsid w:val="096535C8"/>
    <w:rsid w:val="096A427D"/>
    <w:rsid w:val="096B1B3E"/>
    <w:rsid w:val="096E162E"/>
    <w:rsid w:val="096E7880"/>
    <w:rsid w:val="096F3AB3"/>
    <w:rsid w:val="097035F9"/>
    <w:rsid w:val="097067D3"/>
    <w:rsid w:val="09727371"/>
    <w:rsid w:val="09734E97"/>
    <w:rsid w:val="0975046F"/>
    <w:rsid w:val="09750564"/>
    <w:rsid w:val="097529BD"/>
    <w:rsid w:val="09756E61"/>
    <w:rsid w:val="097924AD"/>
    <w:rsid w:val="097A3625"/>
    <w:rsid w:val="097C1F9D"/>
    <w:rsid w:val="098032F7"/>
    <w:rsid w:val="09811362"/>
    <w:rsid w:val="09815806"/>
    <w:rsid w:val="0982413B"/>
    <w:rsid w:val="098307E8"/>
    <w:rsid w:val="098470A4"/>
    <w:rsid w:val="09862E1C"/>
    <w:rsid w:val="09866978"/>
    <w:rsid w:val="098705F9"/>
    <w:rsid w:val="09886B94"/>
    <w:rsid w:val="09895AEA"/>
    <w:rsid w:val="098976B2"/>
    <w:rsid w:val="098A5D86"/>
    <w:rsid w:val="098C3E22"/>
    <w:rsid w:val="098D2F3B"/>
    <w:rsid w:val="098E154B"/>
    <w:rsid w:val="09906519"/>
    <w:rsid w:val="09945539"/>
    <w:rsid w:val="099512B1"/>
    <w:rsid w:val="0997085E"/>
    <w:rsid w:val="099727D3"/>
    <w:rsid w:val="09975029"/>
    <w:rsid w:val="099A7690"/>
    <w:rsid w:val="099C263F"/>
    <w:rsid w:val="099E05BD"/>
    <w:rsid w:val="099F5FBE"/>
    <w:rsid w:val="099F6527"/>
    <w:rsid w:val="09A11A04"/>
    <w:rsid w:val="09A3577C"/>
    <w:rsid w:val="09A6454A"/>
    <w:rsid w:val="09A762B9"/>
    <w:rsid w:val="09A82D92"/>
    <w:rsid w:val="09A950D4"/>
    <w:rsid w:val="09AA4D5C"/>
    <w:rsid w:val="09AB2883"/>
    <w:rsid w:val="09AD03A9"/>
    <w:rsid w:val="09AE6375"/>
    <w:rsid w:val="09AF2373"/>
    <w:rsid w:val="09B22489"/>
    <w:rsid w:val="09B23C11"/>
    <w:rsid w:val="09B41737"/>
    <w:rsid w:val="09B434E5"/>
    <w:rsid w:val="09B540D2"/>
    <w:rsid w:val="09B63701"/>
    <w:rsid w:val="09B64B07"/>
    <w:rsid w:val="09B71227"/>
    <w:rsid w:val="09B764B3"/>
    <w:rsid w:val="09B907C2"/>
    <w:rsid w:val="09B94A54"/>
    <w:rsid w:val="09BA4874"/>
    <w:rsid w:val="09BB0D18"/>
    <w:rsid w:val="09BC6226"/>
    <w:rsid w:val="09BD51DD"/>
    <w:rsid w:val="09BF1E8A"/>
    <w:rsid w:val="09C000DC"/>
    <w:rsid w:val="09C0632E"/>
    <w:rsid w:val="09C120A6"/>
    <w:rsid w:val="09C13E54"/>
    <w:rsid w:val="09C332D8"/>
    <w:rsid w:val="09C42541"/>
    <w:rsid w:val="09C556F2"/>
    <w:rsid w:val="09C676BC"/>
    <w:rsid w:val="09C94AB7"/>
    <w:rsid w:val="09CA661E"/>
    <w:rsid w:val="09CD27F9"/>
    <w:rsid w:val="09D04097"/>
    <w:rsid w:val="09D2576F"/>
    <w:rsid w:val="09D27E0F"/>
    <w:rsid w:val="09D417AD"/>
    <w:rsid w:val="09D45935"/>
    <w:rsid w:val="09D516AE"/>
    <w:rsid w:val="09D65AF6"/>
    <w:rsid w:val="09D74EF0"/>
    <w:rsid w:val="09D85105"/>
    <w:rsid w:val="09D87570"/>
    <w:rsid w:val="09DA5642"/>
    <w:rsid w:val="09DA6CC4"/>
    <w:rsid w:val="09DC0C8E"/>
    <w:rsid w:val="09E162A4"/>
    <w:rsid w:val="09E216CB"/>
    <w:rsid w:val="09E244F6"/>
    <w:rsid w:val="09E35B78"/>
    <w:rsid w:val="09E65669"/>
    <w:rsid w:val="09E71B0D"/>
    <w:rsid w:val="09E75A5D"/>
    <w:rsid w:val="09EA33AB"/>
    <w:rsid w:val="09ED69F7"/>
    <w:rsid w:val="09EF0992"/>
    <w:rsid w:val="09EF09C1"/>
    <w:rsid w:val="09EF451D"/>
    <w:rsid w:val="09EF6941"/>
    <w:rsid w:val="09F2225F"/>
    <w:rsid w:val="09F50A27"/>
    <w:rsid w:val="09F50B09"/>
    <w:rsid w:val="09F63AFE"/>
    <w:rsid w:val="09F72A46"/>
    <w:rsid w:val="09F9539C"/>
    <w:rsid w:val="09FB55B8"/>
    <w:rsid w:val="09FC4E8C"/>
    <w:rsid w:val="09FD565C"/>
    <w:rsid w:val="09FE0C04"/>
    <w:rsid w:val="09FE6E56"/>
    <w:rsid w:val="0A0159F2"/>
    <w:rsid w:val="0A03621B"/>
    <w:rsid w:val="0A053D41"/>
    <w:rsid w:val="0A067AB9"/>
    <w:rsid w:val="0A0B0881"/>
    <w:rsid w:val="0A0B189B"/>
    <w:rsid w:val="0A0B2D2F"/>
    <w:rsid w:val="0A110938"/>
    <w:rsid w:val="0A116B8A"/>
    <w:rsid w:val="0A124DEA"/>
    <w:rsid w:val="0A12645E"/>
    <w:rsid w:val="0A1313A3"/>
    <w:rsid w:val="0A1D16CA"/>
    <w:rsid w:val="0A2401B4"/>
    <w:rsid w:val="0A252635"/>
    <w:rsid w:val="0A2543E3"/>
    <w:rsid w:val="0A266660"/>
    <w:rsid w:val="0A27015B"/>
    <w:rsid w:val="0A283ED3"/>
    <w:rsid w:val="0A2D14EA"/>
    <w:rsid w:val="0A2F7010"/>
    <w:rsid w:val="0A320DD3"/>
    <w:rsid w:val="0A3221EC"/>
    <w:rsid w:val="0A333840"/>
    <w:rsid w:val="0A345CBC"/>
    <w:rsid w:val="0A362BD2"/>
    <w:rsid w:val="0A3665F0"/>
    <w:rsid w:val="0A3870C8"/>
    <w:rsid w:val="0A3960E0"/>
    <w:rsid w:val="0A3C34DB"/>
    <w:rsid w:val="0A3C4E60"/>
    <w:rsid w:val="0A3F4A69"/>
    <w:rsid w:val="0A41178C"/>
    <w:rsid w:val="0A430D0D"/>
    <w:rsid w:val="0A432ABB"/>
    <w:rsid w:val="0A445F7C"/>
    <w:rsid w:val="0A470285"/>
    <w:rsid w:val="0A474359"/>
    <w:rsid w:val="0A4A209B"/>
    <w:rsid w:val="0A4A7645"/>
    <w:rsid w:val="0A4B1E5E"/>
    <w:rsid w:val="0A4C7BC2"/>
    <w:rsid w:val="0A4F3208"/>
    <w:rsid w:val="0A530F50"/>
    <w:rsid w:val="0A535F6B"/>
    <w:rsid w:val="0A550E29"/>
    <w:rsid w:val="0A5519E4"/>
    <w:rsid w:val="0A56459C"/>
    <w:rsid w:val="0A586566"/>
    <w:rsid w:val="0A595E3B"/>
    <w:rsid w:val="0A5C46AC"/>
    <w:rsid w:val="0A5D1DCF"/>
    <w:rsid w:val="0A5E51A8"/>
    <w:rsid w:val="0A634F0B"/>
    <w:rsid w:val="0A690774"/>
    <w:rsid w:val="0A69175D"/>
    <w:rsid w:val="0A6A0048"/>
    <w:rsid w:val="0A6A44EC"/>
    <w:rsid w:val="0A6C2012"/>
    <w:rsid w:val="0A6D7B38"/>
    <w:rsid w:val="0A6F1B02"/>
    <w:rsid w:val="0A6F5721"/>
    <w:rsid w:val="0A7113D6"/>
    <w:rsid w:val="0A717628"/>
    <w:rsid w:val="0A7315F2"/>
    <w:rsid w:val="0A73514E"/>
    <w:rsid w:val="0A742C74"/>
    <w:rsid w:val="0A747118"/>
    <w:rsid w:val="0A7532F0"/>
    <w:rsid w:val="0A764C3F"/>
    <w:rsid w:val="0A766000"/>
    <w:rsid w:val="0A766BCC"/>
    <w:rsid w:val="0A7731A5"/>
    <w:rsid w:val="0A7B4003"/>
    <w:rsid w:val="0A7C2A1D"/>
    <w:rsid w:val="0A7E593A"/>
    <w:rsid w:val="0A7F61EE"/>
    <w:rsid w:val="0A7F73B9"/>
    <w:rsid w:val="0A823BC9"/>
    <w:rsid w:val="0A827EF4"/>
    <w:rsid w:val="0A856C30"/>
    <w:rsid w:val="0A870D22"/>
    <w:rsid w:val="0A875967"/>
    <w:rsid w:val="0A880415"/>
    <w:rsid w:val="0A8B7110"/>
    <w:rsid w:val="0A8C7FBE"/>
    <w:rsid w:val="0A8E01DA"/>
    <w:rsid w:val="0A8E5717"/>
    <w:rsid w:val="0A8F3F52"/>
    <w:rsid w:val="0A911A78"/>
    <w:rsid w:val="0A92134D"/>
    <w:rsid w:val="0A9357F1"/>
    <w:rsid w:val="0A951E77"/>
    <w:rsid w:val="0A9632F8"/>
    <w:rsid w:val="0A9652E1"/>
    <w:rsid w:val="0A96708F"/>
    <w:rsid w:val="0A982E07"/>
    <w:rsid w:val="0A9B46A5"/>
    <w:rsid w:val="0A9F39D1"/>
    <w:rsid w:val="0AA07F0D"/>
    <w:rsid w:val="0AA1052D"/>
    <w:rsid w:val="0AA25A34"/>
    <w:rsid w:val="0AA277E2"/>
    <w:rsid w:val="0AA417AC"/>
    <w:rsid w:val="0AA418ED"/>
    <w:rsid w:val="0AA479FE"/>
    <w:rsid w:val="0AA6225D"/>
    <w:rsid w:val="0AA74DF8"/>
    <w:rsid w:val="0AAC0660"/>
    <w:rsid w:val="0AAE6186"/>
    <w:rsid w:val="0AAF1EFF"/>
    <w:rsid w:val="0AB13EC9"/>
    <w:rsid w:val="0AB36084"/>
    <w:rsid w:val="0AB37C41"/>
    <w:rsid w:val="0AB47515"/>
    <w:rsid w:val="0AB6328D"/>
    <w:rsid w:val="0AB77B8E"/>
    <w:rsid w:val="0AB87005"/>
    <w:rsid w:val="0ABB4D47"/>
    <w:rsid w:val="0ABC45A1"/>
    <w:rsid w:val="0AC21C32"/>
    <w:rsid w:val="0AC37758"/>
    <w:rsid w:val="0AC41E4E"/>
    <w:rsid w:val="0AC51722"/>
    <w:rsid w:val="0AC82A08"/>
    <w:rsid w:val="0AC8421B"/>
    <w:rsid w:val="0AC97464"/>
    <w:rsid w:val="0ACA0AE6"/>
    <w:rsid w:val="0ACA6D38"/>
    <w:rsid w:val="0ACE6829"/>
    <w:rsid w:val="0ACF0E24"/>
    <w:rsid w:val="0AD007F3"/>
    <w:rsid w:val="0AD1552F"/>
    <w:rsid w:val="0AD41965"/>
    <w:rsid w:val="0AD4630C"/>
    <w:rsid w:val="0AD57BB7"/>
    <w:rsid w:val="0AD61B81"/>
    <w:rsid w:val="0AD742FB"/>
    <w:rsid w:val="0ADB7197"/>
    <w:rsid w:val="0ADC2637"/>
    <w:rsid w:val="0ADF0A36"/>
    <w:rsid w:val="0ADF4592"/>
    <w:rsid w:val="0ADF52ED"/>
    <w:rsid w:val="0AE0387E"/>
    <w:rsid w:val="0AE10DE6"/>
    <w:rsid w:val="0AE20526"/>
    <w:rsid w:val="0AE41BA8"/>
    <w:rsid w:val="0AE4604C"/>
    <w:rsid w:val="0AEB1631"/>
    <w:rsid w:val="0AEB20D2"/>
    <w:rsid w:val="0AEC6174"/>
    <w:rsid w:val="0AED769F"/>
    <w:rsid w:val="0AEF054D"/>
    <w:rsid w:val="0AEF3109"/>
    <w:rsid w:val="0AF02C43"/>
    <w:rsid w:val="0AF105A1"/>
    <w:rsid w:val="0AF10769"/>
    <w:rsid w:val="0AF22D2F"/>
    <w:rsid w:val="0AF50259"/>
    <w:rsid w:val="0AF53DB5"/>
    <w:rsid w:val="0AF85654"/>
    <w:rsid w:val="0AF87123"/>
    <w:rsid w:val="0AF946D6"/>
    <w:rsid w:val="0AFA13CC"/>
    <w:rsid w:val="0AFA761E"/>
    <w:rsid w:val="0AFB2E60"/>
    <w:rsid w:val="0AFC15E8"/>
    <w:rsid w:val="0AFD2C6A"/>
    <w:rsid w:val="0AFD563B"/>
    <w:rsid w:val="0AFF4C34"/>
    <w:rsid w:val="0B021205"/>
    <w:rsid w:val="0B022976"/>
    <w:rsid w:val="0B026EC9"/>
    <w:rsid w:val="0B0417E9"/>
    <w:rsid w:val="0B04224A"/>
    <w:rsid w:val="0B065FC2"/>
    <w:rsid w:val="0B071D3B"/>
    <w:rsid w:val="0B082F16"/>
    <w:rsid w:val="0B09160F"/>
    <w:rsid w:val="0B097861"/>
    <w:rsid w:val="0B0B182B"/>
    <w:rsid w:val="0B0C7351"/>
    <w:rsid w:val="0B0D3CEC"/>
    <w:rsid w:val="0B0F299D"/>
    <w:rsid w:val="0B100BEF"/>
    <w:rsid w:val="0B115773"/>
    <w:rsid w:val="0B12527D"/>
    <w:rsid w:val="0B174AF2"/>
    <w:rsid w:val="0B185CF6"/>
    <w:rsid w:val="0B186678"/>
    <w:rsid w:val="0B1F7084"/>
    <w:rsid w:val="0B215421"/>
    <w:rsid w:val="0B2428ED"/>
    <w:rsid w:val="0B243FB8"/>
    <w:rsid w:val="0B2662C4"/>
    <w:rsid w:val="0B2823DD"/>
    <w:rsid w:val="0B2A3504"/>
    <w:rsid w:val="0B2B77D7"/>
    <w:rsid w:val="0B2C17A1"/>
    <w:rsid w:val="0B2D79F3"/>
    <w:rsid w:val="0B2E72C7"/>
    <w:rsid w:val="0B354AFA"/>
    <w:rsid w:val="0B3712D1"/>
    <w:rsid w:val="0B383A84"/>
    <w:rsid w:val="0B3B6331"/>
    <w:rsid w:val="0B3D575C"/>
    <w:rsid w:val="0B3D750A"/>
    <w:rsid w:val="0B416FFB"/>
    <w:rsid w:val="0B427292"/>
    <w:rsid w:val="0B446C7B"/>
    <w:rsid w:val="0B471607"/>
    <w:rsid w:val="0B4765DB"/>
    <w:rsid w:val="0B4B5556"/>
    <w:rsid w:val="0B4D1CA1"/>
    <w:rsid w:val="0B4F695F"/>
    <w:rsid w:val="0B552AA6"/>
    <w:rsid w:val="0B57681E"/>
    <w:rsid w:val="0B5A00BC"/>
    <w:rsid w:val="0B5A7049"/>
    <w:rsid w:val="0B5D1CFF"/>
    <w:rsid w:val="0B5F1B77"/>
    <w:rsid w:val="0B5F56D3"/>
    <w:rsid w:val="0B611087"/>
    <w:rsid w:val="0B61144B"/>
    <w:rsid w:val="0B6131F9"/>
    <w:rsid w:val="0B6158EF"/>
    <w:rsid w:val="0B692B37"/>
    <w:rsid w:val="0B6B22C9"/>
    <w:rsid w:val="0B6B3136"/>
    <w:rsid w:val="0B6E3B68"/>
    <w:rsid w:val="0B6F52BB"/>
    <w:rsid w:val="0B705B32"/>
    <w:rsid w:val="0B7078E0"/>
    <w:rsid w:val="0B725406"/>
    <w:rsid w:val="0B73117E"/>
    <w:rsid w:val="0B7359BE"/>
    <w:rsid w:val="0B74533A"/>
    <w:rsid w:val="0B7471EA"/>
    <w:rsid w:val="0B756CA4"/>
    <w:rsid w:val="0B785B6B"/>
    <w:rsid w:val="0B7A4A3F"/>
    <w:rsid w:val="0B7B2AEA"/>
    <w:rsid w:val="0B7B2E74"/>
    <w:rsid w:val="0B7F2691"/>
    <w:rsid w:val="0B85016F"/>
    <w:rsid w:val="0B850425"/>
    <w:rsid w:val="0B860EB1"/>
    <w:rsid w:val="0B896BF3"/>
    <w:rsid w:val="0B8B2A81"/>
    <w:rsid w:val="0B8B471A"/>
    <w:rsid w:val="0B8D2240"/>
    <w:rsid w:val="0B8D66E4"/>
    <w:rsid w:val="0B8E40F7"/>
    <w:rsid w:val="0B8E420A"/>
    <w:rsid w:val="0B8E5FB8"/>
    <w:rsid w:val="0B905282"/>
    <w:rsid w:val="0B9272DC"/>
    <w:rsid w:val="0B927856"/>
    <w:rsid w:val="0B941820"/>
    <w:rsid w:val="0B9510F4"/>
    <w:rsid w:val="0B955598"/>
    <w:rsid w:val="0B9730BE"/>
    <w:rsid w:val="0B974E6D"/>
    <w:rsid w:val="0B996E37"/>
    <w:rsid w:val="0B9A2BAF"/>
    <w:rsid w:val="0B9A670B"/>
    <w:rsid w:val="0B9F3D21"/>
    <w:rsid w:val="0BA05A05"/>
    <w:rsid w:val="0BA17A99"/>
    <w:rsid w:val="0BA26880"/>
    <w:rsid w:val="0BA44DD1"/>
    <w:rsid w:val="0BA47589"/>
    <w:rsid w:val="0BA650B0"/>
    <w:rsid w:val="0BA74F00"/>
    <w:rsid w:val="0BA94BA0"/>
    <w:rsid w:val="0BAB0918"/>
    <w:rsid w:val="0BAB4DBC"/>
    <w:rsid w:val="0BAC5E56"/>
    <w:rsid w:val="0BAD25B1"/>
    <w:rsid w:val="0BB05F2E"/>
    <w:rsid w:val="0BB1074E"/>
    <w:rsid w:val="0BB53545"/>
    <w:rsid w:val="0BB60264"/>
    <w:rsid w:val="0BB62097"/>
    <w:rsid w:val="0BB66F9D"/>
    <w:rsid w:val="0BB72343"/>
    <w:rsid w:val="0BB7550F"/>
    <w:rsid w:val="0BB84DE3"/>
    <w:rsid w:val="0BB93035"/>
    <w:rsid w:val="0BBA6DAD"/>
    <w:rsid w:val="0BBC5DCB"/>
    <w:rsid w:val="0BBE689D"/>
    <w:rsid w:val="0BBF2785"/>
    <w:rsid w:val="0BC02D85"/>
    <w:rsid w:val="0BC140B0"/>
    <w:rsid w:val="0BC32105"/>
    <w:rsid w:val="0BC509D1"/>
    <w:rsid w:val="0BC5725A"/>
    <w:rsid w:val="0BCD4D32"/>
    <w:rsid w:val="0BD25EA5"/>
    <w:rsid w:val="0BD315B0"/>
    <w:rsid w:val="0BD31C1D"/>
    <w:rsid w:val="0BD47E6F"/>
    <w:rsid w:val="0BD64040"/>
    <w:rsid w:val="0BDC4F75"/>
    <w:rsid w:val="0BE04649"/>
    <w:rsid w:val="0BE04A65"/>
    <w:rsid w:val="0BE37935"/>
    <w:rsid w:val="0BE811E2"/>
    <w:rsid w:val="0BED7182"/>
    <w:rsid w:val="0BEF455D"/>
    <w:rsid w:val="0BF027CF"/>
    <w:rsid w:val="0BF16BCC"/>
    <w:rsid w:val="0BF16C73"/>
    <w:rsid w:val="0BF202F5"/>
    <w:rsid w:val="0BF238F6"/>
    <w:rsid w:val="0BF26547"/>
    <w:rsid w:val="0BF4406D"/>
    <w:rsid w:val="0BF54104"/>
    <w:rsid w:val="0BF56037"/>
    <w:rsid w:val="0BF71DAF"/>
    <w:rsid w:val="0BF910D7"/>
    <w:rsid w:val="0BF91683"/>
    <w:rsid w:val="0BFB5CEE"/>
    <w:rsid w:val="0BFC5617"/>
    <w:rsid w:val="0BFC7E59"/>
    <w:rsid w:val="0BFD2301"/>
    <w:rsid w:val="0BFF2A12"/>
    <w:rsid w:val="0C0149DC"/>
    <w:rsid w:val="0C030754"/>
    <w:rsid w:val="0C042C38"/>
    <w:rsid w:val="0C057EC4"/>
    <w:rsid w:val="0C060244"/>
    <w:rsid w:val="0C061FF2"/>
    <w:rsid w:val="0C083FBC"/>
    <w:rsid w:val="0C087501"/>
    <w:rsid w:val="0C0A7D34"/>
    <w:rsid w:val="0C0B585A"/>
    <w:rsid w:val="0C1032EF"/>
    <w:rsid w:val="0C122745"/>
    <w:rsid w:val="0C126BE9"/>
    <w:rsid w:val="0C1278F7"/>
    <w:rsid w:val="0C174839"/>
    <w:rsid w:val="0C175FAD"/>
    <w:rsid w:val="0C181DEC"/>
    <w:rsid w:val="0C1A34B8"/>
    <w:rsid w:val="0C1B5A9E"/>
    <w:rsid w:val="0C1E558E"/>
    <w:rsid w:val="0C1F4E62"/>
    <w:rsid w:val="0C2030B4"/>
    <w:rsid w:val="0C22507E"/>
    <w:rsid w:val="0C23087C"/>
    <w:rsid w:val="0C265D59"/>
    <w:rsid w:val="0C272694"/>
    <w:rsid w:val="0C2801BA"/>
    <w:rsid w:val="0C281F69"/>
    <w:rsid w:val="0C2A3F33"/>
    <w:rsid w:val="0C2C71E2"/>
    <w:rsid w:val="0C2D3C7D"/>
    <w:rsid w:val="0C2D757F"/>
    <w:rsid w:val="0C30706F"/>
    <w:rsid w:val="0C355862"/>
    <w:rsid w:val="0C364685"/>
    <w:rsid w:val="0C3923C8"/>
    <w:rsid w:val="0C3C702E"/>
    <w:rsid w:val="0C3C77C2"/>
    <w:rsid w:val="0C3D1EB8"/>
    <w:rsid w:val="0C3E0833"/>
    <w:rsid w:val="0C404922"/>
    <w:rsid w:val="0C443DDF"/>
    <w:rsid w:val="0C444873"/>
    <w:rsid w:val="0C4609EA"/>
    <w:rsid w:val="0C463BD6"/>
    <w:rsid w:val="0C477C77"/>
    <w:rsid w:val="0C48085D"/>
    <w:rsid w:val="0C4905FF"/>
    <w:rsid w:val="0C497853"/>
    <w:rsid w:val="0C4A1EDF"/>
    <w:rsid w:val="0C4A6383"/>
    <w:rsid w:val="0C4B17E2"/>
    <w:rsid w:val="0C4C44D5"/>
    <w:rsid w:val="0C5257B6"/>
    <w:rsid w:val="0C530576"/>
    <w:rsid w:val="0C530DEB"/>
    <w:rsid w:val="0C550884"/>
    <w:rsid w:val="0C57284E"/>
    <w:rsid w:val="0C5965C6"/>
    <w:rsid w:val="0C5965FB"/>
    <w:rsid w:val="0C5B233E"/>
    <w:rsid w:val="0C607954"/>
    <w:rsid w:val="0C632FA1"/>
    <w:rsid w:val="0C66143F"/>
    <w:rsid w:val="0C686809"/>
    <w:rsid w:val="0C6929E6"/>
    <w:rsid w:val="0C6C00A7"/>
    <w:rsid w:val="0C6F1945"/>
    <w:rsid w:val="0C6F61CA"/>
    <w:rsid w:val="0C71390F"/>
    <w:rsid w:val="0C7156BE"/>
    <w:rsid w:val="0C7451AE"/>
    <w:rsid w:val="0C75623D"/>
    <w:rsid w:val="0C774C9E"/>
    <w:rsid w:val="0C790A16"/>
    <w:rsid w:val="0C7D0903"/>
    <w:rsid w:val="0C7E427E"/>
    <w:rsid w:val="0C7E602C"/>
    <w:rsid w:val="0C7F7145"/>
    <w:rsid w:val="0C801DA5"/>
    <w:rsid w:val="0C831895"/>
    <w:rsid w:val="0C833643"/>
    <w:rsid w:val="0C8A677F"/>
    <w:rsid w:val="0C8D626F"/>
    <w:rsid w:val="0C8D69A8"/>
    <w:rsid w:val="0C913FB2"/>
    <w:rsid w:val="0C917B0E"/>
    <w:rsid w:val="0C9475FE"/>
    <w:rsid w:val="0C957B70"/>
    <w:rsid w:val="0C970E9C"/>
    <w:rsid w:val="0C9920F0"/>
    <w:rsid w:val="0C9B098C"/>
    <w:rsid w:val="0C9B273A"/>
    <w:rsid w:val="0C9D2956"/>
    <w:rsid w:val="0C9E047D"/>
    <w:rsid w:val="0C9E3220"/>
    <w:rsid w:val="0CA23AC9"/>
    <w:rsid w:val="0CA24015"/>
    <w:rsid w:val="0CA27F6D"/>
    <w:rsid w:val="0CA31752"/>
    <w:rsid w:val="0CA640A0"/>
    <w:rsid w:val="0CA710DF"/>
    <w:rsid w:val="0CA77331"/>
    <w:rsid w:val="0CA84E57"/>
    <w:rsid w:val="0CAA6370"/>
    <w:rsid w:val="0CAA6E21"/>
    <w:rsid w:val="0CAC0566"/>
    <w:rsid w:val="0CAC1BFF"/>
    <w:rsid w:val="0CAE166F"/>
    <w:rsid w:val="0CAE419E"/>
    <w:rsid w:val="0CAF268A"/>
    <w:rsid w:val="0CB02BEB"/>
    <w:rsid w:val="0CB3217A"/>
    <w:rsid w:val="0CB32C96"/>
    <w:rsid w:val="0CB47CA0"/>
    <w:rsid w:val="0CB63A18"/>
    <w:rsid w:val="0CB657C6"/>
    <w:rsid w:val="0CB70156"/>
    <w:rsid w:val="0CBA1428"/>
    <w:rsid w:val="0CBA3DB4"/>
    <w:rsid w:val="0CBD31D4"/>
    <w:rsid w:val="0CBE28CD"/>
    <w:rsid w:val="0CC04046"/>
    <w:rsid w:val="0CC30981"/>
    <w:rsid w:val="0CC46135"/>
    <w:rsid w:val="0CC51EAD"/>
    <w:rsid w:val="0CC664C0"/>
    <w:rsid w:val="0CC71781"/>
    <w:rsid w:val="0CC80BC8"/>
    <w:rsid w:val="0CCA1272"/>
    <w:rsid w:val="0CCC323C"/>
    <w:rsid w:val="0CCC383D"/>
    <w:rsid w:val="0CCD00B0"/>
    <w:rsid w:val="0CCE2B10"/>
    <w:rsid w:val="0CCE3A1E"/>
    <w:rsid w:val="0CCF0636"/>
    <w:rsid w:val="0CCF6888"/>
    <w:rsid w:val="0CD12600"/>
    <w:rsid w:val="0CD345CA"/>
    <w:rsid w:val="0CD43E9E"/>
    <w:rsid w:val="0CD520F0"/>
    <w:rsid w:val="0CD600E2"/>
    <w:rsid w:val="0CD81BE1"/>
    <w:rsid w:val="0CD8398F"/>
    <w:rsid w:val="0CDA7707"/>
    <w:rsid w:val="0CDB522D"/>
    <w:rsid w:val="0CDD5F03"/>
    <w:rsid w:val="0CDD71F7"/>
    <w:rsid w:val="0CDE6ACB"/>
    <w:rsid w:val="0CE20369"/>
    <w:rsid w:val="0CE51C08"/>
    <w:rsid w:val="0CE57E5A"/>
    <w:rsid w:val="0CE75980"/>
    <w:rsid w:val="0CE933D1"/>
    <w:rsid w:val="0CEA5470"/>
    <w:rsid w:val="0CEB1914"/>
    <w:rsid w:val="0CEC11E8"/>
    <w:rsid w:val="0CEC74C9"/>
    <w:rsid w:val="0CF06F2A"/>
    <w:rsid w:val="0CF20C5A"/>
    <w:rsid w:val="0CF276C0"/>
    <w:rsid w:val="0CF279BC"/>
    <w:rsid w:val="0CF4056A"/>
    <w:rsid w:val="0CF44E35"/>
    <w:rsid w:val="0CF54541"/>
    <w:rsid w:val="0CF60AE6"/>
    <w:rsid w:val="0CF6195F"/>
    <w:rsid w:val="0CF85DDF"/>
    <w:rsid w:val="0CF9542B"/>
    <w:rsid w:val="0CF9587F"/>
    <w:rsid w:val="0CFA1DDF"/>
    <w:rsid w:val="0CFC0C83"/>
    <w:rsid w:val="0CFC21C1"/>
    <w:rsid w:val="0CFD51A3"/>
    <w:rsid w:val="0D020A0B"/>
    <w:rsid w:val="0D031BB2"/>
    <w:rsid w:val="0D044AD4"/>
    <w:rsid w:val="0D045251"/>
    <w:rsid w:val="0D0504FC"/>
    <w:rsid w:val="0D0522AA"/>
    <w:rsid w:val="0D064E5E"/>
    <w:rsid w:val="0D077DD0"/>
    <w:rsid w:val="0D0B50BA"/>
    <w:rsid w:val="0D0C3638"/>
    <w:rsid w:val="0D0F79F5"/>
    <w:rsid w:val="0D10137A"/>
    <w:rsid w:val="0D147AD4"/>
    <w:rsid w:val="0D176758"/>
    <w:rsid w:val="0D1A52F9"/>
    <w:rsid w:val="0D1A7244"/>
    <w:rsid w:val="0D1D3A97"/>
    <w:rsid w:val="0D1F46AC"/>
    <w:rsid w:val="0D211B51"/>
    <w:rsid w:val="0D224C0A"/>
    <w:rsid w:val="0D233138"/>
    <w:rsid w:val="0D252FB8"/>
    <w:rsid w:val="0D2564A8"/>
    <w:rsid w:val="0D272220"/>
    <w:rsid w:val="0D2758D8"/>
    <w:rsid w:val="0D2766C4"/>
    <w:rsid w:val="0D2C2E5F"/>
    <w:rsid w:val="0D2C3CDA"/>
    <w:rsid w:val="0D2D73F1"/>
    <w:rsid w:val="0D2E1903"/>
    <w:rsid w:val="0D31309F"/>
    <w:rsid w:val="0D336E17"/>
    <w:rsid w:val="0D346A73"/>
    <w:rsid w:val="0D352B8F"/>
    <w:rsid w:val="0D38685D"/>
    <w:rsid w:val="0D3C216F"/>
    <w:rsid w:val="0D3D1B73"/>
    <w:rsid w:val="0D425203"/>
    <w:rsid w:val="0D464D9C"/>
    <w:rsid w:val="0D466D19"/>
    <w:rsid w:val="0D470B14"/>
    <w:rsid w:val="0D47548D"/>
    <w:rsid w:val="0D4E087D"/>
    <w:rsid w:val="0D4E1EA3"/>
    <w:rsid w:val="0D5037F2"/>
    <w:rsid w:val="0D505C1B"/>
    <w:rsid w:val="0D5311FB"/>
    <w:rsid w:val="0D58062B"/>
    <w:rsid w:val="0D5D5C42"/>
    <w:rsid w:val="0D5D665A"/>
    <w:rsid w:val="0D5F5E5E"/>
    <w:rsid w:val="0D620389"/>
    <w:rsid w:val="0D643474"/>
    <w:rsid w:val="0D660F9A"/>
    <w:rsid w:val="0D662D48"/>
    <w:rsid w:val="0D6671EC"/>
    <w:rsid w:val="0D674D12"/>
    <w:rsid w:val="0D6909D7"/>
    <w:rsid w:val="0D697FCF"/>
    <w:rsid w:val="0D6B02E5"/>
    <w:rsid w:val="0D6B211D"/>
    <w:rsid w:val="0D703BC7"/>
    <w:rsid w:val="0D721683"/>
    <w:rsid w:val="0D746BAC"/>
    <w:rsid w:val="0D766D04"/>
    <w:rsid w:val="0D777923"/>
    <w:rsid w:val="0D7A244C"/>
    <w:rsid w:val="0D7C6A10"/>
    <w:rsid w:val="0D7D62E4"/>
    <w:rsid w:val="0D7E2CD2"/>
    <w:rsid w:val="0D7F321E"/>
    <w:rsid w:val="0D7F5A77"/>
    <w:rsid w:val="0D814D2E"/>
    <w:rsid w:val="0D8633EB"/>
    <w:rsid w:val="0D865199"/>
    <w:rsid w:val="0D874C73"/>
    <w:rsid w:val="0D8A7FDB"/>
    <w:rsid w:val="0D8C7389"/>
    <w:rsid w:val="0D8E1D44"/>
    <w:rsid w:val="0D913B3D"/>
    <w:rsid w:val="0D975F08"/>
    <w:rsid w:val="0D991370"/>
    <w:rsid w:val="0D9A50E8"/>
    <w:rsid w:val="0D9B7981"/>
    <w:rsid w:val="0D9D24E2"/>
    <w:rsid w:val="0D9F6EB0"/>
    <w:rsid w:val="0DA25D4B"/>
    <w:rsid w:val="0DA27AF9"/>
    <w:rsid w:val="0DA33F9D"/>
    <w:rsid w:val="0DA41AC3"/>
    <w:rsid w:val="0DA57240"/>
    <w:rsid w:val="0DA6583B"/>
    <w:rsid w:val="0DA753DC"/>
    <w:rsid w:val="0DA82D28"/>
    <w:rsid w:val="0DA84934"/>
    <w:rsid w:val="0DA9572C"/>
    <w:rsid w:val="0DAA5004"/>
    <w:rsid w:val="0DAF3E2C"/>
    <w:rsid w:val="0DB058AE"/>
    <w:rsid w:val="0DB241E0"/>
    <w:rsid w:val="0DB25D1D"/>
    <w:rsid w:val="0DB461AA"/>
    <w:rsid w:val="0DB53CD0"/>
    <w:rsid w:val="0DB55A7E"/>
    <w:rsid w:val="0DB6018A"/>
    <w:rsid w:val="0DB72ADD"/>
    <w:rsid w:val="0DBA08FC"/>
    <w:rsid w:val="0DBB7B04"/>
    <w:rsid w:val="0DBC1422"/>
    <w:rsid w:val="0DBF06AB"/>
    <w:rsid w:val="0DC108C7"/>
    <w:rsid w:val="0DC15F40"/>
    <w:rsid w:val="0DC16A76"/>
    <w:rsid w:val="0DC35BD1"/>
    <w:rsid w:val="0DC4693B"/>
    <w:rsid w:val="0DC573BC"/>
    <w:rsid w:val="0DC61A39"/>
    <w:rsid w:val="0DC64837"/>
    <w:rsid w:val="0DC65C1D"/>
    <w:rsid w:val="0DC760A7"/>
    <w:rsid w:val="0DC849FA"/>
    <w:rsid w:val="0DC94CD9"/>
    <w:rsid w:val="0DCC5EB8"/>
    <w:rsid w:val="0DD1346B"/>
    <w:rsid w:val="0DD227DA"/>
    <w:rsid w:val="0DD231BA"/>
    <w:rsid w:val="0DD24547"/>
    <w:rsid w:val="0DD3183E"/>
    <w:rsid w:val="0DD405FA"/>
    <w:rsid w:val="0DD71E98"/>
    <w:rsid w:val="0DD95C10"/>
    <w:rsid w:val="0DDA54E4"/>
    <w:rsid w:val="0DDA6C30"/>
    <w:rsid w:val="0DDC125D"/>
    <w:rsid w:val="0DDE3227"/>
    <w:rsid w:val="0DE3083D"/>
    <w:rsid w:val="0DE51806"/>
    <w:rsid w:val="0DE620DB"/>
    <w:rsid w:val="0DE750BD"/>
    <w:rsid w:val="0DE819AF"/>
    <w:rsid w:val="0DEB4A54"/>
    <w:rsid w:val="0DEB76F2"/>
    <w:rsid w:val="0DED346A"/>
    <w:rsid w:val="0DED5218"/>
    <w:rsid w:val="0DED7DC2"/>
    <w:rsid w:val="0DEF69F4"/>
    <w:rsid w:val="0DF20A80"/>
    <w:rsid w:val="0DF2282E"/>
    <w:rsid w:val="0DF30354"/>
    <w:rsid w:val="0DF4156F"/>
    <w:rsid w:val="0DF50570"/>
    <w:rsid w:val="0DF5231E"/>
    <w:rsid w:val="0DF77E44"/>
    <w:rsid w:val="0DF90060"/>
    <w:rsid w:val="0DF91E0E"/>
    <w:rsid w:val="0DF93C25"/>
    <w:rsid w:val="0DFA0F36"/>
    <w:rsid w:val="0DFA7935"/>
    <w:rsid w:val="0DFC18FF"/>
    <w:rsid w:val="0DFC545B"/>
    <w:rsid w:val="0DFD71B6"/>
    <w:rsid w:val="0DFE5677"/>
    <w:rsid w:val="0DFE7425"/>
    <w:rsid w:val="0DFF4F4B"/>
    <w:rsid w:val="0E0013EF"/>
    <w:rsid w:val="0E016F15"/>
    <w:rsid w:val="0E033729"/>
    <w:rsid w:val="0E042561"/>
    <w:rsid w:val="0E043EAE"/>
    <w:rsid w:val="0E0639DE"/>
    <w:rsid w:val="0E0802A4"/>
    <w:rsid w:val="0E097B78"/>
    <w:rsid w:val="0E0A5DCA"/>
    <w:rsid w:val="0E0D1416"/>
    <w:rsid w:val="0E0E5563"/>
    <w:rsid w:val="0E0E7662"/>
    <w:rsid w:val="0E0F340D"/>
    <w:rsid w:val="0E0F6412"/>
    <w:rsid w:val="0E121122"/>
    <w:rsid w:val="0E122ED0"/>
    <w:rsid w:val="0E15070F"/>
    <w:rsid w:val="0E15138C"/>
    <w:rsid w:val="0E15476E"/>
    <w:rsid w:val="0E1924B1"/>
    <w:rsid w:val="0E1C3D4F"/>
    <w:rsid w:val="0E1C5AFD"/>
    <w:rsid w:val="0E1C78AB"/>
    <w:rsid w:val="0E1F17C1"/>
    <w:rsid w:val="0E211365"/>
    <w:rsid w:val="0E213113"/>
    <w:rsid w:val="0E252C04"/>
    <w:rsid w:val="0E2844A2"/>
    <w:rsid w:val="0E286250"/>
    <w:rsid w:val="0E2A021A"/>
    <w:rsid w:val="0E2A3DCF"/>
    <w:rsid w:val="0E2A413A"/>
    <w:rsid w:val="0E2C21E4"/>
    <w:rsid w:val="0E2C407B"/>
    <w:rsid w:val="0E2E7E25"/>
    <w:rsid w:val="0E2F75DE"/>
    <w:rsid w:val="0E327C36"/>
    <w:rsid w:val="0E342E47"/>
    <w:rsid w:val="0E34628D"/>
    <w:rsid w:val="0E350864"/>
    <w:rsid w:val="0E370B89"/>
    <w:rsid w:val="0E37636C"/>
    <w:rsid w:val="0E39045D"/>
    <w:rsid w:val="0E396582"/>
    <w:rsid w:val="0E3B2427"/>
    <w:rsid w:val="0E4532A6"/>
    <w:rsid w:val="0E460DCC"/>
    <w:rsid w:val="0E46399B"/>
    <w:rsid w:val="0E4B0190"/>
    <w:rsid w:val="0E4B1914"/>
    <w:rsid w:val="0E4C1A5A"/>
    <w:rsid w:val="0E4D7884"/>
    <w:rsid w:val="0E4F1A2E"/>
    <w:rsid w:val="0E504ACA"/>
    <w:rsid w:val="0E511C4A"/>
    <w:rsid w:val="0E55602B"/>
    <w:rsid w:val="0E567261"/>
    <w:rsid w:val="0E590AFF"/>
    <w:rsid w:val="0E59465B"/>
    <w:rsid w:val="0E5A4156"/>
    <w:rsid w:val="0E5B4877"/>
    <w:rsid w:val="0E5D3783"/>
    <w:rsid w:val="0E5E2240"/>
    <w:rsid w:val="0E5E4367"/>
    <w:rsid w:val="0E6179B4"/>
    <w:rsid w:val="0E6260E4"/>
    <w:rsid w:val="0E653000"/>
    <w:rsid w:val="0E664FCA"/>
    <w:rsid w:val="0E686F94"/>
    <w:rsid w:val="0E6F0323"/>
    <w:rsid w:val="0E7123BD"/>
    <w:rsid w:val="0E713C39"/>
    <w:rsid w:val="0E715E49"/>
    <w:rsid w:val="0E72396F"/>
    <w:rsid w:val="0E760261"/>
    <w:rsid w:val="0E7B0A75"/>
    <w:rsid w:val="0E7C47EE"/>
    <w:rsid w:val="0E7D2A40"/>
    <w:rsid w:val="0E7D37FD"/>
    <w:rsid w:val="0E7E0566"/>
    <w:rsid w:val="0E7E2314"/>
    <w:rsid w:val="0E7F4AFC"/>
    <w:rsid w:val="0E7F646F"/>
    <w:rsid w:val="0E8121F7"/>
    <w:rsid w:val="0E854CBB"/>
    <w:rsid w:val="0E8611C8"/>
    <w:rsid w:val="0E867766"/>
    <w:rsid w:val="0E8813E4"/>
    <w:rsid w:val="0E884F40"/>
    <w:rsid w:val="0E8A1C96"/>
    <w:rsid w:val="0E8A2A67"/>
    <w:rsid w:val="0E8C4473"/>
    <w:rsid w:val="0E8D2557"/>
    <w:rsid w:val="0E8E54DA"/>
    <w:rsid w:val="0E912321"/>
    <w:rsid w:val="0E93068B"/>
    <w:rsid w:val="0E941B37"/>
    <w:rsid w:val="0E9733D5"/>
    <w:rsid w:val="0EA0228A"/>
    <w:rsid w:val="0EA145C3"/>
    <w:rsid w:val="0EA16002"/>
    <w:rsid w:val="0EA62E13"/>
    <w:rsid w:val="0EA70609"/>
    <w:rsid w:val="0EA82097"/>
    <w:rsid w:val="0EAA3109"/>
    <w:rsid w:val="0EAC50D3"/>
    <w:rsid w:val="0EAD0264"/>
    <w:rsid w:val="0EAF071F"/>
    <w:rsid w:val="0EAF4BC3"/>
    <w:rsid w:val="0EB16245"/>
    <w:rsid w:val="0EB2020F"/>
    <w:rsid w:val="0EB45D35"/>
    <w:rsid w:val="0EB9159E"/>
    <w:rsid w:val="0EBA193E"/>
    <w:rsid w:val="0EBC26D6"/>
    <w:rsid w:val="0EBE0962"/>
    <w:rsid w:val="0EC046DA"/>
    <w:rsid w:val="0EC3241C"/>
    <w:rsid w:val="0EC732F2"/>
    <w:rsid w:val="0EC73CBB"/>
    <w:rsid w:val="0EC87A33"/>
    <w:rsid w:val="0EC95C85"/>
    <w:rsid w:val="0ECA70A2"/>
    <w:rsid w:val="0ECB6550"/>
    <w:rsid w:val="0ECC307F"/>
    <w:rsid w:val="0ECC7523"/>
    <w:rsid w:val="0ECE36AE"/>
    <w:rsid w:val="0ED14B39"/>
    <w:rsid w:val="0ED725D0"/>
    <w:rsid w:val="0ED87C76"/>
    <w:rsid w:val="0EDA0338"/>
    <w:rsid w:val="0EDB1514"/>
    <w:rsid w:val="0EE303C9"/>
    <w:rsid w:val="0EE45AE7"/>
    <w:rsid w:val="0EE5282B"/>
    <w:rsid w:val="0EE759D4"/>
    <w:rsid w:val="0EE7610B"/>
    <w:rsid w:val="0EE811CA"/>
    <w:rsid w:val="0EEC3721"/>
    <w:rsid w:val="0EEE649D"/>
    <w:rsid w:val="0EEE7499"/>
    <w:rsid w:val="0EEF4FBF"/>
    <w:rsid w:val="0EF21BD9"/>
    <w:rsid w:val="0EF32D02"/>
    <w:rsid w:val="0EF34A9B"/>
    <w:rsid w:val="0EF3685E"/>
    <w:rsid w:val="0EF40828"/>
    <w:rsid w:val="0EF425D6"/>
    <w:rsid w:val="0EF56A7A"/>
    <w:rsid w:val="0EF600FC"/>
    <w:rsid w:val="0EFA4090"/>
    <w:rsid w:val="0EFD148A"/>
    <w:rsid w:val="0F000286"/>
    <w:rsid w:val="0F0071CD"/>
    <w:rsid w:val="0F013483"/>
    <w:rsid w:val="0F022F45"/>
    <w:rsid w:val="0F024913"/>
    <w:rsid w:val="0F051746"/>
    <w:rsid w:val="0F0767AD"/>
    <w:rsid w:val="0F0942D3"/>
    <w:rsid w:val="0F0C0596"/>
    <w:rsid w:val="0F0F1F61"/>
    <w:rsid w:val="0F1113DA"/>
    <w:rsid w:val="0F135898"/>
    <w:rsid w:val="0F1457B6"/>
    <w:rsid w:val="0F152C78"/>
    <w:rsid w:val="0F1669F0"/>
    <w:rsid w:val="0F1862C4"/>
    <w:rsid w:val="0F1A028E"/>
    <w:rsid w:val="0F1A64E0"/>
    <w:rsid w:val="0F1D1B2D"/>
    <w:rsid w:val="0F1D40EC"/>
    <w:rsid w:val="0F1E0C3C"/>
    <w:rsid w:val="0F1F6A0C"/>
    <w:rsid w:val="0F2033CB"/>
    <w:rsid w:val="0F227143"/>
    <w:rsid w:val="0F256C33"/>
    <w:rsid w:val="0F264E85"/>
    <w:rsid w:val="0F2A3B1F"/>
    <w:rsid w:val="0F2C1D70"/>
    <w:rsid w:val="0F2E3930"/>
    <w:rsid w:val="0F2E3ECA"/>
    <w:rsid w:val="0F2F360E"/>
    <w:rsid w:val="0F2F71AE"/>
    <w:rsid w:val="0F307AB2"/>
    <w:rsid w:val="0F31382A"/>
    <w:rsid w:val="0F32254F"/>
    <w:rsid w:val="0F325B48"/>
    <w:rsid w:val="0F336516"/>
    <w:rsid w:val="0F3550C8"/>
    <w:rsid w:val="0F380715"/>
    <w:rsid w:val="0F382DAB"/>
    <w:rsid w:val="0F397997"/>
    <w:rsid w:val="0F3A0931"/>
    <w:rsid w:val="0F3D1107"/>
    <w:rsid w:val="0F403A6D"/>
    <w:rsid w:val="0F40581B"/>
    <w:rsid w:val="0F4658A8"/>
    <w:rsid w:val="0F474DFC"/>
    <w:rsid w:val="0F490B74"/>
    <w:rsid w:val="0F4946D0"/>
    <w:rsid w:val="0F4A2657"/>
    <w:rsid w:val="0F4B3FBB"/>
    <w:rsid w:val="0F4C41C0"/>
    <w:rsid w:val="0F4F35B5"/>
    <w:rsid w:val="0F5302C9"/>
    <w:rsid w:val="0F5337A0"/>
    <w:rsid w:val="0F560761"/>
    <w:rsid w:val="0F5615D4"/>
    <w:rsid w:val="0F582B65"/>
    <w:rsid w:val="0F59068B"/>
    <w:rsid w:val="0F5970AC"/>
    <w:rsid w:val="0F5A14BD"/>
    <w:rsid w:val="0F5A4B2F"/>
    <w:rsid w:val="0F5A68DD"/>
    <w:rsid w:val="0F5B2655"/>
    <w:rsid w:val="0F61353A"/>
    <w:rsid w:val="0F615EBD"/>
    <w:rsid w:val="0F655282"/>
    <w:rsid w:val="0F6634D4"/>
    <w:rsid w:val="0F671838"/>
    <w:rsid w:val="0F680C0A"/>
    <w:rsid w:val="0F6A3E0E"/>
    <w:rsid w:val="0F6E05DA"/>
    <w:rsid w:val="0F707EAE"/>
    <w:rsid w:val="0F711E78"/>
    <w:rsid w:val="0F73174D"/>
    <w:rsid w:val="0F73510E"/>
    <w:rsid w:val="0F735BF1"/>
    <w:rsid w:val="0F782667"/>
    <w:rsid w:val="0F7B6853"/>
    <w:rsid w:val="0F7D081D"/>
    <w:rsid w:val="0F7F00F1"/>
    <w:rsid w:val="0F7F4595"/>
    <w:rsid w:val="0F803E6A"/>
    <w:rsid w:val="0F8120BC"/>
    <w:rsid w:val="0F8454B4"/>
    <w:rsid w:val="0F850A62"/>
    <w:rsid w:val="0F851480"/>
    <w:rsid w:val="0F880A8E"/>
    <w:rsid w:val="0F8A6A96"/>
    <w:rsid w:val="0F8B118C"/>
    <w:rsid w:val="0F8B1E85"/>
    <w:rsid w:val="0F8C6CB2"/>
    <w:rsid w:val="0F9022FF"/>
    <w:rsid w:val="0F917E25"/>
    <w:rsid w:val="0F9377B0"/>
    <w:rsid w:val="0F96368D"/>
    <w:rsid w:val="0F977B31"/>
    <w:rsid w:val="0F977FCF"/>
    <w:rsid w:val="0F987405"/>
    <w:rsid w:val="0F9A4F2B"/>
    <w:rsid w:val="0F9B1521"/>
    <w:rsid w:val="0F9F1332"/>
    <w:rsid w:val="0FA062BA"/>
    <w:rsid w:val="0FA22032"/>
    <w:rsid w:val="0FA31FA5"/>
    <w:rsid w:val="0FA364D6"/>
    <w:rsid w:val="0FA4224E"/>
    <w:rsid w:val="0FA45DAA"/>
    <w:rsid w:val="0FA4706B"/>
    <w:rsid w:val="0FA61B22"/>
    <w:rsid w:val="0FA67D74"/>
    <w:rsid w:val="0FAB538A"/>
    <w:rsid w:val="0FAC4C5F"/>
    <w:rsid w:val="0FB00BF3"/>
    <w:rsid w:val="0FB0474F"/>
    <w:rsid w:val="0FB1212D"/>
    <w:rsid w:val="0FB12275"/>
    <w:rsid w:val="0FB373A1"/>
    <w:rsid w:val="0FB474F6"/>
    <w:rsid w:val="0FB66128"/>
    <w:rsid w:val="0FB91ED8"/>
    <w:rsid w:val="0FBA55CD"/>
    <w:rsid w:val="0FBB425D"/>
    <w:rsid w:val="0FBC4D28"/>
    <w:rsid w:val="0FBD50BE"/>
    <w:rsid w:val="0FBF4992"/>
    <w:rsid w:val="0FC12C46"/>
    <w:rsid w:val="0FC226D4"/>
    <w:rsid w:val="0FC338F7"/>
    <w:rsid w:val="0FC775DF"/>
    <w:rsid w:val="0FC94E72"/>
    <w:rsid w:val="0FCB1589"/>
    <w:rsid w:val="0FCC7575"/>
    <w:rsid w:val="0FCE4B9A"/>
    <w:rsid w:val="0FD52407"/>
    <w:rsid w:val="0FD61CDB"/>
    <w:rsid w:val="0FD7617F"/>
    <w:rsid w:val="0FD7781E"/>
    <w:rsid w:val="0FD80AC6"/>
    <w:rsid w:val="0FD8769D"/>
    <w:rsid w:val="0FD91EF8"/>
    <w:rsid w:val="0FD92952"/>
    <w:rsid w:val="0FDC19E8"/>
    <w:rsid w:val="0FDD2557"/>
    <w:rsid w:val="0FDD306A"/>
    <w:rsid w:val="0FDF09DB"/>
    <w:rsid w:val="0FE1086F"/>
    <w:rsid w:val="0FE10DAC"/>
    <w:rsid w:val="0FE16FFE"/>
    <w:rsid w:val="0FE443F8"/>
    <w:rsid w:val="0FE50EF5"/>
    <w:rsid w:val="0FE62385"/>
    <w:rsid w:val="0FE64614"/>
    <w:rsid w:val="0FE97C61"/>
    <w:rsid w:val="0FEA1995"/>
    <w:rsid w:val="0FEB5787"/>
    <w:rsid w:val="0FEB592B"/>
    <w:rsid w:val="0FEC370F"/>
    <w:rsid w:val="0FED59A3"/>
    <w:rsid w:val="0FED7751"/>
    <w:rsid w:val="0FEF171B"/>
    <w:rsid w:val="0FF02D9D"/>
    <w:rsid w:val="0FF07241"/>
    <w:rsid w:val="0FF24D67"/>
    <w:rsid w:val="0FF3288D"/>
    <w:rsid w:val="0FF44989"/>
    <w:rsid w:val="0FF52AA9"/>
    <w:rsid w:val="0FF56606"/>
    <w:rsid w:val="0FF6415D"/>
    <w:rsid w:val="0FF666B6"/>
    <w:rsid w:val="0FF7412C"/>
    <w:rsid w:val="0FF85BEE"/>
    <w:rsid w:val="0FF860F6"/>
    <w:rsid w:val="0FFA00C0"/>
    <w:rsid w:val="0FFC0270"/>
    <w:rsid w:val="0FFC3E38"/>
    <w:rsid w:val="0FFC7994"/>
    <w:rsid w:val="0FFD54BA"/>
    <w:rsid w:val="0FFF1A9C"/>
    <w:rsid w:val="0FFF34CB"/>
    <w:rsid w:val="1002694A"/>
    <w:rsid w:val="10044A9B"/>
    <w:rsid w:val="10056238"/>
    <w:rsid w:val="100827DD"/>
    <w:rsid w:val="100920B1"/>
    <w:rsid w:val="100B5E29"/>
    <w:rsid w:val="100D367B"/>
    <w:rsid w:val="100D7DF3"/>
    <w:rsid w:val="100E2034"/>
    <w:rsid w:val="100E76C7"/>
    <w:rsid w:val="10100B56"/>
    <w:rsid w:val="101045AE"/>
    <w:rsid w:val="10193451"/>
    <w:rsid w:val="101C0036"/>
    <w:rsid w:val="101C1DE4"/>
    <w:rsid w:val="101C3B92"/>
    <w:rsid w:val="101F1086"/>
    <w:rsid w:val="101F18D4"/>
    <w:rsid w:val="101F3682"/>
    <w:rsid w:val="101F7779"/>
    <w:rsid w:val="102313C5"/>
    <w:rsid w:val="10260EB5"/>
    <w:rsid w:val="10263F10"/>
    <w:rsid w:val="10282537"/>
    <w:rsid w:val="10284C2D"/>
    <w:rsid w:val="102A2906"/>
    <w:rsid w:val="102D2243"/>
    <w:rsid w:val="10345380"/>
    <w:rsid w:val="103A226A"/>
    <w:rsid w:val="103A670E"/>
    <w:rsid w:val="103F5AD3"/>
    <w:rsid w:val="10466E61"/>
    <w:rsid w:val="10473351"/>
    <w:rsid w:val="104A4BA3"/>
    <w:rsid w:val="104B091B"/>
    <w:rsid w:val="104B10D7"/>
    <w:rsid w:val="104D4C65"/>
    <w:rsid w:val="10507EB4"/>
    <w:rsid w:val="10516108"/>
    <w:rsid w:val="1053332C"/>
    <w:rsid w:val="105570A4"/>
    <w:rsid w:val="10563548"/>
    <w:rsid w:val="105772C0"/>
    <w:rsid w:val="105926A7"/>
    <w:rsid w:val="105C0433"/>
    <w:rsid w:val="105C48D7"/>
    <w:rsid w:val="105D6016"/>
    <w:rsid w:val="105E3912"/>
    <w:rsid w:val="106043C7"/>
    <w:rsid w:val="10613C9B"/>
    <w:rsid w:val="1063632A"/>
    <w:rsid w:val="1063700D"/>
    <w:rsid w:val="1066305F"/>
    <w:rsid w:val="10667690"/>
    <w:rsid w:val="10675755"/>
    <w:rsid w:val="1069219C"/>
    <w:rsid w:val="106A0DA2"/>
    <w:rsid w:val="106A2B50"/>
    <w:rsid w:val="106C1512"/>
    <w:rsid w:val="106F63B8"/>
    <w:rsid w:val="10710382"/>
    <w:rsid w:val="10725EA8"/>
    <w:rsid w:val="10741C20"/>
    <w:rsid w:val="10790FE5"/>
    <w:rsid w:val="107B3450"/>
    <w:rsid w:val="107B4D5D"/>
    <w:rsid w:val="107E3021"/>
    <w:rsid w:val="107F7EB6"/>
    <w:rsid w:val="10833C11"/>
    <w:rsid w:val="108654B0"/>
    <w:rsid w:val="108A31F2"/>
    <w:rsid w:val="108C51BC"/>
    <w:rsid w:val="108F0808"/>
    <w:rsid w:val="108F3402"/>
    <w:rsid w:val="10900D7E"/>
    <w:rsid w:val="109127D2"/>
    <w:rsid w:val="10914580"/>
    <w:rsid w:val="10923E54"/>
    <w:rsid w:val="10944070"/>
    <w:rsid w:val="10947BCD"/>
    <w:rsid w:val="10961B97"/>
    <w:rsid w:val="109B53FF"/>
    <w:rsid w:val="109B71AD"/>
    <w:rsid w:val="109D4BAC"/>
    <w:rsid w:val="10A00E68"/>
    <w:rsid w:val="10A00FBB"/>
    <w:rsid w:val="10A2678D"/>
    <w:rsid w:val="10A36062"/>
    <w:rsid w:val="10A51DDA"/>
    <w:rsid w:val="10A5627E"/>
    <w:rsid w:val="10A73DA4"/>
    <w:rsid w:val="10A83678"/>
    <w:rsid w:val="10A92CF2"/>
    <w:rsid w:val="10AA3894"/>
    <w:rsid w:val="10B162FD"/>
    <w:rsid w:val="10B30C0C"/>
    <w:rsid w:val="10B417FE"/>
    <w:rsid w:val="10B4201D"/>
    <w:rsid w:val="10B562D2"/>
    <w:rsid w:val="10B83A61"/>
    <w:rsid w:val="10B85FB1"/>
    <w:rsid w:val="10B95885"/>
    <w:rsid w:val="10BB15FD"/>
    <w:rsid w:val="10BF39F0"/>
    <w:rsid w:val="10BF7A6B"/>
    <w:rsid w:val="10C04E65"/>
    <w:rsid w:val="10C304B2"/>
    <w:rsid w:val="10C637D6"/>
    <w:rsid w:val="10C81F6C"/>
    <w:rsid w:val="10CA1840"/>
    <w:rsid w:val="10CC559A"/>
    <w:rsid w:val="10D42AC2"/>
    <w:rsid w:val="10D64689"/>
    <w:rsid w:val="10D75D0B"/>
    <w:rsid w:val="10D94C76"/>
    <w:rsid w:val="10E003A3"/>
    <w:rsid w:val="10E02E12"/>
    <w:rsid w:val="10E072B6"/>
    <w:rsid w:val="10E16B8A"/>
    <w:rsid w:val="10E2302E"/>
    <w:rsid w:val="10E270D2"/>
    <w:rsid w:val="10E30B54"/>
    <w:rsid w:val="10E721A2"/>
    <w:rsid w:val="10EA5A3E"/>
    <w:rsid w:val="10ED3781"/>
    <w:rsid w:val="10EF574B"/>
    <w:rsid w:val="10F15377"/>
    <w:rsid w:val="10F25551"/>
    <w:rsid w:val="10F468BD"/>
    <w:rsid w:val="10FC5772"/>
    <w:rsid w:val="10FD39C4"/>
    <w:rsid w:val="10FE5858"/>
    <w:rsid w:val="10FE773C"/>
    <w:rsid w:val="11000178"/>
    <w:rsid w:val="11025270"/>
    <w:rsid w:val="11032FA4"/>
    <w:rsid w:val="11034D52"/>
    <w:rsid w:val="11036AF9"/>
    <w:rsid w:val="11043272"/>
    <w:rsid w:val="11062EDA"/>
    <w:rsid w:val="11072A94"/>
    <w:rsid w:val="110864A9"/>
    <w:rsid w:val="1109192F"/>
    <w:rsid w:val="110A7E8F"/>
    <w:rsid w:val="110C00AB"/>
    <w:rsid w:val="110F36F7"/>
    <w:rsid w:val="110F67DD"/>
    <w:rsid w:val="111005E9"/>
    <w:rsid w:val="111331E7"/>
    <w:rsid w:val="11194576"/>
    <w:rsid w:val="111A38EF"/>
    <w:rsid w:val="111B6540"/>
    <w:rsid w:val="111D4066"/>
    <w:rsid w:val="111D5E14"/>
    <w:rsid w:val="111E1B8C"/>
    <w:rsid w:val="11203193"/>
    <w:rsid w:val="112076B2"/>
    <w:rsid w:val="112371A2"/>
    <w:rsid w:val="11254CC9"/>
    <w:rsid w:val="112847B9"/>
    <w:rsid w:val="112D0F7E"/>
    <w:rsid w:val="112E152D"/>
    <w:rsid w:val="112F3AFB"/>
    <w:rsid w:val="112F3D99"/>
    <w:rsid w:val="113118BF"/>
    <w:rsid w:val="11333231"/>
    <w:rsid w:val="113A4C18"/>
    <w:rsid w:val="113C38DE"/>
    <w:rsid w:val="113F5FA5"/>
    <w:rsid w:val="1142587A"/>
    <w:rsid w:val="11427629"/>
    <w:rsid w:val="114415F3"/>
    <w:rsid w:val="11447D7B"/>
    <w:rsid w:val="114A472F"/>
    <w:rsid w:val="114C04A7"/>
    <w:rsid w:val="114C494B"/>
    <w:rsid w:val="115410D2"/>
    <w:rsid w:val="115455AE"/>
    <w:rsid w:val="1157616F"/>
    <w:rsid w:val="11592BC4"/>
    <w:rsid w:val="115A03A0"/>
    <w:rsid w:val="115F1D70"/>
    <w:rsid w:val="116010A2"/>
    <w:rsid w:val="11603F53"/>
    <w:rsid w:val="11610C55"/>
    <w:rsid w:val="11625DC1"/>
    <w:rsid w:val="11643A43"/>
    <w:rsid w:val="11667EA0"/>
    <w:rsid w:val="116752E1"/>
    <w:rsid w:val="11695EA2"/>
    <w:rsid w:val="116C28F7"/>
    <w:rsid w:val="116C6D9B"/>
    <w:rsid w:val="116F23E8"/>
    <w:rsid w:val="116F4196"/>
    <w:rsid w:val="1170063A"/>
    <w:rsid w:val="11716160"/>
    <w:rsid w:val="11731ED8"/>
    <w:rsid w:val="1173520F"/>
    <w:rsid w:val="11750324"/>
    <w:rsid w:val="11765558"/>
    <w:rsid w:val="117C6F5C"/>
    <w:rsid w:val="117D4B05"/>
    <w:rsid w:val="11800151"/>
    <w:rsid w:val="118045F5"/>
    <w:rsid w:val="11847C41"/>
    <w:rsid w:val="11875983"/>
    <w:rsid w:val="11877731"/>
    <w:rsid w:val="118925A4"/>
    <w:rsid w:val="11895257"/>
    <w:rsid w:val="118F08B5"/>
    <w:rsid w:val="11902A8A"/>
    <w:rsid w:val="11936342"/>
    <w:rsid w:val="119500A0"/>
    <w:rsid w:val="11965BC6"/>
    <w:rsid w:val="119807DA"/>
    <w:rsid w:val="11980D24"/>
    <w:rsid w:val="119C142F"/>
    <w:rsid w:val="119F3AAA"/>
    <w:rsid w:val="11A007F3"/>
    <w:rsid w:val="11A025A1"/>
    <w:rsid w:val="11A20A5E"/>
    <w:rsid w:val="11A46535"/>
    <w:rsid w:val="11A622AD"/>
    <w:rsid w:val="11A74BC1"/>
    <w:rsid w:val="11A91F21"/>
    <w:rsid w:val="11A97BE4"/>
    <w:rsid w:val="11AA4801"/>
    <w:rsid w:val="11AA5C3E"/>
    <w:rsid w:val="11AB1672"/>
    <w:rsid w:val="11AD170A"/>
    <w:rsid w:val="11AE1162"/>
    <w:rsid w:val="11AE2F10"/>
    <w:rsid w:val="11B06C88"/>
    <w:rsid w:val="11B541BA"/>
    <w:rsid w:val="11B61D60"/>
    <w:rsid w:val="11B76268"/>
    <w:rsid w:val="11B81065"/>
    <w:rsid w:val="11B85B3D"/>
    <w:rsid w:val="11BC387F"/>
    <w:rsid w:val="11BF511D"/>
    <w:rsid w:val="11C20769"/>
    <w:rsid w:val="11C24C0D"/>
    <w:rsid w:val="11C31551"/>
    <w:rsid w:val="11C646FD"/>
    <w:rsid w:val="11CC15E8"/>
    <w:rsid w:val="11CE54FA"/>
    <w:rsid w:val="11D00824"/>
    <w:rsid w:val="11D02E86"/>
    <w:rsid w:val="11D230A2"/>
    <w:rsid w:val="11D34725"/>
    <w:rsid w:val="11D34C34"/>
    <w:rsid w:val="11D434DA"/>
    <w:rsid w:val="11D72467"/>
    <w:rsid w:val="11D87F8D"/>
    <w:rsid w:val="11DA27F1"/>
    <w:rsid w:val="11DB182B"/>
    <w:rsid w:val="11DB75EE"/>
    <w:rsid w:val="11DE7199"/>
    <w:rsid w:val="11E0238E"/>
    <w:rsid w:val="11E03822"/>
    <w:rsid w:val="11E13435"/>
    <w:rsid w:val="11E3705D"/>
    <w:rsid w:val="11E608FC"/>
    <w:rsid w:val="11E64458"/>
    <w:rsid w:val="11E66E88"/>
    <w:rsid w:val="11E9219A"/>
    <w:rsid w:val="11EC57E6"/>
    <w:rsid w:val="11F34DC7"/>
    <w:rsid w:val="11F50B3F"/>
    <w:rsid w:val="11F863E9"/>
    <w:rsid w:val="11FA7F03"/>
    <w:rsid w:val="11FC3292"/>
    <w:rsid w:val="11FC3C7B"/>
    <w:rsid w:val="11FF388A"/>
    <w:rsid w:val="12011292"/>
    <w:rsid w:val="12031173"/>
    <w:rsid w:val="120328B4"/>
    <w:rsid w:val="12046FD4"/>
    <w:rsid w:val="12072620"/>
    <w:rsid w:val="12080872"/>
    <w:rsid w:val="120B0362"/>
    <w:rsid w:val="120B24D6"/>
    <w:rsid w:val="120B3EBE"/>
    <w:rsid w:val="120E7E53"/>
    <w:rsid w:val="120F5CDE"/>
    <w:rsid w:val="12114AE5"/>
    <w:rsid w:val="1211524D"/>
    <w:rsid w:val="12121690"/>
    <w:rsid w:val="121216F1"/>
    <w:rsid w:val="12130FC5"/>
    <w:rsid w:val="1213426D"/>
    <w:rsid w:val="12145696"/>
    <w:rsid w:val="12146ED2"/>
    <w:rsid w:val="12152F8F"/>
    <w:rsid w:val="12154D3D"/>
    <w:rsid w:val="12161838"/>
    <w:rsid w:val="12163B1E"/>
    <w:rsid w:val="12166326"/>
    <w:rsid w:val="12174F59"/>
    <w:rsid w:val="121A05A5"/>
    <w:rsid w:val="121C5F83"/>
    <w:rsid w:val="121E094C"/>
    <w:rsid w:val="121E62E8"/>
    <w:rsid w:val="122338FE"/>
    <w:rsid w:val="1226519C"/>
    <w:rsid w:val="12280F14"/>
    <w:rsid w:val="12296A3A"/>
    <w:rsid w:val="1230601B"/>
    <w:rsid w:val="12320AD3"/>
    <w:rsid w:val="12323B41"/>
    <w:rsid w:val="123258EF"/>
    <w:rsid w:val="123563CC"/>
    <w:rsid w:val="1236287D"/>
    <w:rsid w:val="12394ECF"/>
    <w:rsid w:val="123A47A4"/>
    <w:rsid w:val="123B7E74"/>
    <w:rsid w:val="123E1747"/>
    <w:rsid w:val="123E7F36"/>
    <w:rsid w:val="123F13C6"/>
    <w:rsid w:val="12415B32"/>
    <w:rsid w:val="12424EB0"/>
    <w:rsid w:val="12444303"/>
    <w:rsid w:val="12473C0E"/>
    <w:rsid w:val="12483364"/>
    <w:rsid w:val="12486A9B"/>
    <w:rsid w:val="124A70DD"/>
    <w:rsid w:val="124D44D7"/>
    <w:rsid w:val="124E024F"/>
    <w:rsid w:val="124F5DD4"/>
    <w:rsid w:val="12546888"/>
    <w:rsid w:val="12555A81"/>
    <w:rsid w:val="12575356"/>
    <w:rsid w:val="125910CE"/>
    <w:rsid w:val="125E7D6E"/>
    <w:rsid w:val="12614426"/>
    <w:rsid w:val="12617F82"/>
    <w:rsid w:val="12635AA8"/>
    <w:rsid w:val="12635BF0"/>
    <w:rsid w:val="12655CC4"/>
    <w:rsid w:val="12665599"/>
    <w:rsid w:val="12681311"/>
    <w:rsid w:val="126857B5"/>
    <w:rsid w:val="12690DA6"/>
    <w:rsid w:val="126E269F"/>
    <w:rsid w:val="126E7466"/>
    <w:rsid w:val="126F6B43"/>
    <w:rsid w:val="12771554"/>
    <w:rsid w:val="127759F8"/>
    <w:rsid w:val="127952CC"/>
    <w:rsid w:val="127A41FE"/>
    <w:rsid w:val="127A6C16"/>
    <w:rsid w:val="127C2A06"/>
    <w:rsid w:val="127F48AC"/>
    <w:rsid w:val="127F665A"/>
    <w:rsid w:val="12807CE9"/>
    <w:rsid w:val="128418B0"/>
    <w:rsid w:val="12850115"/>
    <w:rsid w:val="12851EC3"/>
    <w:rsid w:val="1286241A"/>
    <w:rsid w:val="128771E6"/>
    <w:rsid w:val="1288550F"/>
    <w:rsid w:val="128A74D9"/>
    <w:rsid w:val="128C37B9"/>
    <w:rsid w:val="128E0BAC"/>
    <w:rsid w:val="128E1953"/>
    <w:rsid w:val="128F36DE"/>
    <w:rsid w:val="12922832"/>
    <w:rsid w:val="12932551"/>
    <w:rsid w:val="129430A6"/>
    <w:rsid w:val="1295570C"/>
    <w:rsid w:val="12955E7E"/>
    <w:rsid w:val="12957C2C"/>
    <w:rsid w:val="12970E3D"/>
    <w:rsid w:val="12977E48"/>
    <w:rsid w:val="129A7405"/>
    <w:rsid w:val="129B16E6"/>
    <w:rsid w:val="129C3CE3"/>
    <w:rsid w:val="129C720C"/>
    <w:rsid w:val="12A14823"/>
    <w:rsid w:val="12A32349"/>
    <w:rsid w:val="12A33082"/>
    <w:rsid w:val="12A460C1"/>
    <w:rsid w:val="12A52565"/>
    <w:rsid w:val="12A6008B"/>
    <w:rsid w:val="12A702B4"/>
    <w:rsid w:val="12A90552"/>
    <w:rsid w:val="12AA7129"/>
    <w:rsid w:val="12B207DE"/>
    <w:rsid w:val="12B75DF4"/>
    <w:rsid w:val="12B91B6C"/>
    <w:rsid w:val="12B93D2B"/>
    <w:rsid w:val="12B96B30"/>
    <w:rsid w:val="12BB6334"/>
    <w:rsid w:val="12BF6B55"/>
    <w:rsid w:val="12C62AEB"/>
    <w:rsid w:val="12C7247D"/>
    <w:rsid w:val="12C81DAF"/>
    <w:rsid w:val="12C91B96"/>
    <w:rsid w:val="12CA1B73"/>
    <w:rsid w:val="12CA33DE"/>
    <w:rsid w:val="12CA5B28"/>
    <w:rsid w:val="12CD1ABC"/>
    <w:rsid w:val="12CD5618"/>
    <w:rsid w:val="12D60970"/>
    <w:rsid w:val="12D73FFC"/>
    <w:rsid w:val="12D82A7F"/>
    <w:rsid w:val="12DA1C81"/>
    <w:rsid w:val="12DB5F87"/>
    <w:rsid w:val="12DC585B"/>
    <w:rsid w:val="12DF0704"/>
    <w:rsid w:val="12E070F9"/>
    <w:rsid w:val="12E30C1F"/>
    <w:rsid w:val="12E34E3B"/>
    <w:rsid w:val="12E45D11"/>
    <w:rsid w:val="12E50BB3"/>
    <w:rsid w:val="12E56E05"/>
    <w:rsid w:val="12E7492B"/>
    <w:rsid w:val="12E765E7"/>
    <w:rsid w:val="12EA15F7"/>
    <w:rsid w:val="12EC0194"/>
    <w:rsid w:val="12ED5CBA"/>
    <w:rsid w:val="12F157AA"/>
    <w:rsid w:val="12F2507E"/>
    <w:rsid w:val="12F26E2C"/>
    <w:rsid w:val="12F40DF6"/>
    <w:rsid w:val="12F52399"/>
    <w:rsid w:val="12F64B6E"/>
    <w:rsid w:val="12F70399"/>
    <w:rsid w:val="12F708E7"/>
    <w:rsid w:val="12F812AB"/>
    <w:rsid w:val="12F86B39"/>
    <w:rsid w:val="12F9640D"/>
    <w:rsid w:val="13001549"/>
    <w:rsid w:val="130059ED"/>
    <w:rsid w:val="130152C1"/>
    <w:rsid w:val="13023513"/>
    <w:rsid w:val="13031039"/>
    <w:rsid w:val="13051255"/>
    <w:rsid w:val="13053004"/>
    <w:rsid w:val="130538AF"/>
    <w:rsid w:val="13073E43"/>
    <w:rsid w:val="13076D7C"/>
    <w:rsid w:val="13080DA0"/>
    <w:rsid w:val="13092230"/>
    <w:rsid w:val="130A686C"/>
    <w:rsid w:val="130C25E4"/>
    <w:rsid w:val="130C6140"/>
    <w:rsid w:val="130C72C5"/>
    <w:rsid w:val="130E712E"/>
    <w:rsid w:val="13102103"/>
    <w:rsid w:val="13103CCD"/>
    <w:rsid w:val="13117A56"/>
    <w:rsid w:val="13117BFA"/>
    <w:rsid w:val="13135720"/>
    <w:rsid w:val="1317177A"/>
    <w:rsid w:val="13191FE5"/>
    <w:rsid w:val="131E09A9"/>
    <w:rsid w:val="131E2317"/>
    <w:rsid w:val="13201BEB"/>
    <w:rsid w:val="132A2A6A"/>
    <w:rsid w:val="132E1098"/>
    <w:rsid w:val="13313DF9"/>
    <w:rsid w:val="1332191F"/>
    <w:rsid w:val="133438E9"/>
    <w:rsid w:val="133455FC"/>
    <w:rsid w:val="13367661"/>
    <w:rsid w:val="13370CE3"/>
    <w:rsid w:val="133833D9"/>
    <w:rsid w:val="133D1120"/>
    <w:rsid w:val="1340228E"/>
    <w:rsid w:val="13404ED0"/>
    <w:rsid w:val="13434203"/>
    <w:rsid w:val="134358DA"/>
    <w:rsid w:val="134359E6"/>
    <w:rsid w:val="1344404F"/>
    <w:rsid w:val="13453400"/>
    <w:rsid w:val="13457A35"/>
    <w:rsid w:val="13477178"/>
    <w:rsid w:val="134C6044"/>
    <w:rsid w:val="13501778"/>
    <w:rsid w:val="13516249"/>
    <w:rsid w:val="13527AD8"/>
    <w:rsid w:val="135327C5"/>
    <w:rsid w:val="13533D6F"/>
    <w:rsid w:val="13561AB1"/>
    <w:rsid w:val="1356385F"/>
    <w:rsid w:val="13596EAB"/>
    <w:rsid w:val="135C1D2F"/>
    <w:rsid w:val="1360023A"/>
    <w:rsid w:val="13622204"/>
    <w:rsid w:val="13634B43"/>
    <w:rsid w:val="136715C8"/>
    <w:rsid w:val="13672C4C"/>
    <w:rsid w:val="1367781A"/>
    <w:rsid w:val="136878D7"/>
    <w:rsid w:val="13693592"/>
    <w:rsid w:val="13696CAD"/>
    <w:rsid w:val="136971E9"/>
    <w:rsid w:val="136A10B9"/>
    <w:rsid w:val="136A13A7"/>
    <w:rsid w:val="136A730B"/>
    <w:rsid w:val="136B15CD"/>
    <w:rsid w:val="136C3083"/>
    <w:rsid w:val="136C562E"/>
    <w:rsid w:val="13712452"/>
    <w:rsid w:val="137361BF"/>
    <w:rsid w:val="137912FC"/>
    <w:rsid w:val="137B5074"/>
    <w:rsid w:val="137E0050"/>
    <w:rsid w:val="137F2DB6"/>
    <w:rsid w:val="13824654"/>
    <w:rsid w:val="13854144"/>
    <w:rsid w:val="13854D45"/>
    <w:rsid w:val="138959E3"/>
    <w:rsid w:val="138A0BB7"/>
    <w:rsid w:val="138A67AC"/>
    <w:rsid w:val="138B2047"/>
    <w:rsid w:val="138E4DA7"/>
    <w:rsid w:val="13900717"/>
    <w:rsid w:val="13906D71"/>
    <w:rsid w:val="13914897"/>
    <w:rsid w:val="139309D1"/>
    <w:rsid w:val="139323BD"/>
    <w:rsid w:val="13950604"/>
    <w:rsid w:val="13964589"/>
    <w:rsid w:val="139645AB"/>
    <w:rsid w:val="13975A19"/>
    <w:rsid w:val="13983E78"/>
    <w:rsid w:val="139A199E"/>
    <w:rsid w:val="139B5716"/>
    <w:rsid w:val="139B77A7"/>
    <w:rsid w:val="139C0DF5"/>
    <w:rsid w:val="139D323C"/>
    <w:rsid w:val="139D4FEA"/>
    <w:rsid w:val="139E0D62"/>
    <w:rsid w:val="13A10F7E"/>
    <w:rsid w:val="13A1426D"/>
    <w:rsid w:val="13A377FC"/>
    <w:rsid w:val="13A4281C"/>
    <w:rsid w:val="13A55725"/>
    <w:rsid w:val="13A91BE1"/>
    <w:rsid w:val="13AA5959"/>
    <w:rsid w:val="13AC059F"/>
    <w:rsid w:val="13AC16D1"/>
    <w:rsid w:val="13B0210D"/>
    <w:rsid w:val="13B30CB1"/>
    <w:rsid w:val="13B31898"/>
    <w:rsid w:val="13B81E24"/>
    <w:rsid w:val="13B87923"/>
    <w:rsid w:val="13BA0375"/>
    <w:rsid w:val="13BA2040"/>
    <w:rsid w:val="13BD568C"/>
    <w:rsid w:val="13C102B6"/>
    <w:rsid w:val="13C133CE"/>
    <w:rsid w:val="13C13492"/>
    <w:rsid w:val="13C20EF5"/>
    <w:rsid w:val="13CB5FFB"/>
    <w:rsid w:val="13CB7DA9"/>
    <w:rsid w:val="13CC58CF"/>
    <w:rsid w:val="13CD4D8B"/>
    <w:rsid w:val="13D306EB"/>
    <w:rsid w:val="13D5058C"/>
    <w:rsid w:val="13D529D6"/>
    <w:rsid w:val="13D749A0"/>
    <w:rsid w:val="13D766EE"/>
    <w:rsid w:val="13D94479"/>
    <w:rsid w:val="13DA2F6E"/>
    <w:rsid w:val="13DA6107"/>
    <w:rsid w:val="13DD188A"/>
    <w:rsid w:val="13DD7ADC"/>
    <w:rsid w:val="13DF0B38"/>
    <w:rsid w:val="13DF0DF5"/>
    <w:rsid w:val="13DF5603"/>
    <w:rsid w:val="13E03AF5"/>
    <w:rsid w:val="13E44050"/>
    <w:rsid w:val="13E470BD"/>
    <w:rsid w:val="13E7095B"/>
    <w:rsid w:val="13E72709"/>
    <w:rsid w:val="13E9022F"/>
    <w:rsid w:val="13EC5F71"/>
    <w:rsid w:val="13EC7D20"/>
    <w:rsid w:val="13ED13E4"/>
    <w:rsid w:val="13ED41C3"/>
    <w:rsid w:val="13EF6BBB"/>
    <w:rsid w:val="13F015BE"/>
    <w:rsid w:val="13F51386"/>
    <w:rsid w:val="13F55F77"/>
    <w:rsid w:val="13F76DF0"/>
    <w:rsid w:val="13FA068E"/>
    <w:rsid w:val="13FC61B5"/>
    <w:rsid w:val="140137CB"/>
    <w:rsid w:val="14016C62"/>
    <w:rsid w:val="14065285"/>
    <w:rsid w:val="14072C6F"/>
    <w:rsid w:val="140B464A"/>
    <w:rsid w:val="140E413A"/>
    <w:rsid w:val="140E7C96"/>
    <w:rsid w:val="14100781"/>
    <w:rsid w:val="14100D50"/>
    <w:rsid w:val="14137C0C"/>
    <w:rsid w:val="141436B9"/>
    <w:rsid w:val="1415204F"/>
    <w:rsid w:val="141A663B"/>
    <w:rsid w:val="14230D4E"/>
    <w:rsid w:val="14264FE0"/>
    <w:rsid w:val="142676D5"/>
    <w:rsid w:val="14315DF3"/>
    <w:rsid w:val="14327E28"/>
    <w:rsid w:val="143376FC"/>
    <w:rsid w:val="14346991"/>
    <w:rsid w:val="1437172E"/>
    <w:rsid w:val="1437543F"/>
    <w:rsid w:val="143771ED"/>
    <w:rsid w:val="1438692E"/>
    <w:rsid w:val="14395A4F"/>
    <w:rsid w:val="14397409"/>
    <w:rsid w:val="143A62A9"/>
    <w:rsid w:val="143A6C6E"/>
    <w:rsid w:val="143E4A1F"/>
    <w:rsid w:val="14444988"/>
    <w:rsid w:val="14445DAD"/>
    <w:rsid w:val="144500EB"/>
    <w:rsid w:val="14454D92"/>
    <w:rsid w:val="1446546B"/>
    <w:rsid w:val="14477A65"/>
    <w:rsid w:val="1448764C"/>
    <w:rsid w:val="144933C4"/>
    <w:rsid w:val="144C07BE"/>
    <w:rsid w:val="14515DD5"/>
    <w:rsid w:val="145204CA"/>
    <w:rsid w:val="14531B4D"/>
    <w:rsid w:val="14551D69"/>
    <w:rsid w:val="14557631"/>
    <w:rsid w:val="145958D9"/>
    <w:rsid w:val="145B3B2C"/>
    <w:rsid w:val="145C4FD4"/>
    <w:rsid w:val="145E6E6F"/>
    <w:rsid w:val="14612B95"/>
    <w:rsid w:val="14613BE9"/>
    <w:rsid w:val="14641FAC"/>
    <w:rsid w:val="14657798"/>
    <w:rsid w:val="14687DD5"/>
    <w:rsid w:val="146A0B88"/>
    <w:rsid w:val="146B158C"/>
    <w:rsid w:val="146B333A"/>
    <w:rsid w:val="146B50E8"/>
    <w:rsid w:val="146C06FC"/>
    <w:rsid w:val="146D6CF9"/>
    <w:rsid w:val="1470787A"/>
    <w:rsid w:val="14713B1A"/>
    <w:rsid w:val="14740441"/>
    <w:rsid w:val="1475573F"/>
    <w:rsid w:val="14757415"/>
    <w:rsid w:val="14770D55"/>
    <w:rsid w:val="14785D3D"/>
    <w:rsid w:val="147B4372"/>
    <w:rsid w:val="147C72F5"/>
    <w:rsid w:val="147F0B94"/>
    <w:rsid w:val="147F2942"/>
    <w:rsid w:val="147F49DD"/>
    <w:rsid w:val="14801499"/>
    <w:rsid w:val="14811289"/>
    <w:rsid w:val="14812B5E"/>
    <w:rsid w:val="148137BC"/>
    <w:rsid w:val="1481490C"/>
    <w:rsid w:val="14821692"/>
    <w:rsid w:val="148529D3"/>
    <w:rsid w:val="14883EEC"/>
    <w:rsid w:val="14887A48"/>
    <w:rsid w:val="148A7C64"/>
    <w:rsid w:val="148B578A"/>
    <w:rsid w:val="148D505F"/>
    <w:rsid w:val="148F527B"/>
    <w:rsid w:val="14900FF3"/>
    <w:rsid w:val="14916D56"/>
    <w:rsid w:val="1494463F"/>
    <w:rsid w:val="149503B7"/>
    <w:rsid w:val="14952100"/>
    <w:rsid w:val="14974B31"/>
    <w:rsid w:val="14977C8B"/>
    <w:rsid w:val="149A59CD"/>
    <w:rsid w:val="149C34F4"/>
    <w:rsid w:val="149D6AD6"/>
    <w:rsid w:val="149E54BE"/>
    <w:rsid w:val="14A32AD4"/>
    <w:rsid w:val="14A50970"/>
    <w:rsid w:val="14A800EA"/>
    <w:rsid w:val="14A8264D"/>
    <w:rsid w:val="14A83D2A"/>
    <w:rsid w:val="14A901D1"/>
    <w:rsid w:val="14A979BF"/>
    <w:rsid w:val="14AB3737"/>
    <w:rsid w:val="14AC2E0B"/>
    <w:rsid w:val="14AD4E8A"/>
    <w:rsid w:val="14AE48DA"/>
    <w:rsid w:val="14AF76CB"/>
    <w:rsid w:val="14B051F1"/>
    <w:rsid w:val="14B106F3"/>
    <w:rsid w:val="14B15431"/>
    <w:rsid w:val="14B451F8"/>
    <w:rsid w:val="14B46A8F"/>
    <w:rsid w:val="14B84F99"/>
    <w:rsid w:val="14B922F8"/>
    <w:rsid w:val="14BA55A9"/>
    <w:rsid w:val="14BC3B96"/>
    <w:rsid w:val="14BE16BC"/>
    <w:rsid w:val="14BE346A"/>
    <w:rsid w:val="14BF71E2"/>
    <w:rsid w:val="14C30A80"/>
    <w:rsid w:val="14C47E3E"/>
    <w:rsid w:val="14C50C9C"/>
    <w:rsid w:val="14C64A14"/>
    <w:rsid w:val="14C8078D"/>
    <w:rsid w:val="14C8253B"/>
    <w:rsid w:val="14C94663"/>
    <w:rsid w:val="14C97D21"/>
    <w:rsid w:val="14CB202B"/>
    <w:rsid w:val="14CB5B87"/>
    <w:rsid w:val="14CC4545"/>
    <w:rsid w:val="14CD18FF"/>
    <w:rsid w:val="14D07641"/>
    <w:rsid w:val="14D302E6"/>
    <w:rsid w:val="14D50CD3"/>
    <w:rsid w:val="14D514F5"/>
    <w:rsid w:val="14D64C58"/>
    <w:rsid w:val="14D67542"/>
    <w:rsid w:val="14D7452C"/>
    <w:rsid w:val="14DB47EB"/>
    <w:rsid w:val="14DC5FE6"/>
    <w:rsid w:val="14DC7D94"/>
    <w:rsid w:val="14DD26BC"/>
    <w:rsid w:val="14DD53DE"/>
    <w:rsid w:val="14E07535"/>
    <w:rsid w:val="14E1184E"/>
    <w:rsid w:val="14E135FC"/>
    <w:rsid w:val="14E46C49"/>
    <w:rsid w:val="14E535D0"/>
    <w:rsid w:val="14E54E9B"/>
    <w:rsid w:val="14E804E7"/>
    <w:rsid w:val="14EF1875"/>
    <w:rsid w:val="14F11A91"/>
    <w:rsid w:val="14F16167"/>
    <w:rsid w:val="14F37395"/>
    <w:rsid w:val="14F50E56"/>
    <w:rsid w:val="14F926F4"/>
    <w:rsid w:val="14FA7C95"/>
    <w:rsid w:val="14FC1799"/>
    <w:rsid w:val="14FE5F5C"/>
    <w:rsid w:val="15003A82"/>
    <w:rsid w:val="15015A4D"/>
    <w:rsid w:val="15023C9F"/>
    <w:rsid w:val="15080B89"/>
    <w:rsid w:val="15086875"/>
    <w:rsid w:val="150B1592"/>
    <w:rsid w:val="150D0F8A"/>
    <w:rsid w:val="150D2643"/>
    <w:rsid w:val="15113B55"/>
    <w:rsid w:val="15177F3A"/>
    <w:rsid w:val="15190579"/>
    <w:rsid w:val="151A266A"/>
    <w:rsid w:val="151E65FF"/>
    <w:rsid w:val="151F75E6"/>
    <w:rsid w:val="152010FF"/>
    <w:rsid w:val="152346F9"/>
    <w:rsid w:val="152446DB"/>
    <w:rsid w:val="15247B8E"/>
    <w:rsid w:val="1525173B"/>
    <w:rsid w:val="15261B20"/>
    <w:rsid w:val="15267261"/>
    <w:rsid w:val="1527196A"/>
    <w:rsid w:val="15282FD9"/>
    <w:rsid w:val="15284D87"/>
    <w:rsid w:val="152A3A00"/>
    <w:rsid w:val="152A4FA3"/>
    <w:rsid w:val="152A6D51"/>
    <w:rsid w:val="152D0EF1"/>
    <w:rsid w:val="152E4A94"/>
    <w:rsid w:val="153100E0"/>
    <w:rsid w:val="153876C0"/>
    <w:rsid w:val="15393438"/>
    <w:rsid w:val="153D1553"/>
    <w:rsid w:val="153D4CD7"/>
    <w:rsid w:val="153E0A4F"/>
    <w:rsid w:val="153E27FD"/>
    <w:rsid w:val="153E45AB"/>
    <w:rsid w:val="153F59EA"/>
    <w:rsid w:val="154046AE"/>
    <w:rsid w:val="15430807"/>
    <w:rsid w:val="1546345F"/>
    <w:rsid w:val="154716B1"/>
    <w:rsid w:val="15475B55"/>
    <w:rsid w:val="15477903"/>
    <w:rsid w:val="154A2F50"/>
    <w:rsid w:val="154A307A"/>
    <w:rsid w:val="154C60E2"/>
    <w:rsid w:val="154F0566"/>
    <w:rsid w:val="154F78BE"/>
    <w:rsid w:val="15510782"/>
    <w:rsid w:val="1551146D"/>
    <w:rsid w:val="155142DE"/>
    <w:rsid w:val="15520056"/>
    <w:rsid w:val="155344FA"/>
    <w:rsid w:val="15542020"/>
    <w:rsid w:val="1555652D"/>
    <w:rsid w:val="15595889"/>
    <w:rsid w:val="155C2C83"/>
    <w:rsid w:val="155C4A63"/>
    <w:rsid w:val="155D7127"/>
    <w:rsid w:val="155E2E9F"/>
    <w:rsid w:val="155E7D1F"/>
    <w:rsid w:val="156009C5"/>
    <w:rsid w:val="15604521"/>
    <w:rsid w:val="156204D3"/>
    <w:rsid w:val="15634011"/>
    <w:rsid w:val="15651F98"/>
    <w:rsid w:val="15655021"/>
    <w:rsid w:val="156A35F2"/>
    <w:rsid w:val="156C1118"/>
    <w:rsid w:val="156D4E90"/>
    <w:rsid w:val="156D58F9"/>
    <w:rsid w:val="1571672E"/>
    <w:rsid w:val="1573694A"/>
    <w:rsid w:val="15741F45"/>
    <w:rsid w:val="15782753"/>
    <w:rsid w:val="157B75AD"/>
    <w:rsid w:val="157C0F6F"/>
    <w:rsid w:val="157D1577"/>
    <w:rsid w:val="157D3325"/>
    <w:rsid w:val="157D64AF"/>
    <w:rsid w:val="157D65D4"/>
    <w:rsid w:val="157D7DC6"/>
    <w:rsid w:val="157E5460"/>
    <w:rsid w:val="157F52EF"/>
    <w:rsid w:val="15812789"/>
    <w:rsid w:val="15877D00"/>
    <w:rsid w:val="15883A78"/>
    <w:rsid w:val="158A3C94"/>
    <w:rsid w:val="158C2BF3"/>
    <w:rsid w:val="158C3568"/>
    <w:rsid w:val="158F4E06"/>
    <w:rsid w:val="159348F7"/>
    <w:rsid w:val="1594241D"/>
    <w:rsid w:val="159468C1"/>
    <w:rsid w:val="15997A33"/>
    <w:rsid w:val="159D5775"/>
    <w:rsid w:val="159E329B"/>
    <w:rsid w:val="159E6A4E"/>
    <w:rsid w:val="15A16E73"/>
    <w:rsid w:val="15A20D98"/>
    <w:rsid w:val="15A42761"/>
    <w:rsid w:val="15A45C82"/>
    <w:rsid w:val="15A54517"/>
    <w:rsid w:val="15A7573A"/>
    <w:rsid w:val="15A9411A"/>
    <w:rsid w:val="15AA48A7"/>
    <w:rsid w:val="15AC7766"/>
    <w:rsid w:val="15B00679"/>
    <w:rsid w:val="15B17473"/>
    <w:rsid w:val="15B43B6F"/>
    <w:rsid w:val="15B450DE"/>
    <w:rsid w:val="15B51BFC"/>
    <w:rsid w:val="15B8172A"/>
    <w:rsid w:val="15B825AF"/>
    <w:rsid w:val="15B8610B"/>
    <w:rsid w:val="15BB3E4D"/>
    <w:rsid w:val="15BC1451"/>
    <w:rsid w:val="15BC2B22"/>
    <w:rsid w:val="15BD1974"/>
    <w:rsid w:val="15BF44EA"/>
    <w:rsid w:val="15C01464"/>
    <w:rsid w:val="15C0597A"/>
    <w:rsid w:val="15C245AC"/>
    <w:rsid w:val="15C34AB0"/>
    <w:rsid w:val="15CC022F"/>
    <w:rsid w:val="15CE3B81"/>
    <w:rsid w:val="15D13671"/>
    <w:rsid w:val="15D13ECB"/>
    <w:rsid w:val="15D223DB"/>
    <w:rsid w:val="15D32254"/>
    <w:rsid w:val="15D32442"/>
    <w:rsid w:val="15D46CBD"/>
    <w:rsid w:val="15D51A4A"/>
    <w:rsid w:val="15D529D2"/>
    <w:rsid w:val="15D54F0F"/>
    <w:rsid w:val="15D674BA"/>
    <w:rsid w:val="15D75A18"/>
    <w:rsid w:val="15D947F4"/>
    <w:rsid w:val="15DA2525"/>
    <w:rsid w:val="15DB44F0"/>
    <w:rsid w:val="15DD2A90"/>
    <w:rsid w:val="15DD7DFD"/>
    <w:rsid w:val="15DE18EA"/>
    <w:rsid w:val="15DE1D23"/>
    <w:rsid w:val="15E07FEC"/>
    <w:rsid w:val="15E10FC5"/>
    <w:rsid w:val="15E11B06"/>
    <w:rsid w:val="15E2587E"/>
    <w:rsid w:val="15E45152"/>
    <w:rsid w:val="15E56E19"/>
    <w:rsid w:val="15E84AC2"/>
    <w:rsid w:val="15E84B86"/>
    <w:rsid w:val="15E941B7"/>
    <w:rsid w:val="15EB4733"/>
    <w:rsid w:val="15EC3507"/>
    <w:rsid w:val="15EC411F"/>
    <w:rsid w:val="15F01D49"/>
    <w:rsid w:val="15F07F9B"/>
    <w:rsid w:val="15F108DE"/>
    <w:rsid w:val="15F20809"/>
    <w:rsid w:val="15F333DA"/>
    <w:rsid w:val="15F335E7"/>
    <w:rsid w:val="15F64E85"/>
    <w:rsid w:val="15F82AD1"/>
    <w:rsid w:val="15F86E50"/>
    <w:rsid w:val="15F943A0"/>
    <w:rsid w:val="15FB06EE"/>
    <w:rsid w:val="15FC6940"/>
    <w:rsid w:val="15FD3AB1"/>
    <w:rsid w:val="15FD7FC2"/>
    <w:rsid w:val="15FE458D"/>
    <w:rsid w:val="15FF1F8C"/>
    <w:rsid w:val="15FF3D3A"/>
    <w:rsid w:val="160012C5"/>
    <w:rsid w:val="1601480E"/>
    <w:rsid w:val="160202FE"/>
    <w:rsid w:val="16027CCE"/>
    <w:rsid w:val="16041350"/>
    <w:rsid w:val="16062EAF"/>
    <w:rsid w:val="16070E41"/>
    <w:rsid w:val="16092E0B"/>
    <w:rsid w:val="160A20C3"/>
    <w:rsid w:val="160B0931"/>
    <w:rsid w:val="160B6B83"/>
    <w:rsid w:val="160C46A9"/>
    <w:rsid w:val="160E3E08"/>
    <w:rsid w:val="160F7935"/>
    <w:rsid w:val="160F7CF5"/>
    <w:rsid w:val="16113A6D"/>
    <w:rsid w:val="16117F11"/>
    <w:rsid w:val="16133C89"/>
    <w:rsid w:val="161377E5"/>
    <w:rsid w:val="16146FB3"/>
    <w:rsid w:val="161517B0"/>
    <w:rsid w:val="161547DB"/>
    <w:rsid w:val="16157A01"/>
    <w:rsid w:val="16176CCC"/>
    <w:rsid w:val="161812A0"/>
    <w:rsid w:val="161A5018"/>
    <w:rsid w:val="161D0664"/>
    <w:rsid w:val="161F409A"/>
    <w:rsid w:val="16201F02"/>
    <w:rsid w:val="16225C7A"/>
    <w:rsid w:val="16297009"/>
    <w:rsid w:val="162B0FD3"/>
    <w:rsid w:val="162B2D81"/>
    <w:rsid w:val="162C6AF9"/>
    <w:rsid w:val="163065E9"/>
    <w:rsid w:val="16327D9F"/>
    <w:rsid w:val="16337B04"/>
    <w:rsid w:val="16351E52"/>
    <w:rsid w:val="163836F0"/>
    <w:rsid w:val="1638724C"/>
    <w:rsid w:val="163C4F8E"/>
    <w:rsid w:val="163D4862"/>
    <w:rsid w:val="164200CB"/>
    <w:rsid w:val="164248D0"/>
    <w:rsid w:val="16426A1B"/>
    <w:rsid w:val="16445BF1"/>
    <w:rsid w:val="16473933"/>
    <w:rsid w:val="1647748F"/>
    <w:rsid w:val="164976AB"/>
    <w:rsid w:val="164B51D1"/>
    <w:rsid w:val="164D7072"/>
    <w:rsid w:val="164D719B"/>
    <w:rsid w:val="165072F3"/>
    <w:rsid w:val="16573B76"/>
    <w:rsid w:val="16583BB2"/>
    <w:rsid w:val="16592588"/>
    <w:rsid w:val="165A5414"/>
    <w:rsid w:val="165B16EA"/>
    <w:rsid w:val="165D6CB3"/>
    <w:rsid w:val="165F2466"/>
    <w:rsid w:val="165F7830"/>
    <w:rsid w:val="166149F5"/>
    <w:rsid w:val="166167A3"/>
    <w:rsid w:val="166444E5"/>
    <w:rsid w:val="16663DB9"/>
    <w:rsid w:val="166718DF"/>
    <w:rsid w:val="16677B31"/>
    <w:rsid w:val="16691A12"/>
    <w:rsid w:val="166D1169"/>
    <w:rsid w:val="166E2C6E"/>
    <w:rsid w:val="166E7112"/>
    <w:rsid w:val="166F1A6C"/>
    <w:rsid w:val="1670443A"/>
    <w:rsid w:val="16704C38"/>
    <w:rsid w:val="16710BAE"/>
    <w:rsid w:val="167364D6"/>
    <w:rsid w:val="1675224E"/>
    <w:rsid w:val="16753FFC"/>
    <w:rsid w:val="1678091D"/>
    <w:rsid w:val="16796819"/>
    <w:rsid w:val="167A7865"/>
    <w:rsid w:val="167C35DD"/>
    <w:rsid w:val="167D0B2D"/>
    <w:rsid w:val="167D7355"/>
    <w:rsid w:val="16810CFF"/>
    <w:rsid w:val="16846935"/>
    <w:rsid w:val="16852D9F"/>
    <w:rsid w:val="16886A96"/>
    <w:rsid w:val="168A2AF7"/>
    <w:rsid w:val="168D721F"/>
    <w:rsid w:val="16907088"/>
    <w:rsid w:val="16921052"/>
    <w:rsid w:val="169326D4"/>
    <w:rsid w:val="1694677A"/>
    <w:rsid w:val="16946B78"/>
    <w:rsid w:val="169528F0"/>
    <w:rsid w:val="1695469E"/>
    <w:rsid w:val="16970417"/>
    <w:rsid w:val="16986035"/>
    <w:rsid w:val="169A3A63"/>
    <w:rsid w:val="169C3C7F"/>
    <w:rsid w:val="169C5551"/>
    <w:rsid w:val="16A2220E"/>
    <w:rsid w:val="16A30A85"/>
    <w:rsid w:val="16A91EF8"/>
    <w:rsid w:val="16A94649"/>
    <w:rsid w:val="16AA22BF"/>
    <w:rsid w:val="16AB2114"/>
    <w:rsid w:val="16AD19E8"/>
    <w:rsid w:val="16AD7C3A"/>
    <w:rsid w:val="16B0136B"/>
    <w:rsid w:val="16B014D8"/>
    <w:rsid w:val="16B20DAC"/>
    <w:rsid w:val="16B234A2"/>
    <w:rsid w:val="16B55AB3"/>
    <w:rsid w:val="16B71B14"/>
    <w:rsid w:val="16B849F9"/>
    <w:rsid w:val="16B9038D"/>
    <w:rsid w:val="16BC60CF"/>
    <w:rsid w:val="16BE1E47"/>
    <w:rsid w:val="16BF796D"/>
    <w:rsid w:val="16C15797"/>
    <w:rsid w:val="16C200B7"/>
    <w:rsid w:val="16C61609"/>
    <w:rsid w:val="16C805D0"/>
    <w:rsid w:val="16C86822"/>
    <w:rsid w:val="16CA1169"/>
    <w:rsid w:val="16CC23A5"/>
    <w:rsid w:val="16CD4552"/>
    <w:rsid w:val="16CF122B"/>
    <w:rsid w:val="16CF1BD5"/>
    <w:rsid w:val="16CF4C6C"/>
    <w:rsid w:val="16CF7BB0"/>
    <w:rsid w:val="16D03928"/>
    <w:rsid w:val="16D43419"/>
    <w:rsid w:val="16D57191"/>
    <w:rsid w:val="16DA0303"/>
    <w:rsid w:val="16DD37CA"/>
    <w:rsid w:val="16E11692"/>
    <w:rsid w:val="16E15B36"/>
    <w:rsid w:val="16E178E4"/>
    <w:rsid w:val="16E3365C"/>
    <w:rsid w:val="16E4260B"/>
    <w:rsid w:val="16E44C4A"/>
    <w:rsid w:val="16E605FD"/>
    <w:rsid w:val="16E6314C"/>
    <w:rsid w:val="16E648E1"/>
    <w:rsid w:val="16E66CA8"/>
    <w:rsid w:val="16E93262"/>
    <w:rsid w:val="16EA49EA"/>
    <w:rsid w:val="16EA5E33"/>
    <w:rsid w:val="16EB2148"/>
    <w:rsid w:val="16EB29C9"/>
    <w:rsid w:val="16F01768"/>
    <w:rsid w:val="16F05D79"/>
    <w:rsid w:val="16F072C1"/>
    <w:rsid w:val="16F13FCB"/>
    <w:rsid w:val="16F50F0B"/>
    <w:rsid w:val="16F615E1"/>
    <w:rsid w:val="16F72C63"/>
    <w:rsid w:val="16F75359"/>
    <w:rsid w:val="16FA2753"/>
    <w:rsid w:val="16FC296F"/>
    <w:rsid w:val="16FE2244"/>
    <w:rsid w:val="16FF7D6A"/>
    <w:rsid w:val="170267BF"/>
    <w:rsid w:val="1703448C"/>
    <w:rsid w:val="170369D9"/>
    <w:rsid w:val="170535D2"/>
    <w:rsid w:val="17062EEA"/>
    <w:rsid w:val="170A1837"/>
    <w:rsid w:val="170C0E0F"/>
    <w:rsid w:val="170C6718"/>
    <w:rsid w:val="170F26A3"/>
    <w:rsid w:val="170F61FF"/>
    <w:rsid w:val="171001C9"/>
    <w:rsid w:val="17101F77"/>
    <w:rsid w:val="1711641B"/>
    <w:rsid w:val="17117C3B"/>
    <w:rsid w:val="17123F41"/>
    <w:rsid w:val="17163A31"/>
    <w:rsid w:val="17173305"/>
    <w:rsid w:val="171952CF"/>
    <w:rsid w:val="171A4BA4"/>
    <w:rsid w:val="171F21BA"/>
    <w:rsid w:val="17226AA0"/>
    <w:rsid w:val="1723614E"/>
    <w:rsid w:val="17237EFC"/>
    <w:rsid w:val="172779EC"/>
    <w:rsid w:val="172A3039"/>
    <w:rsid w:val="172A4DE7"/>
    <w:rsid w:val="172C6A7B"/>
    <w:rsid w:val="172D0D7B"/>
    <w:rsid w:val="172D71A4"/>
    <w:rsid w:val="172E0505"/>
    <w:rsid w:val="172F68A1"/>
    <w:rsid w:val="172F75D4"/>
    <w:rsid w:val="173043C7"/>
    <w:rsid w:val="17316607"/>
    <w:rsid w:val="173172A1"/>
    <w:rsid w:val="17326391"/>
    <w:rsid w:val="17356871"/>
    <w:rsid w:val="17367C2F"/>
    <w:rsid w:val="1739327C"/>
    <w:rsid w:val="17397720"/>
    <w:rsid w:val="173C2D6C"/>
    <w:rsid w:val="173C56DA"/>
    <w:rsid w:val="17401CEF"/>
    <w:rsid w:val="17412B7A"/>
    <w:rsid w:val="17457E73"/>
    <w:rsid w:val="1746135D"/>
    <w:rsid w:val="174658D3"/>
    <w:rsid w:val="17465999"/>
    <w:rsid w:val="17471E3D"/>
    <w:rsid w:val="17481711"/>
    <w:rsid w:val="17485BB5"/>
    <w:rsid w:val="174A3E64"/>
    <w:rsid w:val="174B2FAF"/>
    <w:rsid w:val="174D17D7"/>
    <w:rsid w:val="174D36C8"/>
    <w:rsid w:val="174F3A55"/>
    <w:rsid w:val="174F6F43"/>
    <w:rsid w:val="175005C5"/>
    <w:rsid w:val="17516817"/>
    <w:rsid w:val="17521041"/>
    <w:rsid w:val="17546308"/>
    <w:rsid w:val="17562080"/>
    <w:rsid w:val="17577430"/>
    <w:rsid w:val="17591B70"/>
    <w:rsid w:val="175A163A"/>
    <w:rsid w:val="175D4A13"/>
    <w:rsid w:val="175E2CE2"/>
    <w:rsid w:val="175E75E4"/>
    <w:rsid w:val="17602EFE"/>
    <w:rsid w:val="176033D6"/>
    <w:rsid w:val="17614581"/>
    <w:rsid w:val="17622D2A"/>
    <w:rsid w:val="176302F9"/>
    <w:rsid w:val="17637A3D"/>
    <w:rsid w:val="17650515"/>
    <w:rsid w:val="1767428D"/>
    <w:rsid w:val="176A5B2B"/>
    <w:rsid w:val="176B1995"/>
    <w:rsid w:val="176C53FF"/>
    <w:rsid w:val="176C668F"/>
    <w:rsid w:val="176E561B"/>
    <w:rsid w:val="176F6C9D"/>
    <w:rsid w:val="17710C68"/>
    <w:rsid w:val="177249E0"/>
    <w:rsid w:val="17752C9A"/>
    <w:rsid w:val="1776002C"/>
    <w:rsid w:val="17767DA9"/>
    <w:rsid w:val="17767F77"/>
    <w:rsid w:val="177B0B4D"/>
    <w:rsid w:val="177B3894"/>
    <w:rsid w:val="177E15D6"/>
    <w:rsid w:val="17802201"/>
    <w:rsid w:val="178070FD"/>
    <w:rsid w:val="17833C2E"/>
    <w:rsid w:val="17884203"/>
    <w:rsid w:val="178A7F7B"/>
    <w:rsid w:val="178F36E0"/>
    <w:rsid w:val="179028DE"/>
    <w:rsid w:val="1791130A"/>
    <w:rsid w:val="179130B8"/>
    <w:rsid w:val="17914E66"/>
    <w:rsid w:val="17935082"/>
    <w:rsid w:val="17976BD3"/>
    <w:rsid w:val="179A543D"/>
    <w:rsid w:val="179B3F36"/>
    <w:rsid w:val="179B7297"/>
    <w:rsid w:val="179D1A5D"/>
    <w:rsid w:val="179D7CAF"/>
    <w:rsid w:val="179E417B"/>
    <w:rsid w:val="179E7583"/>
    <w:rsid w:val="17A10E21"/>
    <w:rsid w:val="17A54DB5"/>
    <w:rsid w:val="17A74689"/>
    <w:rsid w:val="17AA23CB"/>
    <w:rsid w:val="17AA4179"/>
    <w:rsid w:val="17AA5F28"/>
    <w:rsid w:val="17AA6EC0"/>
    <w:rsid w:val="17AB5561"/>
    <w:rsid w:val="17AB593A"/>
    <w:rsid w:val="17AB770D"/>
    <w:rsid w:val="17AC1C0E"/>
    <w:rsid w:val="17AC1CA0"/>
    <w:rsid w:val="17AC6144"/>
    <w:rsid w:val="17AD5A18"/>
    <w:rsid w:val="17AD77C6"/>
    <w:rsid w:val="17AE3C6A"/>
    <w:rsid w:val="17B31280"/>
    <w:rsid w:val="17B4027F"/>
    <w:rsid w:val="17B60D70"/>
    <w:rsid w:val="17B801EF"/>
    <w:rsid w:val="17B84561"/>
    <w:rsid w:val="17B9260F"/>
    <w:rsid w:val="17B97F3E"/>
    <w:rsid w:val="17BE7C25"/>
    <w:rsid w:val="17BF5E77"/>
    <w:rsid w:val="17C214C3"/>
    <w:rsid w:val="17C3523B"/>
    <w:rsid w:val="17C5041E"/>
    <w:rsid w:val="17C52D61"/>
    <w:rsid w:val="17C92852"/>
    <w:rsid w:val="17CA22B0"/>
    <w:rsid w:val="17CA481C"/>
    <w:rsid w:val="17CC0594"/>
    <w:rsid w:val="17CD7844"/>
    <w:rsid w:val="17CD7B3F"/>
    <w:rsid w:val="17CE60BA"/>
    <w:rsid w:val="17CF3BE0"/>
    <w:rsid w:val="17CF5CF5"/>
    <w:rsid w:val="17CF5E16"/>
    <w:rsid w:val="17D11706"/>
    <w:rsid w:val="17D336D0"/>
    <w:rsid w:val="17D411F6"/>
    <w:rsid w:val="17D42075"/>
    <w:rsid w:val="17D47717"/>
    <w:rsid w:val="17D64F6F"/>
    <w:rsid w:val="17D77582"/>
    <w:rsid w:val="17D9641D"/>
    <w:rsid w:val="17DC5469"/>
    <w:rsid w:val="17DE12A6"/>
    <w:rsid w:val="17DF02C7"/>
    <w:rsid w:val="17DF1E94"/>
    <w:rsid w:val="17E32254"/>
    <w:rsid w:val="17E51656"/>
    <w:rsid w:val="17E56F60"/>
    <w:rsid w:val="17E573D4"/>
    <w:rsid w:val="17E72CD8"/>
    <w:rsid w:val="17E7717C"/>
    <w:rsid w:val="17EC5FF2"/>
    <w:rsid w:val="17EE050A"/>
    <w:rsid w:val="17F3167D"/>
    <w:rsid w:val="17F378CF"/>
    <w:rsid w:val="17F50191"/>
    <w:rsid w:val="17F51899"/>
    <w:rsid w:val="17F65611"/>
    <w:rsid w:val="17F81389"/>
    <w:rsid w:val="17F92353"/>
    <w:rsid w:val="17F95B78"/>
    <w:rsid w:val="17FB6783"/>
    <w:rsid w:val="17FC6DEA"/>
    <w:rsid w:val="18016469"/>
    <w:rsid w:val="18022EE5"/>
    <w:rsid w:val="18027B12"/>
    <w:rsid w:val="18046EEA"/>
    <w:rsid w:val="18064498"/>
    <w:rsid w:val="180729F7"/>
    <w:rsid w:val="1807337A"/>
    <w:rsid w:val="180A6356"/>
    <w:rsid w:val="181066D2"/>
    <w:rsid w:val="18117D55"/>
    <w:rsid w:val="18163A6D"/>
    <w:rsid w:val="181674CA"/>
    <w:rsid w:val="18167A61"/>
    <w:rsid w:val="181808BC"/>
    <w:rsid w:val="18196493"/>
    <w:rsid w:val="181A30AD"/>
    <w:rsid w:val="181C3874"/>
    <w:rsid w:val="1820443C"/>
    <w:rsid w:val="18217539"/>
    <w:rsid w:val="18251A52"/>
    <w:rsid w:val="18252F5E"/>
    <w:rsid w:val="182757CA"/>
    <w:rsid w:val="182D5BA9"/>
    <w:rsid w:val="182E0907"/>
    <w:rsid w:val="182F17B2"/>
    <w:rsid w:val="18300B23"/>
    <w:rsid w:val="183121A5"/>
    <w:rsid w:val="18357EE7"/>
    <w:rsid w:val="183813D4"/>
    <w:rsid w:val="18381785"/>
    <w:rsid w:val="18383533"/>
    <w:rsid w:val="18393FA5"/>
    <w:rsid w:val="183A374F"/>
    <w:rsid w:val="183B4569"/>
    <w:rsid w:val="183D6D9C"/>
    <w:rsid w:val="183D7039"/>
    <w:rsid w:val="183E0BAE"/>
    <w:rsid w:val="183E2945"/>
    <w:rsid w:val="1840063A"/>
    <w:rsid w:val="1842560F"/>
    <w:rsid w:val="1844637C"/>
    <w:rsid w:val="18453242"/>
    <w:rsid w:val="184639D8"/>
    <w:rsid w:val="18463EA2"/>
    <w:rsid w:val="184721C3"/>
    <w:rsid w:val="18477A39"/>
    <w:rsid w:val="184A3267"/>
    <w:rsid w:val="184A725D"/>
    <w:rsid w:val="184B14B9"/>
    <w:rsid w:val="184B784A"/>
    <w:rsid w:val="184C3483"/>
    <w:rsid w:val="18500A76"/>
    <w:rsid w:val="18510AEB"/>
    <w:rsid w:val="18510B14"/>
    <w:rsid w:val="18574301"/>
    <w:rsid w:val="18580359"/>
    <w:rsid w:val="18581E27"/>
    <w:rsid w:val="18585984"/>
    <w:rsid w:val="185A5BA0"/>
    <w:rsid w:val="185C1918"/>
    <w:rsid w:val="185E284C"/>
    <w:rsid w:val="185F713E"/>
    <w:rsid w:val="18623723"/>
    <w:rsid w:val="18624A54"/>
    <w:rsid w:val="18627B3E"/>
    <w:rsid w:val="186407CC"/>
    <w:rsid w:val="1865086B"/>
    <w:rsid w:val="18661881"/>
    <w:rsid w:val="18694035"/>
    <w:rsid w:val="18695DE3"/>
    <w:rsid w:val="18697B91"/>
    <w:rsid w:val="186D4C9B"/>
    <w:rsid w:val="186E33F9"/>
    <w:rsid w:val="18711896"/>
    <w:rsid w:val="18725CB1"/>
    <w:rsid w:val="18784278"/>
    <w:rsid w:val="18786866"/>
    <w:rsid w:val="187A7FF0"/>
    <w:rsid w:val="187C3D68"/>
    <w:rsid w:val="187D188E"/>
    <w:rsid w:val="187E52DA"/>
    <w:rsid w:val="1881137E"/>
    <w:rsid w:val="1881312C"/>
    <w:rsid w:val="18820C52"/>
    <w:rsid w:val="188449CB"/>
    <w:rsid w:val="188744BB"/>
    <w:rsid w:val="188A04FE"/>
    <w:rsid w:val="188B5D59"/>
    <w:rsid w:val="188E75F7"/>
    <w:rsid w:val="189015C1"/>
    <w:rsid w:val="18903CAB"/>
    <w:rsid w:val="1890511D"/>
    <w:rsid w:val="18925339"/>
    <w:rsid w:val="18952734"/>
    <w:rsid w:val="18964231"/>
    <w:rsid w:val="189746FE"/>
    <w:rsid w:val="189866C8"/>
    <w:rsid w:val="189B3AC2"/>
    <w:rsid w:val="189C1857"/>
    <w:rsid w:val="189D5A8C"/>
    <w:rsid w:val="189F7A56"/>
    <w:rsid w:val="18A07434"/>
    <w:rsid w:val="18A24E51"/>
    <w:rsid w:val="18A4506D"/>
    <w:rsid w:val="18A73371"/>
    <w:rsid w:val="18A94431"/>
    <w:rsid w:val="18AB205E"/>
    <w:rsid w:val="18AB63FB"/>
    <w:rsid w:val="18AC2992"/>
    <w:rsid w:val="18AE1A47"/>
    <w:rsid w:val="18AE31F3"/>
    <w:rsid w:val="18B3705E"/>
    <w:rsid w:val="18B43502"/>
    <w:rsid w:val="18B54B84"/>
    <w:rsid w:val="18B708FC"/>
    <w:rsid w:val="18B73096"/>
    <w:rsid w:val="18B86332"/>
    <w:rsid w:val="18BA6619"/>
    <w:rsid w:val="18BC33A1"/>
    <w:rsid w:val="18BE612E"/>
    <w:rsid w:val="18BE735F"/>
    <w:rsid w:val="18C13529"/>
    <w:rsid w:val="18C272A1"/>
    <w:rsid w:val="18C354F3"/>
    <w:rsid w:val="18C64FE3"/>
    <w:rsid w:val="18C66D91"/>
    <w:rsid w:val="18C82B09"/>
    <w:rsid w:val="18C96881"/>
    <w:rsid w:val="18CB25F9"/>
    <w:rsid w:val="18CC75DE"/>
    <w:rsid w:val="18CD3D5D"/>
    <w:rsid w:val="18CF42C0"/>
    <w:rsid w:val="18D07C10"/>
    <w:rsid w:val="18D53478"/>
    <w:rsid w:val="18D56FD4"/>
    <w:rsid w:val="18DC4807"/>
    <w:rsid w:val="18DD40DB"/>
    <w:rsid w:val="18E319D0"/>
    <w:rsid w:val="18E36CB5"/>
    <w:rsid w:val="18E45469"/>
    <w:rsid w:val="18E47714"/>
    <w:rsid w:val="18E50C46"/>
    <w:rsid w:val="18E831AB"/>
    <w:rsid w:val="18E90CD1"/>
    <w:rsid w:val="18EB73D8"/>
    <w:rsid w:val="18ED07C2"/>
    <w:rsid w:val="18ED6A14"/>
    <w:rsid w:val="18EE0096"/>
    <w:rsid w:val="18F02060"/>
    <w:rsid w:val="18F029FA"/>
    <w:rsid w:val="18F41B50"/>
    <w:rsid w:val="18F6267A"/>
    <w:rsid w:val="18F71640"/>
    <w:rsid w:val="18F90F15"/>
    <w:rsid w:val="18FF22A3"/>
    <w:rsid w:val="18FF4051"/>
    <w:rsid w:val="19002C28"/>
    <w:rsid w:val="19031D93"/>
    <w:rsid w:val="1904793D"/>
    <w:rsid w:val="19094ED0"/>
    <w:rsid w:val="190B0C48"/>
    <w:rsid w:val="190E4405"/>
    <w:rsid w:val="191004C4"/>
    <w:rsid w:val="19102A54"/>
    <w:rsid w:val="191044B0"/>
    <w:rsid w:val="19120228"/>
    <w:rsid w:val="19121FD6"/>
    <w:rsid w:val="19134653"/>
    <w:rsid w:val="19167C1E"/>
    <w:rsid w:val="19193365"/>
    <w:rsid w:val="191A2F77"/>
    <w:rsid w:val="191C10A7"/>
    <w:rsid w:val="191E097B"/>
    <w:rsid w:val="191F46F3"/>
    <w:rsid w:val="191F64A1"/>
    <w:rsid w:val="19205339"/>
    <w:rsid w:val="19212219"/>
    <w:rsid w:val="192128CC"/>
    <w:rsid w:val="192129B8"/>
    <w:rsid w:val="19221828"/>
    <w:rsid w:val="1923563E"/>
    <w:rsid w:val="19235F91"/>
    <w:rsid w:val="19265A82"/>
    <w:rsid w:val="192774D6"/>
    <w:rsid w:val="19277699"/>
    <w:rsid w:val="192A1AD1"/>
    <w:rsid w:val="192D5062"/>
    <w:rsid w:val="1932711D"/>
    <w:rsid w:val="1934019F"/>
    <w:rsid w:val="19341F4D"/>
    <w:rsid w:val="193432A6"/>
    <w:rsid w:val="19351A4B"/>
    <w:rsid w:val="19364056"/>
    <w:rsid w:val="19371A3D"/>
    <w:rsid w:val="193811E8"/>
    <w:rsid w:val="1938661F"/>
    <w:rsid w:val="193A068A"/>
    <w:rsid w:val="193B28C3"/>
    <w:rsid w:val="193D11DB"/>
    <w:rsid w:val="193E2DCB"/>
    <w:rsid w:val="193E726F"/>
    <w:rsid w:val="193F08F1"/>
    <w:rsid w:val="193F3921"/>
    <w:rsid w:val="1940130A"/>
    <w:rsid w:val="1941466A"/>
    <w:rsid w:val="19415E1F"/>
    <w:rsid w:val="194222A2"/>
    <w:rsid w:val="194505FE"/>
    <w:rsid w:val="1945381D"/>
    <w:rsid w:val="1945415A"/>
    <w:rsid w:val="19466124"/>
    <w:rsid w:val="194859F8"/>
    <w:rsid w:val="19495E63"/>
    <w:rsid w:val="194A1770"/>
    <w:rsid w:val="194A5C14"/>
    <w:rsid w:val="194B373A"/>
    <w:rsid w:val="194B4A95"/>
    <w:rsid w:val="194B54E8"/>
    <w:rsid w:val="194B7296"/>
    <w:rsid w:val="194D74B2"/>
    <w:rsid w:val="194E0845"/>
    <w:rsid w:val="194F1CD5"/>
    <w:rsid w:val="194F6D87"/>
    <w:rsid w:val="195033E7"/>
    <w:rsid w:val="19516FA3"/>
    <w:rsid w:val="195425EF"/>
    <w:rsid w:val="195720DF"/>
    <w:rsid w:val="19575C3B"/>
    <w:rsid w:val="195904AE"/>
    <w:rsid w:val="19597463"/>
    <w:rsid w:val="195C76F5"/>
    <w:rsid w:val="195D1801"/>
    <w:rsid w:val="195F2D42"/>
    <w:rsid w:val="19616ABA"/>
    <w:rsid w:val="1962096B"/>
    <w:rsid w:val="1963014B"/>
    <w:rsid w:val="19632832"/>
    <w:rsid w:val="196346F0"/>
    <w:rsid w:val="1964136A"/>
    <w:rsid w:val="19681485"/>
    <w:rsid w:val="1968609A"/>
    <w:rsid w:val="196A0064"/>
    <w:rsid w:val="196A3A37"/>
    <w:rsid w:val="196B16E7"/>
    <w:rsid w:val="196D545F"/>
    <w:rsid w:val="196D55CC"/>
    <w:rsid w:val="196E3837"/>
    <w:rsid w:val="19704F4F"/>
    <w:rsid w:val="19706CFD"/>
    <w:rsid w:val="197131A1"/>
    <w:rsid w:val="19717795"/>
    <w:rsid w:val="19770E6D"/>
    <w:rsid w:val="197902A7"/>
    <w:rsid w:val="19792055"/>
    <w:rsid w:val="197A3FC2"/>
    <w:rsid w:val="197D2182"/>
    <w:rsid w:val="197D4D53"/>
    <w:rsid w:val="198033E4"/>
    <w:rsid w:val="19803C90"/>
    <w:rsid w:val="19827735"/>
    <w:rsid w:val="19836A30"/>
    <w:rsid w:val="198509FA"/>
    <w:rsid w:val="19892EAC"/>
    <w:rsid w:val="198A6011"/>
    <w:rsid w:val="198D3D53"/>
    <w:rsid w:val="198D3D62"/>
    <w:rsid w:val="19946E8F"/>
    <w:rsid w:val="19956C86"/>
    <w:rsid w:val="199724DC"/>
    <w:rsid w:val="199926F8"/>
    <w:rsid w:val="1999291E"/>
    <w:rsid w:val="199960FE"/>
    <w:rsid w:val="199B1FCC"/>
    <w:rsid w:val="199B4FE1"/>
    <w:rsid w:val="199C7AF2"/>
    <w:rsid w:val="199E4182"/>
    <w:rsid w:val="19A03A86"/>
    <w:rsid w:val="19A14D6A"/>
    <w:rsid w:val="19A8293B"/>
    <w:rsid w:val="19A966CF"/>
    <w:rsid w:val="19AC369D"/>
    <w:rsid w:val="19AD1CFF"/>
    <w:rsid w:val="19AF0A4A"/>
    <w:rsid w:val="19AF5A77"/>
    <w:rsid w:val="19B06428"/>
    <w:rsid w:val="19B117EF"/>
    <w:rsid w:val="19B144CC"/>
    <w:rsid w:val="19B36621"/>
    <w:rsid w:val="19B42212"/>
    <w:rsid w:val="19B47531"/>
    <w:rsid w:val="19B66E06"/>
    <w:rsid w:val="19B7492C"/>
    <w:rsid w:val="19B94B48"/>
    <w:rsid w:val="19BA0EF0"/>
    <w:rsid w:val="19BB266E"/>
    <w:rsid w:val="19BC78C6"/>
    <w:rsid w:val="19BE215E"/>
    <w:rsid w:val="19C07C84"/>
    <w:rsid w:val="19C24BC8"/>
    <w:rsid w:val="19C332D1"/>
    <w:rsid w:val="19C777A8"/>
    <w:rsid w:val="19CC487B"/>
    <w:rsid w:val="19CC6629"/>
    <w:rsid w:val="19CD19CF"/>
    <w:rsid w:val="19CF1C75"/>
    <w:rsid w:val="19D05A8B"/>
    <w:rsid w:val="19D07778"/>
    <w:rsid w:val="19D104E7"/>
    <w:rsid w:val="19D13C3F"/>
    <w:rsid w:val="19D21766"/>
    <w:rsid w:val="19D30872"/>
    <w:rsid w:val="19D8069E"/>
    <w:rsid w:val="19D83220"/>
    <w:rsid w:val="19D83FFA"/>
    <w:rsid w:val="19DB4ABE"/>
    <w:rsid w:val="19DB686C"/>
    <w:rsid w:val="19DD65B7"/>
    <w:rsid w:val="19DE008F"/>
    <w:rsid w:val="19E00326"/>
    <w:rsid w:val="19E020D4"/>
    <w:rsid w:val="19E03E83"/>
    <w:rsid w:val="19E32A71"/>
    <w:rsid w:val="19E33973"/>
    <w:rsid w:val="19E6554B"/>
    <w:rsid w:val="19E66B27"/>
    <w:rsid w:val="19E80F89"/>
    <w:rsid w:val="19E82D37"/>
    <w:rsid w:val="19E93197"/>
    <w:rsid w:val="19EA1203"/>
    <w:rsid w:val="19EA2F53"/>
    <w:rsid w:val="19EA4D01"/>
    <w:rsid w:val="19EC0A79"/>
    <w:rsid w:val="19EC6CCB"/>
    <w:rsid w:val="19EE2A43"/>
    <w:rsid w:val="19EF056A"/>
    <w:rsid w:val="19EF2318"/>
    <w:rsid w:val="19EF7E58"/>
    <w:rsid w:val="19F00F50"/>
    <w:rsid w:val="19F17E3E"/>
    <w:rsid w:val="19F6132D"/>
    <w:rsid w:val="19F83806"/>
    <w:rsid w:val="19FA6126"/>
    <w:rsid w:val="19FB2187"/>
    <w:rsid w:val="19FB411D"/>
    <w:rsid w:val="19FD2C86"/>
    <w:rsid w:val="19FD67E3"/>
    <w:rsid w:val="19FE07AD"/>
    <w:rsid w:val="19FF42D4"/>
    <w:rsid w:val="1A003538"/>
    <w:rsid w:val="1A02297B"/>
    <w:rsid w:val="1A073B05"/>
    <w:rsid w:val="1A0758B3"/>
    <w:rsid w:val="1A077661"/>
    <w:rsid w:val="1A085187"/>
    <w:rsid w:val="1A09162B"/>
    <w:rsid w:val="1A0B2B5B"/>
    <w:rsid w:val="1A0C330F"/>
    <w:rsid w:val="1A0D279E"/>
    <w:rsid w:val="1A0E6C42"/>
    <w:rsid w:val="1A0F1A8D"/>
    <w:rsid w:val="1A1245F4"/>
    <w:rsid w:val="1A1678A4"/>
    <w:rsid w:val="1A1743EA"/>
    <w:rsid w:val="1A1A6BA0"/>
    <w:rsid w:val="1A1F1313"/>
    <w:rsid w:val="1A240213"/>
    <w:rsid w:val="1A253F8B"/>
    <w:rsid w:val="1A27385F"/>
    <w:rsid w:val="1A2C531A"/>
    <w:rsid w:val="1A2E1092"/>
    <w:rsid w:val="1A2E6111"/>
    <w:rsid w:val="1A304E0A"/>
    <w:rsid w:val="1A310B82"/>
    <w:rsid w:val="1A3366A8"/>
    <w:rsid w:val="1A367BB6"/>
    <w:rsid w:val="1A3A17E5"/>
    <w:rsid w:val="1A3B2C7E"/>
    <w:rsid w:val="1A3B37AF"/>
    <w:rsid w:val="1A3B6AF0"/>
    <w:rsid w:val="1A3C3F06"/>
    <w:rsid w:val="1A3E4B0B"/>
    <w:rsid w:val="1A3F329F"/>
    <w:rsid w:val="1A404921"/>
    <w:rsid w:val="1A442663"/>
    <w:rsid w:val="1A4563DB"/>
    <w:rsid w:val="1A495ECC"/>
    <w:rsid w:val="1A4A39F2"/>
    <w:rsid w:val="1A4C32C6"/>
    <w:rsid w:val="1A4F0E26"/>
    <w:rsid w:val="1A50725A"/>
    <w:rsid w:val="1A512FD2"/>
    <w:rsid w:val="1A516B2E"/>
    <w:rsid w:val="1A525091"/>
    <w:rsid w:val="1A534654"/>
    <w:rsid w:val="1A534939"/>
    <w:rsid w:val="1A554870"/>
    <w:rsid w:val="1A562397"/>
    <w:rsid w:val="1A587BF3"/>
    <w:rsid w:val="1A5E53F6"/>
    <w:rsid w:val="1A5F56EF"/>
    <w:rsid w:val="1A665C12"/>
    <w:rsid w:val="1A6920CA"/>
    <w:rsid w:val="1A6A5C61"/>
    <w:rsid w:val="1A6B5E42"/>
    <w:rsid w:val="1A6C153A"/>
    <w:rsid w:val="1A6C1BBA"/>
    <w:rsid w:val="1A6C61D4"/>
    <w:rsid w:val="1A6C7A79"/>
    <w:rsid w:val="1A705206"/>
    <w:rsid w:val="1A7171D0"/>
    <w:rsid w:val="1A720026"/>
    <w:rsid w:val="1A725422"/>
    <w:rsid w:val="1A726B6A"/>
    <w:rsid w:val="1A732F49"/>
    <w:rsid w:val="1A78230D"/>
    <w:rsid w:val="1A7840BB"/>
    <w:rsid w:val="1A7A6085"/>
    <w:rsid w:val="1A7D2AAB"/>
    <w:rsid w:val="1A7E0000"/>
    <w:rsid w:val="1A7F5449"/>
    <w:rsid w:val="1A815666"/>
    <w:rsid w:val="1A820ECC"/>
    <w:rsid w:val="1A855066"/>
    <w:rsid w:val="1A893128"/>
    <w:rsid w:val="1A8B0292"/>
    <w:rsid w:val="1A8D38EA"/>
    <w:rsid w:val="1A8E167C"/>
    <w:rsid w:val="1A9133CF"/>
    <w:rsid w:val="1A972D9C"/>
    <w:rsid w:val="1A974E89"/>
    <w:rsid w:val="1A985E70"/>
    <w:rsid w:val="1A98650B"/>
    <w:rsid w:val="1A9A68F5"/>
    <w:rsid w:val="1A9C249F"/>
    <w:rsid w:val="1A9D296E"/>
    <w:rsid w:val="1A9D6217"/>
    <w:rsid w:val="1AA0049D"/>
    <w:rsid w:val="1AA94BBC"/>
    <w:rsid w:val="1AAA0093"/>
    <w:rsid w:val="1AAB26E2"/>
    <w:rsid w:val="1AAE3F81"/>
    <w:rsid w:val="1AAE4C70"/>
    <w:rsid w:val="1AAF5A47"/>
    <w:rsid w:val="1AB0225C"/>
    <w:rsid w:val="1AB05F4B"/>
    <w:rsid w:val="1AB07CF9"/>
    <w:rsid w:val="1AB175CD"/>
    <w:rsid w:val="1AB32FF2"/>
    <w:rsid w:val="1AB33345"/>
    <w:rsid w:val="1AB36295"/>
    <w:rsid w:val="1AB5530F"/>
    <w:rsid w:val="1AB71087"/>
    <w:rsid w:val="1AB772D9"/>
    <w:rsid w:val="1ABA2925"/>
    <w:rsid w:val="1ABA4127"/>
    <w:rsid w:val="1ABA6BBA"/>
    <w:rsid w:val="1ABC669E"/>
    <w:rsid w:val="1ABD5F72"/>
    <w:rsid w:val="1ABF618E"/>
    <w:rsid w:val="1AC15A62"/>
    <w:rsid w:val="1AC440B9"/>
    <w:rsid w:val="1AC55BC3"/>
    <w:rsid w:val="1AC612CA"/>
    <w:rsid w:val="1AC64B56"/>
    <w:rsid w:val="1AC92B69"/>
    <w:rsid w:val="1AC92E03"/>
    <w:rsid w:val="1AC9700C"/>
    <w:rsid w:val="1ACC33EC"/>
    <w:rsid w:val="1ACC4407"/>
    <w:rsid w:val="1ACC5A17"/>
    <w:rsid w:val="1ACF03B6"/>
    <w:rsid w:val="1AD02149"/>
    <w:rsid w:val="1AD05CA5"/>
    <w:rsid w:val="1AD072DB"/>
    <w:rsid w:val="1AD27C6F"/>
    <w:rsid w:val="1AD31C39"/>
    <w:rsid w:val="1AD440BD"/>
    <w:rsid w:val="1AD5150D"/>
    <w:rsid w:val="1AD77FD8"/>
    <w:rsid w:val="1ADA440F"/>
    <w:rsid w:val="1ADC221D"/>
    <w:rsid w:val="1ADC53AB"/>
    <w:rsid w:val="1ADD03C2"/>
    <w:rsid w:val="1AE16104"/>
    <w:rsid w:val="1AE23C2A"/>
    <w:rsid w:val="1AE71241"/>
    <w:rsid w:val="1AE71D97"/>
    <w:rsid w:val="1AE747E0"/>
    <w:rsid w:val="1AEA48DA"/>
    <w:rsid w:val="1AEB3784"/>
    <w:rsid w:val="1AEC5458"/>
    <w:rsid w:val="1AED2CFB"/>
    <w:rsid w:val="1AED4AA9"/>
    <w:rsid w:val="1AEE111D"/>
    <w:rsid w:val="1AEE25CF"/>
    <w:rsid w:val="1AEE6385"/>
    <w:rsid w:val="1AF20311"/>
    <w:rsid w:val="1AF23E6D"/>
    <w:rsid w:val="1AF45F58"/>
    <w:rsid w:val="1AF5395E"/>
    <w:rsid w:val="1AF65C4D"/>
    <w:rsid w:val="1AF776D6"/>
    <w:rsid w:val="1AF77DFA"/>
    <w:rsid w:val="1AFB57DD"/>
    <w:rsid w:val="1AFC6A9A"/>
    <w:rsid w:val="1AFE497A"/>
    <w:rsid w:val="1AFF02A3"/>
    <w:rsid w:val="1B0032DD"/>
    <w:rsid w:val="1B010554"/>
    <w:rsid w:val="1B03607B"/>
    <w:rsid w:val="1B041DF3"/>
    <w:rsid w:val="1B05696E"/>
    <w:rsid w:val="1B063DBD"/>
    <w:rsid w:val="1B067919"/>
    <w:rsid w:val="1B0B3181"/>
    <w:rsid w:val="1B0D6EF9"/>
    <w:rsid w:val="1B0F0EC3"/>
    <w:rsid w:val="1B10529A"/>
    <w:rsid w:val="1B124510"/>
    <w:rsid w:val="1B125F8C"/>
    <w:rsid w:val="1B132036"/>
    <w:rsid w:val="1B1453A9"/>
    <w:rsid w:val="1B153DB8"/>
    <w:rsid w:val="1B162E37"/>
    <w:rsid w:val="1B173603"/>
    <w:rsid w:val="1B1A6779"/>
    <w:rsid w:val="1B1D4C62"/>
    <w:rsid w:val="1B1E3E17"/>
    <w:rsid w:val="1B1E6A58"/>
    <w:rsid w:val="1B1E7A45"/>
    <w:rsid w:val="1B210BF7"/>
    <w:rsid w:val="1B223E33"/>
    <w:rsid w:val="1B261195"/>
    <w:rsid w:val="1B262EA2"/>
    <w:rsid w:val="1B281F85"/>
    <w:rsid w:val="1B2A7AAB"/>
    <w:rsid w:val="1B2B4D71"/>
    <w:rsid w:val="1B2B737F"/>
    <w:rsid w:val="1B2D1EC5"/>
    <w:rsid w:val="1B2E0B21"/>
    <w:rsid w:val="1B2E6E70"/>
    <w:rsid w:val="1B326960"/>
    <w:rsid w:val="1B3721C8"/>
    <w:rsid w:val="1B3846F0"/>
    <w:rsid w:val="1B3C77DE"/>
    <w:rsid w:val="1B3E1D60"/>
    <w:rsid w:val="1B3E5305"/>
    <w:rsid w:val="1B3F107D"/>
    <w:rsid w:val="1B414DF5"/>
    <w:rsid w:val="1B416BA3"/>
    <w:rsid w:val="1B43291B"/>
    <w:rsid w:val="1B434989"/>
    <w:rsid w:val="1B4B5C73"/>
    <w:rsid w:val="1B4D5548"/>
    <w:rsid w:val="1B505038"/>
    <w:rsid w:val="1B506DE6"/>
    <w:rsid w:val="1B5157DB"/>
    <w:rsid w:val="1B522B5E"/>
    <w:rsid w:val="1B527F1C"/>
    <w:rsid w:val="1B530684"/>
    <w:rsid w:val="1B544B28"/>
    <w:rsid w:val="1B56026F"/>
    <w:rsid w:val="1B574618"/>
    <w:rsid w:val="1B5A1A13"/>
    <w:rsid w:val="1B5B2A71"/>
    <w:rsid w:val="1B5C578B"/>
    <w:rsid w:val="1B5D502F"/>
    <w:rsid w:val="1B6033DE"/>
    <w:rsid w:val="1B610D9D"/>
    <w:rsid w:val="1B617245"/>
    <w:rsid w:val="1B617E95"/>
    <w:rsid w:val="1B627A11"/>
    <w:rsid w:val="1B642891"/>
    <w:rsid w:val="1B650AE3"/>
    <w:rsid w:val="1B6603B7"/>
    <w:rsid w:val="1B682381"/>
    <w:rsid w:val="1B697EA8"/>
    <w:rsid w:val="1B6B04F7"/>
    <w:rsid w:val="1B6D18C5"/>
    <w:rsid w:val="1B6E745A"/>
    <w:rsid w:val="1B6F3710"/>
    <w:rsid w:val="1B6F6E2E"/>
    <w:rsid w:val="1B715553"/>
    <w:rsid w:val="1B724FAE"/>
    <w:rsid w:val="1B7264C7"/>
    <w:rsid w:val="1B746F78"/>
    <w:rsid w:val="1B754A9E"/>
    <w:rsid w:val="1B764745"/>
    <w:rsid w:val="1B7900EB"/>
    <w:rsid w:val="1B7927E1"/>
    <w:rsid w:val="1B79633D"/>
    <w:rsid w:val="1B7B0307"/>
    <w:rsid w:val="1B7B78EB"/>
    <w:rsid w:val="1B7C407F"/>
    <w:rsid w:val="1B7C7BDB"/>
    <w:rsid w:val="1B7F5BFB"/>
    <w:rsid w:val="1B8371BB"/>
    <w:rsid w:val="1B8444F2"/>
    <w:rsid w:val="1B851185"/>
    <w:rsid w:val="1B882A24"/>
    <w:rsid w:val="1B884DC4"/>
    <w:rsid w:val="1B8A054A"/>
    <w:rsid w:val="1B8A22F8"/>
    <w:rsid w:val="1B8B42C2"/>
    <w:rsid w:val="1B8F5B60"/>
    <w:rsid w:val="1B8F790E"/>
    <w:rsid w:val="1B9211AC"/>
    <w:rsid w:val="1B943177"/>
    <w:rsid w:val="1B9664DA"/>
    <w:rsid w:val="1B974A15"/>
    <w:rsid w:val="1B99253B"/>
    <w:rsid w:val="1B9E07D7"/>
    <w:rsid w:val="1B9E5DA3"/>
    <w:rsid w:val="1B9E6666"/>
    <w:rsid w:val="1BA17641"/>
    <w:rsid w:val="1BA40A59"/>
    <w:rsid w:val="1BA50A8D"/>
    <w:rsid w:val="1BAA3635"/>
    <w:rsid w:val="1BAA4748"/>
    <w:rsid w:val="1BAB226E"/>
    <w:rsid w:val="1BAC6712"/>
    <w:rsid w:val="1BAC7B54"/>
    <w:rsid w:val="1BAF04ED"/>
    <w:rsid w:val="1BB27AA1"/>
    <w:rsid w:val="1BB61BD8"/>
    <w:rsid w:val="1BB83309"/>
    <w:rsid w:val="1BB90E2F"/>
    <w:rsid w:val="1BBC5B46"/>
    <w:rsid w:val="1BBD779E"/>
    <w:rsid w:val="1BBE2143"/>
    <w:rsid w:val="1BC46E3E"/>
    <w:rsid w:val="1BC54872"/>
    <w:rsid w:val="1BC80F25"/>
    <w:rsid w:val="1BC917F8"/>
    <w:rsid w:val="1BCB46BE"/>
    <w:rsid w:val="1BCD0437"/>
    <w:rsid w:val="1BCD6688"/>
    <w:rsid w:val="1BCF0653"/>
    <w:rsid w:val="1BCF41AF"/>
    <w:rsid w:val="1BD06E32"/>
    <w:rsid w:val="1BD45C69"/>
    <w:rsid w:val="1BD8064F"/>
    <w:rsid w:val="1BD96DDB"/>
    <w:rsid w:val="1BDA3524"/>
    <w:rsid w:val="1BDB348B"/>
    <w:rsid w:val="1BE0016A"/>
    <w:rsid w:val="1BE063BC"/>
    <w:rsid w:val="1BE37C5A"/>
    <w:rsid w:val="1BE51DFA"/>
    <w:rsid w:val="1BE75582"/>
    <w:rsid w:val="1BE7774A"/>
    <w:rsid w:val="1BE85270"/>
    <w:rsid w:val="1BE95CDC"/>
    <w:rsid w:val="1BEA723A"/>
    <w:rsid w:val="1BEC33E8"/>
    <w:rsid w:val="1BED4878"/>
    <w:rsid w:val="1BF12377"/>
    <w:rsid w:val="1BF241B1"/>
    <w:rsid w:val="1BF41E67"/>
    <w:rsid w:val="1BF92573"/>
    <w:rsid w:val="1BF956CF"/>
    <w:rsid w:val="1BFA03EC"/>
    <w:rsid w:val="1BFA05BD"/>
    <w:rsid w:val="1BFB1448"/>
    <w:rsid w:val="1BFC2ACA"/>
    <w:rsid w:val="1BFE4A94"/>
    <w:rsid w:val="1BFF6CED"/>
    <w:rsid w:val="1C0025BA"/>
    <w:rsid w:val="1C013DF9"/>
    <w:rsid w:val="1C0302FC"/>
    <w:rsid w:val="1C1222ED"/>
    <w:rsid w:val="1C12289A"/>
    <w:rsid w:val="1C166281"/>
    <w:rsid w:val="1C177904"/>
    <w:rsid w:val="1C185B56"/>
    <w:rsid w:val="1C1A2BF2"/>
    <w:rsid w:val="1C1B3898"/>
    <w:rsid w:val="1C1D13BE"/>
    <w:rsid w:val="1C24274C"/>
    <w:rsid w:val="1C247350"/>
    <w:rsid w:val="1C252021"/>
    <w:rsid w:val="1C275D99"/>
    <w:rsid w:val="1C275E99"/>
    <w:rsid w:val="1C286CE3"/>
    <w:rsid w:val="1C2C7853"/>
    <w:rsid w:val="1C324773"/>
    <w:rsid w:val="1C33298F"/>
    <w:rsid w:val="1C3763B1"/>
    <w:rsid w:val="1C393D1E"/>
    <w:rsid w:val="1C3A1F70"/>
    <w:rsid w:val="1C3B1844"/>
    <w:rsid w:val="1C3B5CE8"/>
    <w:rsid w:val="1C3D380E"/>
    <w:rsid w:val="1C3F7586"/>
    <w:rsid w:val="1C427076"/>
    <w:rsid w:val="1C4306F9"/>
    <w:rsid w:val="1C47468D"/>
    <w:rsid w:val="1C483765"/>
    <w:rsid w:val="1C4C57FF"/>
    <w:rsid w:val="1C4F709D"/>
    <w:rsid w:val="1C512E16"/>
    <w:rsid w:val="1C534F2C"/>
    <w:rsid w:val="1C536B8E"/>
    <w:rsid w:val="1C563B03"/>
    <w:rsid w:val="1C566221"/>
    <w:rsid w:val="1C5841A4"/>
    <w:rsid w:val="1C5D0DEA"/>
    <w:rsid w:val="1C5D7A0C"/>
    <w:rsid w:val="1C5E07C8"/>
    <w:rsid w:val="1C5E227A"/>
    <w:rsid w:val="1C5F19D6"/>
    <w:rsid w:val="1C5F5476"/>
    <w:rsid w:val="1C604132"/>
    <w:rsid w:val="1C60776B"/>
    <w:rsid w:val="1C672639"/>
    <w:rsid w:val="1C673348"/>
    <w:rsid w:val="1C694603"/>
    <w:rsid w:val="1C6C1693"/>
    <w:rsid w:val="1C6C5EA1"/>
    <w:rsid w:val="1C6D17DE"/>
    <w:rsid w:val="1C715266"/>
    <w:rsid w:val="1C746B04"/>
    <w:rsid w:val="1C76287C"/>
    <w:rsid w:val="1C79287C"/>
    <w:rsid w:val="1C7973E3"/>
    <w:rsid w:val="1C7A2140"/>
    <w:rsid w:val="1C7A3685"/>
    <w:rsid w:val="1C7D00AF"/>
    <w:rsid w:val="1C7D3C0B"/>
    <w:rsid w:val="1C7F3E27"/>
    <w:rsid w:val="1C871D1D"/>
    <w:rsid w:val="1C8774E7"/>
    <w:rsid w:val="1C8906F6"/>
    <w:rsid w:val="1C8925AF"/>
    <w:rsid w:val="1C8B27CB"/>
    <w:rsid w:val="1C8B73DF"/>
    <w:rsid w:val="1C8E5E18"/>
    <w:rsid w:val="1C8E7C18"/>
    <w:rsid w:val="1C8F48B3"/>
    <w:rsid w:val="1C901B90"/>
    <w:rsid w:val="1C9176B6"/>
    <w:rsid w:val="1C93342E"/>
    <w:rsid w:val="1C9553F8"/>
    <w:rsid w:val="1C961D12"/>
    <w:rsid w:val="1C962F1E"/>
    <w:rsid w:val="1C986C96"/>
    <w:rsid w:val="1C9A0C60"/>
    <w:rsid w:val="1C9B40CC"/>
    <w:rsid w:val="1C9D42AD"/>
    <w:rsid w:val="1C9D605B"/>
    <w:rsid w:val="1C9F6277"/>
    <w:rsid w:val="1CA23671"/>
    <w:rsid w:val="1CA27B15"/>
    <w:rsid w:val="1CA341A2"/>
    <w:rsid w:val="1CA473E9"/>
    <w:rsid w:val="1CA63D20"/>
    <w:rsid w:val="1CA8313A"/>
    <w:rsid w:val="1CA933B8"/>
    <w:rsid w:val="1CAA3340"/>
    <w:rsid w:val="1CAA5CB0"/>
    <w:rsid w:val="1CAB69CA"/>
    <w:rsid w:val="1CAC629E"/>
    <w:rsid w:val="1CAE2016"/>
    <w:rsid w:val="1CB03FE0"/>
    <w:rsid w:val="1CB11B06"/>
    <w:rsid w:val="1CB32742"/>
    <w:rsid w:val="1CB44504"/>
    <w:rsid w:val="1CB515F6"/>
    <w:rsid w:val="1CB65AA2"/>
    <w:rsid w:val="1CB957A5"/>
    <w:rsid w:val="1CBD65F6"/>
    <w:rsid w:val="1CBF06C7"/>
    <w:rsid w:val="1CBF4223"/>
    <w:rsid w:val="1CC7132A"/>
    <w:rsid w:val="1CC96E50"/>
    <w:rsid w:val="1CCC4B92"/>
    <w:rsid w:val="1CCD028C"/>
    <w:rsid w:val="1CCE50AB"/>
    <w:rsid w:val="1CD203FA"/>
    <w:rsid w:val="1CD3259B"/>
    <w:rsid w:val="1CD37CCF"/>
    <w:rsid w:val="1CD53A47"/>
    <w:rsid w:val="1CD6156D"/>
    <w:rsid w:val="1CD9590B"/>
    <w:rsid w:val="1CDA364E"/>
    <w:rsid w:val="1CDB6B83"/>
    <w:rsid w:val="1CDD6D9F"/>
    <w:rsid w:val="1CDE345E"/>
    <w:rsid w:val="1CE0094F"/>
    <w:rsid w:val="1CE0650C"/>
    <w:rsid w:val="1CE15B08"/>
    <w:rsid w:val="1CE343B6"/>
    <w:rsid w:val="1CE4012E"/>
    <w:rsid w:val="1CE53331"/>
    <w:rsid w:val="1CE70126"/>
    <w:rsid w:val="1CE819CC"/>
    <w:rsid w:val="1CE968F4"/>
    <w:rsid w:val="1CEB5A62"/>
    <w:rsid w:val="1CEB6DC6"/>
    <w:rsid w:val="1CEB6F95"/>
    <w:rsid w:val="1CEC6549"/>
    <w:rsid w:val="1CEE0979"/>
    <w:rsid w:val="1CEE4B08"/>
    <w:rsid w:val="1CEE68B6"/>
    <w:rsid w:val="1CF245F9"/>
    <w:rsid w:val="1CF30371"/>
    <w:rsid w:val="1CF57C45"/>
    <w:rsid w:val="1CF57E0B"/>
    <w:rsid w:val="1CF71C0F"/>
    <w:rsid w:val="1CF77E61"/>
    <w:rsid w:val="1CF80317"/>
    <w:rsid w:val="1CFA34AD"/>
    <w:rsid w:val="1CFB6B03"/>
    <w:rsid w:val="1CFC0FD3"/>
    <w:rsid w:val="1CFC7225"/>
    <w:rsid w:val="1CFF2872"/>
    <w:rsid w:val="1CFF6D16"/>
    <w:rsid w:val="1D001585"/>
    <w:rsid w:val="1D0205B4"/>
    <w:rsid w:val="1D022362"/>
    <w:rsid w:val="1D04432C"/>
    <w:rsid w:val="1D047E88"/>
    <w:rsid w:val="1D061E52"/>
    <w:rsid w:val="1D063C00"/>
    <w:rsid w:val="1D08136F"/>
    <w:rsid w:val="1D0B4B20"/>
    <w:rsid w:val="1D0E180F"/>
    <w:rsid w:val="1D0F0FD0"/>
    <w:rsid w:val="1D102CD1"/>
    <w:rsid w:val="1D116EE3"/>
    <w:rsid w:val="1D13631D"/>
    <w:rsid w:val="1D156539"/>
    <w:rsid w:val="1D181C54"/>
    <w:rsid w:val="1D1A76AB"/>
    <w:rsid w:val="1D1D7568"/>
    <w:rsid w:val="1D1F6797"/>
    <w:rsid w:val="1D214EDE"/>
    <w:rsid w:val="1D230C56"/>
    <w:rsid w:val="1D243271"/>
    <w:rsid w:val="1D2642A2"/>
    <w:rsid w:val="1D293D92"/>
    <w:rsid w:val="1D2F75FB"/>
    <w:rsid w:val="1D300C7D"/>
    <w:rsid w:val="1D303373"/>
    <w:rsid w:val="1D3042D5"/>
    <w:rsid w:val="1D3049A6"/>
    <w:rsid w:val="1D305121"/>
    <w:rsid w:val="1D321DAB"/>
    <w:rsid w:val="1D322C47"/>
    <w:rsid w:val="1D384069"/>
    <w:rsid w:val="1D390D09"/>
    <w:rsid w:val="1D3C3E7A"/>
    <w:rsid w:val="1D3E783E"/>
    <w:rsid w:val="1D4209B0"/>
    <w:rsid w:val="1D4306C6"/>
    <w:rsid w:val="1D434E54"/>
    <w:rsid w:val="1D4533A0"/>
    <w:rsid w:val="1D454507"/>
    <w:rsid w:val="1D457206"/>
    <w:rsid w:val="1D4604A0"/>
    <w:rsid w:val="1D46626F"/>
    <w:rsid w:val="1D4806BC"/>
    <w:rsid w:val="1D493F66"/>
    <w:rsid w:val="1D4A1C90"/>
    <w:rsid w:val="1D4D182F"/>
    <w:rsid w:val="1D4D6540"/>
    <w:rsid w:val="1D5022F0"/>
    <w:rsid w:val="1D526E45"/>
    <w:rsid w:val="1D540E0F"/>
    <w:rsid w:val="1D552DD9"/>
    <w:rsid w:val="1D596426"/>
    <w:rsid w:val="1D5F77B4"/>
    <w:rsid w:val="1D623C6A"/>
    <w:rsid w:val="1D646B79"/>
    <w:rsid w:val="1D65301C"/>
    <w:rsid w:val="1D653086"/>
    <w:rsid w:val="1D655C57"/>
    <w:rsid w:val="1D672095"/>
    <w:rsid w:val="1D6800DD"/>
    <w:rsid w:val="1D6923E1"/>
    <w:rsid w:val="1D6B5850"/>
    <w:rsid w:val="1D6C3CB5"/>
    <w:rsid w:val="1D6F2573"/>
    <w:rsid w:val="1D7019C1"/>
    <w:rsid w:val="1D750659"/>
    <w:rsid w:val="1D752B34"/>
    <w:rsid w:val="1D790876"/>
    <w:rsid w:val="1D7A639C"/>
    <w:rsid w:val="1D7B2840"/>
    <w:rsid w:val="1D7C3EC2"/>
    <w:rsid w:val="1D7E2B06"/>
    <w:rsid w:val="1D7F28E8"/>
    <w:rsid w:val="1D807E78"/>
    <w:rsid w:val="1D813BCE"/>
    <w:rsid w:val="1D8148D9"/>
    <w:rsid w:val="1D81597C"/>
    <w:rsid w:val="1D8334A3"/>
    <w:rsid w:val="1D864D41"/>
    <w:rsid w:val="1D865ADA"/>
    <w:rsid w:val="1D86683A"/>
    <w:rsid w:val="1D87722F"/>
    <w:rsid w:val="1D886D0B"/>
    <w:rsid w:val="1D8965DF"/>
    <w:rsid w:val="1D8A4831"/>
    <w:rsid w:val="1D8B67FB"/>
    <w:rsid w:val="1D8D2573"/>
    <w:rsid w:val="1D8D4406"/>
    <w:rsid w:val="1D900FF2"/>
    <w:rsid w:val="1D9A1FF5"/>
    <w:rsid w:val="1D9A259A"/>
    <w:rsid w:val="1D9A5FD7"/>
    <w:rsid w:val="1D9C6312"/>
    <w:rsid w:val="1D9D45A6"/>
    <w:rsid w:val="1D9F387F"/>
    <w:rsid w:val="1D9F5E03"/>
    <w:rsid w:val="1DA11B98"/>
    <w:rsid w:val="1DA17DCD"/>
    <w:rsid w:val="1DA43419"/>
    <w:rsid w:val="1DA63635"/>
    <w:rsid w:val="1DA67191"/>
    <w:rsid w:val="1DA75A0A"/>
    <w:rsid w:val="1DA8115B"/>
    <w:rsid w:val="1DAA4ED3"/>
    <w:rsid w:val="1DAB1346"/>
    <w:rsid w:val="1DAB1CCD"/>
    <w:rsid w:val="1DAB47A7"/>
    <w:rsid w:val="1DAE09B2"/>
    <w:rsid w:val="1DAF5F1E"/>
    <w:rsid w:val="1DB13818"/>
    <w:rsid w:val="1DB21FDA"/>
    <w:rsid w:val="1DB4365C"/>
    <w:rsid w:val="1DB45D52"/>
    <w:rsid w:val="1DB7139E"/>
    <w:rsid w:val="1DB7314C"/>
    <w:rsid w:val="1DBA707B"/>
    <w:rsid w:val="1DBE097F"/>
    <w:rsid w:val="1DC13FCB"/>
    <w:rsid w:val="1DC31AF1"/>
    <w:rsid w:val="1DC46673"/>
    <w:rsid w:val="1DC615E1"/>
    <w:rsid w:val="1DC75A85"/>
    <w:rsid w:val="1DC835AB"/>
    <w:rsid w:val="1DCA10D2"/>
    <w:rsid w:val="1DCB6BF8"/>
    <w:rsid w:val="1DCD7725"/>
    <w:rsid w:val="1DD45AAC"/>
    <w:rsid w:val="1DD67A76"/>
    <w:rsid w:val="1DD7559C"/>
    <w:rsid w:val="1DDA6E3B"/>
    <w:rsid w:val="1DE1641B"/>
    <w:rsid w:val="1DE37C0A"/>
    <w:rsid w:val="1DE651E8"/>
    <w:rsid w:val="1DE859FC"/>
    <w:rsid w:val="1DE87A33"/>
    <w:rsid w:val="1DEA0062"/>
    <w:rsid w:val="1DEF28C8"/>
    <w:rsid w:val="1DEF6D8A"/>
    <w:rsid w:val="1DF0665E"/>
    <w:rsid w:val="1DF148B0"/>
    <w:rsid w:val="1DF24184"/>
    <w:rsid w:val="1DF44011"/>
    <w:rsid w:val="1DF4614E"/>
    <w:rsid w:val="1DF55B9C"/>
    <w:rsid w:val="1DF63C75"/>
    <w:rsid w:val="1DFB7B75"/>
    <w:rsid w:val="1DFC3C33"/>
    <w:rsid w:val="1DFE521F"/>
    <w:rsid w:val="1E004AF3"/>
    <w:rsid w:val="1E006E87"/>
    <w:rsid w:val="1E01086B"/>
    <w:rsid w:val="1E013226"/>
    <w:rsid w:val="1E026ABD"/>
    <w:rsid w:val="1E0565AE"/>
    <w:rsid w:val="1E072487"/>
    <w:rsid w:val="1E081BFA"/>
    <w:rsid w:val="1E0839A8"/>
    <w:rsid w:val="1E087E4C"/>
    <w:rsid w:val="1E0C3498"/>
    <w:rsid w:val="1E0F2F88"/>
    <w:rsid w:val="1E114F52"/>
    <w:rsid w:val="1E11610A"/>
    <w:rsid w:val="1E171E3D"/>
    <w:rsid w:val="1E193E07"/>
    <w:rsid w:val="1E1B192D"/>
    <w:rsid w:val="1E1D38F7"/>
    <w:rsid w:val="1E1D4F47"/>
    <w:rsid w:val="1E1D593D"/>
    <w:rsid w:val="1E1E31CB"/>
    <w:rsid w:val="1E200CF1"/>
    <w:rsid w:val="1E236A34"/>
    <w:rsid w:val="1E236DDE"/>
    <w:rsid w:val="1E2660F3"/>
    <w:rsid w:val="1E2A40E0"/>
    <w:rsid w:val="1E2B1E72"/>
    <w:rsid w:val="1E2C535C"/>
    <w:rsid w:val="1E2C7696"/>
    <w:rsid w:val="1E2D340E"/>
    <w:rsid w:val="1E2E058C"/>
    <w:rsid w:val="1E2F53D8"/>
    <w:rsid w:val="1E2F67B5"/>
    <w:rsid w:val="1E300B02"/>
    <w:rsid w:val="1E330DF6"/>
    <w:rsid w:val="1E36042F"/>
    <w:rsid w:val="1E360515"/>
    <w:rsid w:val="1E3649B9"/>
    <w:rsid w:val="1E37057C"/>
    <w:rsid w:val="1E377867"/>
    <w:rsid w:val="1E380731"/>
    <w:rsid w:val="1E3B3D7D"/>
    <w:rsid w:val="1E3B5B2B"/>
    <w:rsid w:val="1E3B6891"/>
    <w:rsid w:val="1E3E73CA"/>
    <w:rsid w:val="1E405DA8"/>
    <w:rsid w:val="1E407CEF"/>
    <w:rsid w:val="1E427EB3"/>
    <w:rsid w:val="1E430E84"/>
    <w:rsid w:val="1E447858"/>
    <w:rsid w:val="1E4569AA"/>
    <w:rsid w:val="1E4612FA"/>
    <w:rsid w:val="1E470974"/>
    <w:rsid w:val="1E472722"/>
    <w:rsid w:val="1E480248"/>
    <w:rsid w:val="1E49223A"/>
    <w:rsid w:val="1E4A0464"/>
    <w:rsid w:val="1E4C1AE7"/>
    <w:rsid w:val="1E4C5F8A"/>
    <w:rsid w:val="1E4C772B"/>
    <w:rsid w:val="1E4D585F"/>
    <w:rsid w:val="1E4D6B9A"/>
    <w:rsid w:val="1E4F7829"/>
    <w:rsid w:val="1E5170FD"/>
    <w:rsid w:val="1E5256E0"/>
    <w:rsid w:val="1E57048B"/>
    <w:rsid w:val="1E592455"/>
    <w:rsid w:val="1E594203"/>
    <w:rsid w:val="1E5B1DB9"/>
    <w:rsid w:val="1E5B61CE"/>
    <w:rsid w:val="1E5D0198"/>
    <w:rsid w:val="1E5D1F46"/>
    <w:rsid w:val="1E5D6F6E"/>
    <w:rsid w:val="1E5E7A6C"/>
    <w:rsid w:val="1E5F5CBE"/>
    <w:rsid w:val="1E6037E4"/>
    <w:rsid w:val="1E607030"/>
    <w:rsid w:val="1E635082"/>
    <w:rsid w:val="1E636E30"/>
    <w:rsid w:val="1E65704C"/>
    <w:rsid w:val="1E682698"/>
    <w:rsid w:val="1E6E3802"/>
    <w:rsid w:val="1E700C85"/>
    <w:rsid w:val="1E716874"/>
    <w:rsid w:val="1E7214C2"/>
    <w:rsid w:val="1E753566"/>
    <w:rsid w:val="1E7602DE"/>
    <w:rsid w:val="1E770F42"/>
    <w:rsid w:val="1E77420B"/>
    <w:rsid w:val="1E784AA3"/>
    <w:rsid w:val="1E791917"/>
    <w:rsid w:val="1E7B23CC"/>
    <w:rsid w:val="1E7D31D4"/>
    <w:rsid w:val="1E7D4396"/>
    <w:rsid w:val="1E7D6558"/>
    <w:rsid w:val="1E804ED9"/>
    <w:rsid w:val="1E8079E2"/>
    <w:rsid w:val="1E827BFE"/>
    <w:rsid w:val="1E830C89"/>
    <w:rsid w:val="1E870D71"/>
    <w:rsid w:val="1E876FC3"/>
    <w:rsid w:val="1E88623C"/>
    <w:rsid w:val="1E8951AF"/>
    <w:rsid w:val="1E8960A8"/>
    <w:rsid w:val="1E8A260F"/>
    <w:rsid w:val="1E8C282B"/>
    <w:rsid w:val="1E8C604D"/>
    <w:rsid w:val="1E8E20FF"/>
    <w:rsid w:val="1E8E730D"/>
    <w:rsid w:val="1E8F6C9B"/>
    <w:rsid w:val="1E91399D"/>
    <w:rsid w:val="1E9507DB"/>
    <w:rsid w:val="1E962389"/>
    <w:rsid w:val="1E982F7E"/>
    <w:rsid w:val="1E9837DA"/>
    <w:rsid w:val="1E990AA4"/>
    <w:rsid w:val="1E990C5B"/>
    <w:rsid w:val="1E9A4F48"/>
    <w:rsid w:val="1E9B2A6E"/>
    <w:rsid w:val="1E9D7B4E"/>
    <w:rsid w:val="1E9E6834"/>
    <w:rsid w:val="1E9F430C"/>
    <w:rsid w:val="1EA01E32"/>
    <w:rsid w:val="1EA153C2"/>
    <w:rsid w:val="1EA23DFC"/>
    <w:rsid w:val="1EA25BAA"/>
    <w:rsid w:val="1EA638ED"/>
    <w:rsid w:val="1EA731C1"/>
    <w:rsid w:val="1EA77665"/>
    <w:rsid w:val="1EA90CE7"/>
    <w:rsid w:val="1EA96F39"/>
    <w:rsid w:val="1EAB15D6"/>
    <w:rsid w:val="1EAC6A29"/>
    <w:rsid w:val="1EAD0B6F"/>
    <w:rsid w:val="1EAE3776"/>
    <w:rsid w:val="1EB1403F"/>
    <w:rsid w:val="1EB54ED5"/>
    <w:rsid w:val="1EB95199"/>
    <w:rsid w:val="1EBA350E"/>
    <w:rsid w:val="1EBB4EBE"/>
    <w:rsid w:val="1EBB6C6C"/>
    <w:rsid w:val="1EBB798A"/>
    <w:rsid w:val="1EBC0E1A"/>
    <w:rsid w:val="1EBD45AE"/>
    <w:rsid w:val="1EBF5BEC"/>
    <w:rsid w:val="1EBF675C"/>
    <w:rsid w:val="1EC07EEB"/>
    <w:rsid w:val="1EC2624D"/>
    <w:rsid w:val="1EC40A13"/>
    <w:rsid w:val="1EC5360D"/>
    <w:rsid w:val="1EC57AEB"/>
    <w:rsid w:val="1EC75611"/>
    <w:rsid w:val="1EC91CF6"/>
    <w:rsid w:val="1EC975DB"/>
    <w:rsid w:val="1ECB5101"/>
    <w:rsid w:val="1ECC5A97"/>
    <w:rsid w:val="1ECD7650"/>
    <w:rsid w:val="1ECE002B"/>
    <w:rsid w:val="1ECE699F"/>
    <w:rsid w:val="1ED038BC"/>
    <w:rsid w:val="1ED243AD"/>
    <w:rsid w:val="1ED3045A"/>
    <w:rsid w:val="1ED32208"/>
    <w:rsid w:val="1ED61CF8"/>
    <w:rsid w:val="1ED65854"/>
    <w:rsid w:val="1ED763D7"/>
    <w:rsid w:val="1ED85A70"/>
    <w:rsid w:val="1EDA4C24"/>
    <w:rsid w:val="1EDB07A1"/>
    <w:rsid w:val="1EDB183D"/>
    <w:rsid w:val="1EDC730E"/>
    <w:rsid w:val="1EDD4E34"/>
    <w:rsid w:val="1EDD6BE3"/>
    <w:rsid w:val="1EE14925"/>
    <w:rsid w:val="1EE2069D"/>
    <w:rsid w:val="1EE77A61"/>
    <w:rsid w:val="1EE95587"/>
    <w:rsid w:val="1EEB273B"/>
    <w:rsid w:val="1EEC5078"/>
    <w:rsid w:val="1EEF4150"/>
    <w:rsid w:val="1EF009BC"/>
    <w:rsid w:val="1EF33C79"/>
    <w:rsid w:val="1EF34658"/>
    <w:rsid w:val="1EF351FB"/>
    <w:rsid w:val="1EF8649C"/>
    <w:rsid w:val="1EF87EC0"/>
    <w:rsid w:val="1EFA0DBC"/>
    <w:rsid w:val="1EFA7794"/>
    <w:rsid w:val="1EFB52BB"/>
    <w:rsid w:val="1EFC1096"/>
    <w:rsid w:val="1EFF124F"/>
    <w:rsid w:val="1F0028D1"/>
    <w:rsid w:val="1F003438"/>
    <w:rsid w:val="1F02489B"/>
    <w:rsid w:val="1F06438B"/>
    <w:rsid w:val="1F070103"/>
    <w:rsid w:val="1F0708E0"/>
    <w:rsid w:val="1F070A8A"/>
    <w:rsid w:val="1F096EA9"/>
    <w:rsid w:val="1F0C1276"/>
    <w:rsid w:val="1F0D0973"/>
    <w:rsid w:val="1F0E1492"/>
    <w:rsid w:val="1F0E3240"/>
    <w:rsid w:val="1F0E4FEE"/>
    <w:rsid w:val="1F100D66"/>
    <w:rsid w:val="1F102444"/>
    <w:rsid w:val="1F10520A"/>
    <w:rsid w:val="1F106FB8"/>
    <w:rsid w:val="1F1072F4"/>
    <w:rsid w:val="1F121445"/>
    <w:rsid w:val="1F130856"/>
    <w:rsid w:val="1F136AA8"/>
    <w:rsid w:val="1F136DFA"/>
    <w:rsid w:val="1F165C7A"/>
    <w:rsid w:val="1F184345"/>
    <w:rsid w:val="1F1A2F77"/>
    <w:rsid w:val="1F1B10B6"/>
    <w:rsid w:val="1F1C595D"/>
    <w:rsid w:val="1F244811"/>
    <w:rsid w:val="1F2554B9"/>
    <w:rsid w:val="1F26058A"/>
    <w:rsid w:val="1F282554"/>
    <w:rsid w:val="1F291E28"/>
    <w:rsid w:val="1F2D7B6A"/>
    <w:rsid w:val="1F3031B6"/>
    <w:rsid w:val="1F3034D8"/>
    <w:rsid w:val="1F313CB9"/>
    <w:rsid w:val="1F353098"/>
    <w:rsid w:val="1F370D5E"/>
    <w:rsid w:val="1F3A340D"/>
    <w:rsid w:val="1F3C5FFF"/>
    <w:rsid w:val="1F3D3B25"/>
    <w:rsid w:val="1F3D58D3"/>
    <w:rsid w:val="1F3F33F9"/>
    <w:rsid w:val="1F40220D"/>
    <w:rsid w:val="1F422EEA"/>
    <w:rsid w:val="1F443106"/>
    <w:rsid w:val="1F4560C7"/>
    <w:rsid w:val="1F457AFE"/>
    <w:rsid w:val="1F460C2C"/>
    <w:rsid w:val="1F461F8E"/>
    <w:rsid w:val="1F49071C"/>
    <w:rsid w:val="1F4B7FF0"/>
    <w:rsid w:val="1F4C1054"/>
    <w:rsid w:val="1F4D7CE4"/>
    <w:rsid w:val="1F4E188E"/>
    <w:rsid w:val="1F501AAA"/>
    <w:rsid w:val="1F5122ED"/>
    <w:rsid w:val="1F52137F"/>
    <w:rsid w:val="1F533349"/>
    <w:rsid w:val="1F5A6485"/>
    <w:rsid w:val="1F5C21FD"/>
    <w:rsid w:val="1F5C3FAB"/>
    <w:rsid w:val="1F5E5F75"/>
    <w:rsid w:val="1F605239"/>
    <w:rsid w:val="1F6071C6"/>
    <w:rsid w:val="1F63358C"/>
    <w:rsid w:val="1F6410B2"/>
    <w:rsid w:val="1F66307C"/>
    <w:rsid w:val="1F664433"/>
    <w:rsid w:val="1F6711E3"/>
    <w:rsid w:val="1F6B0EC5"/>
    <w:rsid w:val="1F6B2440"/>
    <w:rsid w:val="1F6B41EE"/>
    <w:rsid w:val="1F6B68E4"/>
    <w:rsid w:val="1F6C2C44"/>
    <w:rsid w:val="1F6E3CDF"/>
    <w:rsid w:val="1F6F5AB9"/>
    <w:rsid w:val="1F7237CF"/>
    <w:rsid w:val="1F7363E0"/>
    <w:rsid w:val="1F737547"/>
    <w:rsid w:val="1F794C63"/>
    <w:rsid w:val="1F7A62B3"/>
    <w:rsid w:val="1F7E4C34"/>
    <w:rsid w:val="1F7F5EEC"/>
    <w:rsid w:val="1F833C2E"/>
    <w:rsid w:val="1F835D34"/>
    <w:rsid w:val="1F855358"/>
    <w:rsid w:val="1F864856"/>
    <w:rsid w:val="1F884DA0"/>
    <w:rsid w:val="1F8B1D63"/>
    <w:rsid w:val="1F8C32FF"/>
    <w:rsid w:val="1F8F60E9"/>
    <w:rsid w:val="1F917661"/>
    <w:rsid w:val="1F947BE9"/>
    <w:rsid w:val="1F96177A"/>
    <w:rsid w:val="1F971A19"/>
    <w:rsid w:val="1F98670B"/>
    <w:rsid w:val="1F99183C"/>
    <w:rsid w:val="1F995103"/>
    <w:rsid w:val="1F996A3F"/>
    <w:rsid w:val="1F996FAD"/>
    <w:rsid w:val="1F9A2D26"/>
    <w:rsid w:val="1F9C6A9E"/>
    <w:rsid w:val="1F9E6C03"/>
    <w:rsid w:val="1FA15B25"/>
    <w:rsid w:val="1FA43022"/>
    <w:rsid w:val="1FA51F99"/>
    <w:rsid w:val="1FA77D59"/>
    <w:rsid w:val="1FA94D17"/>
    <w:rsid w:val="1FA95FB7"/>
    <w:rsid w:val="1FAB0A8F"/>
    <w:rsid w:val="1FAB50E1"/>
    <w:rsid w:val="1FAB6CE1"/>
    <w:rsid w:val="1FAD4807"/>
    <w:rsid w:val="1FAE1226"/>
    <w:rsid w:val="1FAE597E"/>
    <w:rsid w:val="1FB2006F"/>
    <w:rsid w:val="1FB262C1"/>
    <w:rsid w:val="1FB45B95"/>
    <w:rsid w:val="1FB72055"/>
    <w:rsid w:val="1FB87888"/>
    <w:rsid w:val="1FBB33C8"/>
    <w:rsid w:val="1FBC2C9C"/>
    <w:rsid w:val="1FBE6946"/>
    <w:rsid w:val="1FBF278C"/>
    <w:rsid w:val="1FC009DE"/>
    <w:rsid w:val="1FC411CB"/>
    <w:rsid w:val="1FC57DA2"/>
    <w:rsid w:val="1FC6415B"/>
    <w:rsid w:val="1FC73179"/>
    <w:rsid w:val="1FC81641"/>
    <w:rsid w:val="1FC85AE5"/>
    <w:rsid w:val="1FC87893"/>
    <w:rsid w:val="1FCA323B"/>
    <w:rsid w:val="1FCA360B"/>
    <w:rsid w:val="1FCB1131"/>
    <w:rsid w:val="1FCF304C"/>
    <w:rsid w:val="1FD04999"/>
    <w:rsid w:val="1FD06747"/>
    <w:rsid w:val="1FD224BF"/>
    <w:rsid w:val="1FD311FC"/>
    <w:rsid w:val="1FD46237"/>
    <w:rsid w:val="1FD51DFC"/>
    <w:rsid w:val="1FD955FC"/>
    <w:rsid w:val="1FDA03DD"/>
    <w:rsid w:val="1FDA33E6"/>
    <w:rsid w:val="1FDB5818"/>
    <w:rsid w:val="1FDC6E9A"/>
    <w:rsid w:val="1FDC79CB"/>
    <w:rsid w:val="1FDE0E64"/>
    <w:rsid w:val="1FDE2C12"/>
    <w:rsid w:val="1FE00127"/>
    <w:rsid w:val="1FE02E2E"/>
    <w:rsid w:val="1FE12702"/>
    <w:rsid w:val="1FE32951"/>
    <w:rsid w:val="1FE50445"/>
    <w:rsid w:val="1FE67D19"/>
    <w:rsid w:val="1FE73CCD"/>
    <w:rsid w:val="1FE81CE3"/>
    <w:rsid w:val="1FE87F35"/>
    <w:rsid w:val="1FE975A9"/>
    <w:rsid w:val="1FEA4675"/>
    <w:rsid w:val="1FEC17D3"/>
    <w:rsid w:val="1FED68A4"/>
    <w:rsid w:val="1FEF3071"/>
    <w:rsid w:val="1FEF4E1F"/>
    <w:rsid w:val="1FF00B97"/>
    <w:rsid w:val="1FF035A5"/>
    <w:rsid w:val="1FF1763D"/>
    <w:rsid w:val="1FF24910"/>
    <w:rsid w:val="1FF2595F"/>
    <w:rsid w:val="1FF31EC3"/>
    <w:rsid w:val="1FF33A7F"/>
    <w:rsid w:val="1FFB7C68"/>
    <w:rsid w:val="1FFE1506"/>
    <w:rsid w:val="1FFE7559"/>
    <w:rsid w:val="2000702C"/>
    <w:rsid w:val="2001024E"/>
    <w:rsid w:val="20014B53"/>
    <w:rsid w:val="20016901"/>
    <w:rsid w:val="20020FF7"/>
    <w:rsid w:val="2007660D"/>
    <w:rsid w:val="200A6A16"/>
    <w:rsid w:val="200B42D8"/>
    <w:rsid w:val="200C59D1"/>
    <w:rsid w:val="200F101E"/>
    <w:rsid w:val="20106833"/>
    <w:rsid w:val="20125548"/>
    <w:rsid w:val="201523AC"/>
    <w:rsid w:val="201557E0"/>
    <w:rsid w:val="201725C8"/>
    <w:rsid w:val="20174376"/>
    <w:rsid w:val="20174896"/>
    <w:rsid w:val="201827B7"/>
    <w:rsid w:val="201900EE"/>
    <w:rsid w:val="20196CC9"/>
    <w:rsid w:val="201D29B4"/>
    <w:rsid w:val="201E5705"/>
    <w:rsid w:val="201E74B3"/>
    <w:rsid w:val="202111B2"/>
    <w:rsid w:val="20225213"/>
    <w:rsid w:val="20273226"/>
    <w:rsid w:val="202A5D88"/>
    <w:rsid w:val="202C7E22"/>
    <w:rsid w:val="2031368A"/>
    <w:rsid w:val="20313878"/>
    <w:rsid w:val="203171E6"/>
    <w:rsid w:val="203211B0"/>
    <w:rsid w:val="203266EE"/>
    <w:rsid w:val="20340D69"/>
    <w:rsid w:val="20362A4E"/>
    <w:rsid w:val="20370574"/>
    <w:rsid w:val="203767C6"/>
    <w:rsid w:val="20390790"/>
    <w:rsid w:val="203E1903"/>
    <w:rsid w:val="203E2020"/>
    <w:rsid w:val="20401B1F"/>
    <w:rsid w:val="2040567B"/>
    <w:rsid w:val="20407429"/>
    <w:rsid w:val="20417F77"/>
    <w:rsid w:val="204809D3"/>
    <w:rsid w:val="20482782"/>
    <w:rsid w:val="20484740"/>
    <w:rsid w:val="20493FA2"/>
    <w:rsid w:val="20505813"/>
    <w:rsid w:val="20523FE7"/>
    <w:rsid w:val="205242F2"/>
    <w:rsid w:val="20531852"/>
    <w:rsid w:val="20564E9E"/>
    <w:rsid w:val="205729C2"/>
    <w:rsid w:val="205731B1"/>
    <w:rsid w:val="2057365A"/>
    <w:rsid w:val="20592BE1"/>
    <w:rsid w:val="2059673D"/>
    <w:rsid w:val="205B24B5"/>
    <w:rsid w:val="205E1FA5"/>
    <w:rsid w:val="20606F86"/>
    <w:rsid w:val="20607ACB"/>
    <w:rsid w:val="20621A95"/>
    <w:rsid w:val="20623843"/>
    <w:rsid w:val="20631369"/>
    <w:rsid w:val="2064487A"/>
    <w:rsid w:val="20651585"/>
    <w:rsid w:val="20653333"/>
    <w:rsid w:val="20656B81"/>
    <w:rsid w:val="206770AC"/>
    <w:rsid w:val="206A5E4C"/>
    <w:rsid w:val="206A6B9C"/>
    <w:rsid w:val="206C1504"/>
    <w:rsid w:val="206D21E8"/>
    <w:rsid w:val="206E0C49"/>
    <w:rsid w:val="206F5F60"/>
    <w:rsid w:val="20703261"/>
    <w:rsid w:val="207277FE"/>
    <w:rsid w:val="20736165"/>
    <w:rsid w:val="20753912"/>
    <w:rsid w:val="20755E77"/>
    <w:rsid w:val="2076109D"/>
    <w:rsid w:val="20765541"/>
    <w:rsid w:val="2078049E"/>
    <w:rsid w:val="2079293B"/>
    <w:rsid w:val="20793160"/>
    <w:rsid w:val="20793DC7"/>
    <w:rsid w:val="207955DD"/>
    <w:rsid w:val="207A337B"/>
    <w:rsid w:val="207D067D"/>
    <w:rsid w:val="207D46DD"/>
    <w:rsid w:val="207E43F5"/>
    <w:rsid w:val="207F0CE8"/>
    <w:rsid w:val="208170D4"/>
    <w:rsid w:val="20823EE5"/>
    <w:rsid w:val="20831A0C"/>
    <w:rsid w:val="208337BA"/>
    <w:rsid w:val="2084257A"/>
    <w:rsid w:val="208512E0"/>
    <w:rsid w:val="208714FC"/>
    <w:rsid w:val="208A0FEC"/>
    <w:rsid w:val="208E4638"/>
    <w:rsid w:val="20914128"/>
    <w:rsid w:val="209244B7"/>
    <w:rsid w:val="20947775"/>
    <w:rsid w:val="20987A7B"/>
    <w:rsid w:val="209C3893"/>
    <w:rsid w:val="209E7D28"/>
    <w:rsid w:val="20A7394C"/>
    <w:rsid w:val="20AB0F1F"/>
    <w:rsid w:val="20AB115F"/>
    <w:rsid w:val="20AC2D10"/>
    <w:rsid w:val="20B03EE8"/>
    <w:rsid w:val="20B10327"/>
    <w:rsid w:val="20B272B8"/>
    <w:rsid w:val="20B3409F"/>
    <w:rsid w:val="20B50AD8"/>
    <w:rsid w:val="20B533DE"/>
    <w:rsid w:val="20B54B1F"/>
    <w:rsid w:val="20B57B54"/>
    <w:rsid w:val="20B63B8F"/>
    <w:rsid w:val="20B83463"/>
    <w:rsid w:val="20B9542D"/>
    <w:rsid w:val="20BD18CC"/>
    <w:rsid w:val="20BD4F1E"/>
    <w:rsid w:val="20BF1F96"/>
    <w:rsid w:val="20C030B6"/>
    <w:rsid w:val="20C067BC"/>
    <w:rsid w:val="20C242E2"/>
    <w:rsid w:val="20C305B3"/>
    <w:rsid w:val="20C35B0B"/>
    <w:rsid w:val="20C4005A"/>
    <w:rsid w:val="20C43E45"/>
    <w:rsid w:val="20C46F55"/>
    <w:rsid w:val="20CA13E8"/>
    <w:rsid w:val="20CA763A"/>
    <w:rsid w:val="20CB6D45"/>
    <w:rsid w:val="20CE0ED9"/>
    <w:rsid w:val="20CF0E1D"/>
    <w:rsid w:val="20D46D08"/>
    <w:rsid w:val="20D504B9"/>
    <w:rsid w:val="20D67D8D"/>
    <w:rsid w:val="20DB1848"/>
    <w:rsid w:val="20DB35F6"/>
    <w:rsid w:val="20E24984"/>
    <w:rsid w:val="20E424AA"/>
    <w:rsid w:val="20EA1ACA"/>
    <w:rsid w:val="20EA30E2"/>
    <w:rsid w:val="20EA55E7"/>
    <w:rsid w:val="20EC5457"/>
    <w:rsid w:val="20EC75B1"/>
    <w:rsid w:val="20EC77BF"/>
    <w:rsid w:val="20ED3FB3"/>
    <w:rsid w:val="20EE157B"/>
    <w:rsid w:val="20F16975"/>
    <w:rsid w:val="20F35F51"/>
    <w:rsid w:val="20F36B91"/>
    <w:rsid w:val="20F52909"/>
    <w:rsid w:val="20F6042F"/>
    <w:rsid w:val="20F8799C"/>
    <w:rsid w:val="20FA3A7C"/>
    <w:rsid w:val="20FA7F20"/>
    <w:rsid w:val="20FD17BE"/>
    <w:rsid w:val="20FF1092"/>
    <w:rsid w:val="2100305C"/>
    <w:rsid w:val="21003C5B"/>
    <w:rsid w:val="21020B82"/>
    <w:rsid w:val="21034305"/>
    <w:rsid w:val="21042B4C"/>
    <w:rsid w:val="210448FA"/>
    <w:rsid w:val="21090163"/>
    <w:rsid w:val="21093CBF"/>
    <w:rsid w:val="210A7C5B"/>
    <w:rsid w:val="210B25A9"/>
    <w:rsid w:val="210E7527"/>
    <w:rsid w:val="21110DC5"/>
    <w:rsid w:val="21117845"/>
    <w:rsid w:val="211430CB"/>
    <w:rsid w:val="21154D5A"/>
    <w:rsid w:val="211663DC"/>
    <w:rsid w:val="211D59BC"/>
    <w:rsid w:val="211F34E2"/>
    <w:rsid w:val="21240AF9"/>
    <w:rsid w:val="2125431C"/>
    <w:rsid w:val="21254871"/>
    <w:rsid w:val="212705E9"/>
    <w:rsid w:val="21274A8D"/>
    <w:rsid w:val="212A0BF1"/>
    <w:rsid w:val="212A775F"/>
    <w:rsid w:val="212E3725"/>
    <w:rsid w:val="212E5E1B"/>
    <w:rsid w:val="21333432"/>
    <w:rsid w:val="21380A48"/>
    <w:rsid w:val="213845A4"/>
    <w:rsid w:val="213C22E6"/>
    <w:rsid w:val="213D1B0E"/>
    <w:rsid w:val="214132B4"/>
    <w:rsid w:val="214142AE"/>
    <w:rsid w:val="21415B4F"/>
    <w:rsid w:val="214271D1"/>
    <w:rsid w:val="21464F13"/>
    <w:rsid w:val="21466CC1"/>
    <w:rsid w:val="21472A39"/>
    <w:rsid w:val="214967B1"/>
    <w:rsid w:val="214C62A1"/>
    <w:rsid w:val="21521B0A"/>
    <w:rsid w:val="215353DE"/>
    <w:rsid w:val="215533A8"/>
    <w:rsid w:val="21556F04"/>
    <w:rsid w:val="21570ECE"/>
    <w:rsid w:val="21582E98"/>
    <w:rsid w:val="21584C46"/>
    <w:rsid w:val="215B0293"/>
    <w:rsid w:val="215B25C0"/>
    <w:rsid w:val="21613AFB"/>
    <w:rsid w:val="21635AC5"/>
    <w:rsid w:val="21641C9C"/>
    <w:rsid w:val="21645399"/>
    <w:rsid w:val="21690C01"/>
    <w:rsid w:val="216B2BCB"/>
    <w:rsid w:val="216B497A"/>
    <w:rsid w:val="216C336E"/>
    <w:rsid w:val="216D06F2"/>
    <w:rsid w:val="216D28D6"/>
    <w:rsid w:val="216D49AD"/>
    <w:rsid w:val="217001E2"/>
    <w:rsid w:val="21703DD0"/>
    <w:rsid w:val="21717AB6"/>
    <w:rsid w:val="21717BB1"/>
    <w:rsid w:val="21731FC6"/>
    <w:rsid w:val="21741D06"/>
    <w:rsid w:val="21744FAF"/>
    <w:rsid w:val="217501FF"/>
    <w:rsid w:val="21755571"/>
    <w:rsid w:val="217710C9"/>
    <w:rsid w:val="21771570"/>
    <w:rsid w:val="217952E8"/>
    <w:rsid w:val="217A696B"/>
    <w:rsid w:val="217C26E3"/>
    <w:rsid w:val="217C2822"/>
    <w:rsid w:val="217E2424"/>
    <w:rsid w:val="217E28FF"/>
    <w:rsid w:val="2181419D"/>
    <w:rsid w:val="21821D1D"/>
    <w:rsid w:val="21823F72"/>
    <w:rsid w:val="21833D96"/>
    <w:rsid w:val="21846E79"/>
    <w:rsid w:val="218477E9"/>
    <w:rsid w:val="218755AB"/>
    <w:rsid w:val="218C669E"/>
    <w:rsid w:val="218D2B42"/>
    <w:rsid w:val="218E68BA"/>
    <w:rsid w:val="219043E0"/>
    <w:rsid w:val="21920A05"/>
    <w:rsid w:val="219263AA"/>
    <w:rsid w:val="2192676A"/>
    <w:rsid w:val="21933ED0"/>
    <w:rsid w:val="21934186"/>
    <w:rsid w:val="219519F6"/>
    <w:rsid w:val="21957C48"/>
    <w:rsid w:val="21966074"/>
    <w:rsid w:val="21986773"/>
    <w:rsid w:val="219A0DBB"/>
    <w:rsid w:val="219C2D85"/>
    <w:rsid w:val="219E4D4F"/>
    <w:rsid w:val="219F63D1"/>
    <w:rsid w:val="21A1039B"/>
    <w:rsid w:val="21A165ED"/>
    <w:rsid w:val="21A20DB8"/>
    <w:rsid w:val="21A472EF"/>
    <w:rsid w:val="21A63705"/>
    <w:rsid w:val="21A734D8"/>
    <w:rsid w:val="21A901CD"/>
    <w:rsid w:val="21AA1DD5"/>
    <w:rsid w:val="21AD4F92"/>
    <w:rsid w:val="21B225A8"/>
    <w:rsid w:val="21B300CF"/>
    <w:rsid w:val="21B41F35"/>
    <w:rsid w:val="21B444F0"/>
    <w:rsid w:val="21B55BF5"/>
    <w:rsid w:val="21B75E11"/>
    <w:rsid w:val="21B856E5"/>
    <w:rsid w:val="21BA76AF"/>
    <w:rsid w:val="21BA7C86"/>
    <w:rsid w:val="21BC51D5"/>
    <w:rsid w:val="21BE2457"/>
    <w:rsid w:val="21BE719F"/>
    <w:rsid w:val="21C267AA"/>
    <w:rsid w:val="21C4408F"/>
    <w:rsid w:val="21C608A5"/>
    <w:rsid w:val="21C61BB0"/>
    <w:rsid w:val="21C645C5"/>
    <w:rsid w:val="21C916A0"/>
    <w:rsid w:val="21CD0AD1"/>
    <w:rsid w:val="21CF315A"/>
    <w:rsid w:val="21D249F9"/>
    <w:rsid w:val="21D32368"/>
    <w:rsid w:val="21D525D5"/>
    <w:rsid w:val="21D544E9"/>
    <w:rsid w:val="21D95D87"/>
    <w:rsid w:val="21DA38AD"/>
    <w:rsid w:val="21DB1C22"/>
    <w:rsid w:val="21DC37D4"/>
    <w:rsid w:val="21DE15EF"/>
    <w:rsid w:val="21DE339D"/>
    <w:rsid w:val="21DF3243"/>
    <w:rsid w:val="21E36C06"/>
    <w:rsid w:val="21E41F66"/>
    <w:rsid w:val="21E52424"/>
    <w:rsid w:val="21E62252"/>
    <w:rsid w:val="21E64000"/>
    <w:rsid w:val="21E8421C"/>
    <w:rsid w:val="21E85FCA"/>
    <w:rsid w:val="21EA1D42"/>
    <w:rsid w:val="21EA65DC"/>
    <w:rsid w:val="21EC38E3"/>
    <w:rsid w:val="21EE1107"/>
    <w:rsid w:val="21EF4752"/>
    <w:rsid w:val="21EF66E7"/>
    <w:rsid w:val="21F030D1"/>
    <w:rsid w:val="21F66939"/>
    <w:rsid w:val="21F726B1"/>
    <w:rsid w:val="21F91F85"/>
    <w:rsid w:val="21FA7AAB"/>
    <w:rsid w:val="21FB3F4F"/>
    <w:rsid w:val="21FC3824"/>
    <w:rsid w:val="21FD6BC4"/>
    <w:rsid w:val="21FE57EE"/>
    <w:rsid w:val="22027598"/>
    <w:rsid w:val="220426D8"/>
    <w:rsid w:val="2208666C"/>
    <w:rsid w:val="220A23E4"/>
    <w:rsid w:val="220B2EF6"/>
    <w:rsid w:val="220B5C30"/>
    <w:rsid w:val="220D5A31"/>
    <w:rsid w:val="22104C20"/>
    <w:rsid w:val="22105521"/>
    <w:rsid w:val="22113B19"/>
    <w:rsid w:val="221424D5"/>
    <w:rsid w:val="2214507F"/>
    <w:rsid w:val="22163203"/>
    <w:rsid w:val="2217065D"/>
    <w:rsid w:val="22186862"/>
    <w:rsid w:val="221A365E"/>
    <w:rsid w:val="221B4358"/>
    <w:rsid w:val="221B61BB"/>
    <w:rsid w:val="221C2118"/>
    <w:rsid w:val="221E19EC"/>
    <w:rsid w:val="221E7C3E"/>
    <w:rsid w:val="221F0D41"/>
    <w:rsid w:val="221F659D"/>
    <w:rsid w:val="222039B6"/>
    <w:rsid w:val="222114DC"/>
    <w:rsid w:val="22230DB0"/>
    <w:rsid w:val="22237002"/>
    <w:rsid w:val="22291E3E"/>
    <w:rsid w:val="222B4257"/>
    <w:rsid w:val="222C73D3"/>
    <w:rsid w:val="22325497"/>
    <w:rsid w:val="22327245"/>
    <w:rsid w:val="22350AE4"/>
    <w:rsid w:val="22370D00"/>
    <w:rsid w:val="22396826"/>
    <w:rsid w:val="223B07F0"/>
    <w:rsid w:val="223B259E"/>
    <w:rsid w:val="223B434C"/>
    <w:rsid w:val="223C1E72"/>
    <w:rsid w:val="223C6316"/>
    <w:rsid w:val="223D53B5"/>
    <w:rsid w:val="223E208E"/>
    <w:rsid w:val="223F6BD2"/>
    <w:rsid w:val="22401962"/>
    <w:rsid w:val="22414C51"/>
    <w:rsid w:val="22427D7D"/>
    <w:rsid w:val="22456F79"/>
    <w:rsid w:val="224623B3"/>
    <w:rsid w:val="22486C26"/>
    <w:rsid w:val="224A27E1"/>
    <w:rsid w:val="224A458F"/>
    <w:rsid w:val="224C47AB"/>
    <w:rsid w:val="224C6605"/>
    <w:rsid w:val="224D407F"/>
    <w:rsid w:val="22516416"/>
    <w:rsid w:val="22535048"/>
    <w:rsid w:val="225620E5"/>
    <w:rsid w:val="22576CAC"/>
    <w:rsid w:val="22592672"/>
    <w:rsid w:val="22596EC8"/>
    <w:rsid w:val="225B49EE"/>
    <w:rsid w:val="225C42C2"/>
    <w:rsid w:val="225C64AE"/>
    <w:rsid w:val="225D0766"/>
    <w:rsid w:val="225E003A"/>
    <w:rsid w:val="225E44DE"/>
    <w:rsid w:val="225F1EAA"/>
    <w:rsid w:val="22602004"/>
    <w:rsid w:val="226100AE"/>
    <w:rsid w:val="22610DF3"/>
    <w:rsid w:val="2265008D"/>
    <w:rsid w:val="226513C9"/>
    <w:rsid w:val="226D4721"/>
    <w:rsid w:val="22717D6E"/>
    <w:rsid w:val="22744381"/>
    <w:rsid w:val="227446D7"/>
    <w:rsid w:val="22770131"/>
    <w:rsid w:val="2277734E"/>
    <w:rsid w:val="227B299A"/>
    <w:rsid w:val="227F50D5"/>
    <w:rsid w:val="228026A7"/>
    <w:rsid w:val="228050AA"/>
    <w:rsid w:val="22813D29"/>
    <w:rsid w:val="22813E3B"/>
    <w:rsid w:val="22853819"/>
    <w:rsid w:val="228727F7"/>
    <w:rsid w:val="2288155B"/>
    <w:rsid w:val="228910F3"/>
    <w:rsid w:val="22895117"/>
    <w:rsid w:val="228B27F5"/>
    <w:rsid w:val="228B7ED2"/>
    <w:rsid w:val="228C2DF9"/>
    <w:rsid w:val="228D26CE"/>
    <w:rsid w:val="229434A3"/>
    <w:rsid w:val="2297354C"/>
    <w:rsid w:val="22987E08"/>
    <w:rsid w:val="22993768"/>
    <w:rsid w:val="229A3C54"/>
    <w:rsid w:val="229D5007"/>
    <w:rsid w:val="229E2B2D"/>
    <w:rsid w:val="229E48DB"/>
    <w:rsid w:val="229F2302"/>
    <w:rsid w:val="22A2261D"/>
    <w:rsid w:val="22A55C69"/>
    <w:rsid w:val="22A7378F"/>
    <w:rsid w:val="22A77C33"/>
    <w:rsid w:val="22AA6715"/>
    <w:rsid w:val="22AA6C43"/>
    <w:rsid w:val="22AB401E"/>
    <w:rsid w:val="22AC2B5D"/>
    <w:rsid w:val="22AC349C"/>
    <w:rsid w:val="22AD4B1E"/>
    <w:rsid w:val="22AE0FC2"/>
    <w:rsid w:val="22B015AE"/>
    <w:rsid w:val="22B45EAC"/>
    <w:rsid w:val="22B825D4"/>
    <w:rsid w:val="22B8599C"/>
    <w:rsid w:val="22B85A85"/>
    <w:rsid w:val="22BA5BB9"/>
    <w:rsid w:val="22BB36DF"/>
    <w:rsid w:val="22BD2FB3"/>
    <w:rsid w:val="22C37427"/>
    <w:rsid w:val="22C5455D"/>
    <w:rsid w:val="22C5630B"/>
    <w:rsid w:val="22CA1B74"/>
    <w:rsid w:val="22CC06DF"/>
    <w:rsid w:val="22CC64E9"/>
    <w:rsid w:val="22CF1D97"/>
    <w:rsid w:val="22D36C7A"/>
    <w:rsid w:val="22D402FC"/>
    <w:rsid w:val="22D447A0"/>
    <w:rsid w:val="22D622C7"/>
    <w:rsid w:val="22D630A1"/>
    <w:rsid w:val="22DC07A1"/>
    <w:rsid w:val="22DD18A7"/>
    <w:rsid w:val="22DD3655"/>
    <w:rsid w:val="22E26EBD"/>
    <w:rsid w:val="22E9024C"/>
    <w:rsid w:val="22EA5D72"/>
    <w:rsid w:val="22EA7B20"/>
    <w:rsid w:val="22EC3C97"/>
    <w:rsid w:val="22F10EAE"/>
    <w:rsid w:val="22F36458"/>
    <w:rsid w:val="22F369D5"/>
    <w:rsid w:val="22F610D4"/>
    <w:rsid w:val="22F62969"/>
    <w:rsid w:val="22F83FEB"/>
    <w:rsid w:val="22F97D63"/>
    <w:rsid w:val="22FB4722"/>
    <w:rsid w:val="23005194"/>
    <w:rsid w:val="23011D9A"/>
    <w:rsid w:val="2301228E"/>
    <w:rsid w:val="23016625"/>
    <w:rsid w:val="2309444A"/>
    <w:rsid w:val="230A01C2"/>
    <w:rsid w:val="230B235C"/>
    <w:rsid w:val="230B5347"/>
    <w:rsid w:val="230E380E"/>
    <w:rsid w:val="230E7CB2"/>
    <w:rsid w:val="230F4B12"/>
    <w:rsid w:val="23103A2A"/>
    <w:rsid w:val="231132FF"/>
    <w:rsid w:val="23130E25"/>
    <w:rsid w:val="231336BF"/>
    <w:rsid w:val="23134566"/>
    <w:rsid w:val="231345C9"/>
    <w:rsid w:val="23156AA1"/>
    <w:rsid w:val="23160915"/>
    <w:rsid w:val="23164DB9"/>
    <w:rsid w:val="2318468D"/>
    <w:rsid w:val="231B417D"/>
    <w:rsid w:val="231B5F2B"/>
    <w:rsid w:val="231D0165"/>
    <w:rsid w:val="231D7EF5"/>
    <w:rsid w:val="231F3247"/>
    <w:rsid w:val="231F5A1C"/>
    <w:rsid w:val="23201794"/>
    <w:rsid w:val="232079E6"/>
    <w:rsid w:val="23244261"/>
    <w:rsid w:val="232474D6"/>
    <w:rsid w:val="23270D74"/>
    <w:rsid w:val="232871AD"/>
    <w:rsid w:val="2329689A"/>
    <w:rsid w:val="232B0864"/>
    <w:rsid w:val="232B7D71"/>
    <w:rsid w:val="232C0139"/>
    <w:rsid w:val="232C1EE7"/>
    <w:rsid w:val="232C638A"/>
    <w:rsid w:val="232E3EB1"/>
    <w:rsid w:val="23303F67"/>
    <w:rsid w:val="23333275"/>
    <w:rsid w:val="23360FB7"/>
    <w:rsid w:val="23362D65"/>
    <w:rsid w:val="233A2855"/>
    <w:rsid w:val="233B037C"/>
    <w:rsid w:val="233B7CFE"/>
    <w:rsid w:val="233D2346"/>
    <w:rsid w:val="233E3888"/>
    <w:rsid w:val="23403BE4"/>
    <w:rsid w:val="23405992"/>
    <w:rsid w:val="23425BAE"/>
    <w:rsid w:val="2346654E"/>
    <w:rsid w:val="23487548"/>
    <w:rsid w:val="23492A98"/>
    <w:rsid w:val="234A01C1"/>
    <w:rsid w:val="234B4A63"/>
    <w:rsid w:val="234C07DB"/>
    <w:rsid w:val="234E00AF"/>
    <w:rsid w:val="23502079"/>
    <w:rsid w:val="23503E27"/>
    <w:rsid w:val="23516232"/>
    <w:rsid w:val="2352354B"/>
    <w:rsid w:val="23531AC9"/>
    <w:rsid w:val="23554886"/>
    <w:rsid w:val="2355768F"/>
    <w:rsid w:val="23563407"/>
    <w:rsid w:val="235651B5"/>
    <w:rsid w:val="23586F64"/>
    <w:rsid w:val="2358717F"/>
    <w:rsid w:val="235E5C65"/>
    <w:rsid w:val="23616034"/>
    <w:rsid w:val="23641680"/>
    <w:rsid w:val="23651670"/>
    <w:rsid w:val="2366756C"/>
    <w:rsid w:val="23671171"/>
    <w:rsid w:val="236864B3"/>
    <w:rsid w:val="236D2C2B"/>
    <w:rsid w:val="236E0751"/>
    <w:rsid w:val="236E69A3"/>
    <w:rsid w:val="23706277"/>
    <w:rsid w:val="23707A36"/>
    <w:rsid w:val="23720079"/>
    <w:rsid w:val="23733FB9"/>
    <w:rsid w:val="23735D67"/>
    <w:rsid w:val="237530E5"/>
    <w:rsid w:val="237600E9"/>
    <w:rsid w:val="23764527"/>
    <w:rsid w:val="237648E2"/>
    <w:rsid w:val="23785CD9"/>
    <w:rsid w:val="237A0EA4"/>
    <w:rsid w:val="237D0994"/>
    <w:rsid w:val="237D2742"/>
    <w:rsid w:val="237E4632"/>
    <w:rsid w:val="237E52CF"/>
    <w:rsid w:val="23815A60"/>
    <w:rsid w:val="23843AD1"/>
    <w:rsid w:val="23874801"/>
    <w:rsid w:val="2389558B"/>
    <w:rsid w:val="238B1303"/>
    <w:rsid w:val="238D0871"/>
    <w:rsid w:val="238E494F"/>
    <w:rsid w:val="23910FB6"/>
    <w:rsid w:val="2392443F"/>
    <w:rsid w:val="23931F66"/>
    <w:rsid w:val="23957807"/>
    <w:rsid w:val="2398757C"/>
    <w:rsid w:val="239D1036"/>
    <w:rsid w:val="23A03014"/>
    <w:rsid w:val="23A10B26"/>
    <w:rsid w:val="23A14683"/>
    <w:rsid w:val="23A453C2"/>
    <w:rsid w:val="23A6613D"/>
    <w:rsid w:val="23A83C63"/>
    <w:rsid w:val="23A94FE0"/>
    <w:rsid w:val="23AA3203"/>
    <w:rsid w:val="23AB3753"/>
    <w:rsid w:val="23AC25DC"/>
    <w:rsid w:val="23AE20DF"/>
    <w:rsid w:val="23AE2BED"/>
    <w:rsid w:val="23AE3741"/>
    <w:rsid w:val="23AE3F20"/>
    <w:rsid w:val="23AE40E3"/>
    <w:rsid w:val="23AE6894"/>
    <w:rsid w:val="23AE6D9F"/>
    <w:rsid w:val="23B14E2C"/>
    <w:rsid w:val="23B31D5F"/>
    <w:rsid w:val="23B343B6"/>
    <w:rsid w:val="23B4531E"/>
    <w:rsid w:val="23B5012E"/>
    <w:rsid w:val="23B87C1E"/>
    <w:rsid w:val="23B97D00"/>
    <w:rsid w:val="23BC770E"/>
    <w:rsid w:val="23BD6681"/>
    <w:rsid w:val="23BD69A6"/>
    <w:rsid w:val="23BE3486"/>
    <w:rsid w:val="23C232D7"/>
    <w:rsid w:val="23C60E74"/>
    <w:rsid w:val="23C640E9"/>
    <w:rsid w:val="23C700D5"/>
    <w:rsid w:val="23C87E61"/>
    <w:rsid w:val="23C91E2B"/>
    <w:rsid w:val="23CB5BA3"/>
    <w:rsid w:val="23D01397"/>
    <w:rsid w:val="23D04F68"/>
    <w:rsid w:val="23D16E12"/>
    <w:rsid w:val="23D34A58"/>
    <w:rsid w:val="23D36806"/>
    <w:rsid w:val="23D43EA1"/>
    <w:rsid w:val="23D514B9"/>
    <w:rsid w:val="23D74548"/>
    <w:rsid w:val="23DC1B5F"/>
    <w:rsid w:val="23DE58D7"/>
    <w:rsid w:val="23DF51AB"/>
    <w:rsid w:val="23E10F23"/>
    <w:rsid w:val="23E26A49"/>
    <w:rsid w:val="23E427C1"/>
    <w:rsid w:val="23E629DD"/>
    <w:rsid w:val="23E72D7E"/>
    <w:rsid w:val="23EA427B"/>
    <w:rsid w:val="23EB1DA2"/>
    <w:rsid w:val="23ED401F"/>
    <w:rsid w:val="23EE1074"/>
    <w:rsid w:val="23F21382"/>
    <w:rsid w:val="23F46D37"/>
    <w:rsid w:val="23F54EE7"/>
    <w:rsid w:val="23F650D1"/>
    <w:rsid w:val="23F70746"/>
    <w:rsid w:val="23F76998"/>
    <w:rsid w:val="23FC4F62"/>
    <w:rsid w:val="23FE7D27"/>
    <w:rsid w:val="24013925"/>
    <w:rsid w:val="24017D75"/>
    <w:rsid w:val="24027986"/>
    <w:rsid w:val="24030E99"/>
    <w:rsid w:val="24044C11"/>
    <w:rsid w:val="24062738"/>
    <w:rsid w:val="24062D32"/>
    <w:rsid w:val="2407263D"/>
    <w:rsid w:val="24082044"/>
    <w:rsid w:val="24107A5A"/>
    <w:rsid w:val="24125580"/>
    <w:rsid w:val="24150BCD"/>
    <w:rsid w:val="241652B5"/>
    <w:rsid w:val="24174945"/>
    <w:rsid w:val="241906BD"/>
    <w:rsid w:val="241F1A4B"/>
    <w:rsid w:val="24244F5F"/>
    <w:rsid w:val="24247062"/>
    <w:rsid w:val="242552B4"/>
    <w:rsid w:val="242E3CA9"/>
    <w:rsid w:val="242F40E9"/>
    <w:rsid w:val="24303173"/>
    <w:rsid w:val="24311EAA"/>
    <w:rsid w:val="2432177F"/>
    <w:rsid w:val="2435301D"/>
    <w:rsid w:val="243A0633"/>
    <w:rsid w:val="243A6885"/>
    <w:rsid w:val="243C25FD"/>
    <w:rsid w:val="244514B2"/>
    <w:rsid w:val="24460B97"/>
    <w:rsid w:val="24480FA2"/>
    <w:rsid w:val="24497549"/>
    <w:rsid w:val="244B4A3A"/>
    <w:rsid w:val="244C2BD2"/>
    <w:rsid w:val="245060A9"/>
    <w:rsid w:val="24507E57"/>
    <w:rsid w:val="24521E37"/>
    <w:rsid w:val="2452597D"/>
    <w:rsid w:val="24547947"/>
    <w:rsid w:val="2455546D"/>
    <w:rsid w:val="24575689"/>
    <w:rsid w:val="24577437"/>
    <w:rsid w:val="245A6203"/>
    <w:rsid w:val="245B6F27"/>
    <w:rsid w:val="245C0D29"/>
    <w:rsid w:val="245E07C6"/>
    <w:rsid w:val="245E4322"/>
    <w:rsid w:val="245F009A"/>
    <w:rsid w:val="246062EC"/>
    <w:rsid w:val="24615C79"/>
    <w:rsid w:val="24637B8A"/>
    <w:rsid w:val="24651DA9"/>
    <w:rsid w:val="24653902"/>
    <w:rsid w:val="246A716A"/>
    <w:rsid w:val="246B4C91"/>
    <w:rsid w:val="246B6A3F"/>
    <w:rsid w:val="246C2EE2"/>
    <w:rsid w:val="246E2D16"/>
    <w:rsid w:val="246F4453"/>
    <w:rsid w:val="247022A7"/>
    <w:rsid w:val="24704055"/>
    <w:rsid w:val="24707B88"/>
    <w:rsid w:val="24724271"/>
    <w:rsid w:val="24741D97"/>
    <w:rsid w:val="24794EE7"/>
    <w:rsid w:val="247B1377"/>
    <w:rsid w:val="247B3126"/>
    <w:rsid w:val="247C0C4C"/>
    <w:rsid w:val="247C35B9"/>
    <w:rsid w:val="24857A5A"/>
    <w:rsid w:val="24880EC1"/>
    <w:rsid w:val="24885842"/>
    <w:rsid w:val="24890640"/>
    <w:rsid w:val="248A5117"/>
    <w:rsid w:val="2492046F"/>
    <w:rsid w:val="249441E7"/>
    <w:rsid w:val="24961D0D"/>
    <w:rsid w:val="24967F5F"/>
    <w:rsid w:val="24975A86"/>
    <w:rsid w:val="24981981"/>
    <w:rsid w:val="249B37C8"/>
    <w:rsid w:val="249B5576"/>
    <w:rsid w:val="249C309C"/>
    <w:rsid w:val="249D7540"/>
    <w:rsid w:val="24A02B8C"/>
    <w:rsid w:val="24A262C4"/>
    <w:rsid w:val="24A26904"/>
    <w:rsid w:val="24A33C6C"/>
    <w:rsid w:val="24A3442A"/>
    <w:rsid w:val="24A361D8"/>
    <w:rsid w:val="24A61AD5"/>
    <w:rsid w:val="24A85EE5"/>
    <w:rsid w:val="24AA3A0B"/>
    <w:rsid w:val="24AA7567"/>
    <w:rsid w:val="24AE00EB"/>
    <w:rsid w:val="24AF7273"/>
    <w:rsid w:val="24B108F5"/>
    <w:rsid w:val="24B16B47"/>
    <w:rsid w:val="24B21795"/>
    <w:rsid w:val="24B30B11"/>
    <w:rsid w:val="24B341DB"/>
    <w:rsid w:val="24B403E6"/>
    <w:rsid w:val="24B44889"/>
    <w:rsid w:val="24B86128"/>
    <w:rsid w:val="24B91EA0"/>
    <w:rsid w:val="24BA7B29"/>
    <w:rsid w:val="24BB5C18"/>
    <w:rsid w:val="24BE74B6"/>
    <w:rsid w:val="24BF11C8"/>
    <w:rsid w:val="24C148B0"/>
    <w:rsid w:val="24C22B02"/>
    <w:rsid w:val="24C525F3"/>
    <w:rsid w:val="24C745BD"/>
    <w:rsid w:val="24C91F46"/>
    <w:rsid w:val="24CA7C09"/>
    <w:rsid w:val="24CC1BD3"/>
    <w:rsid w:val="24CC3981"/>
    <w:rsid w:val="24CF521F"/>
    <w:rsid w:val="24D000BE"/>
    <w:rsid w:val="24D32F62"/>
    <w:rsid w:val="24D33F00"/>
    <w:rsid w:val="24D41A48"/>
    <w:rsid w:val="24DB0068"/>
    <w:rsid w:val="24DC16EA"/>
    <w:rsid w:val="24DD793C"/>
    <w:rsid w:val="24DF7844"/>
    <w:rsid w:val="24E011DB"/>
    <w:rsid w:val="24E51B2E"/>
    <w:rsid w:val="24E52C95"/>
    <w:rsid w:val="24E568A4"/>
    <w:rsid w:val="24E8008F"/>
    <w:rsid w:val="24EB5E30"/>
    <w:rsid w:val="24EC32D8"/>
    <w:rsid w:val="24EE1B49"/>
    <w:rsid w:val="24EF141E"/>
    <w:rsid w:val="24F01070"/>
    <w:rsid w:val="24F13E55"/>
    <w:rsid w:val="24F320EA"/>
    <w:rsid w:val="24F32FB0"/>
    <w:rsid w:val="24F609FE"/>
    <w:rsid w:val="24F66C50"/>
    <w:rsid w:val="24F86524"/>
    <w:rsid w:val="24FB1D1B"/>
    <w:rsid w:val="25021151"/>
    <w:rsid w:val="25022CF3"/>
    <w:rsid w:val="25034EC9"/>
    <w:rsid w:val="25060572"/>
    <w:rsid w:val="25070E5D"/>
    <w:rsid w:val="250824DF"/>
    <w:rsid w:val="25090731"/>
    <w:rsid w:val="250B4F66"/>
    <w:rsid w:val="250C1FD0"/>
    <w:rsid w:val="250E3F9A"/>
    <w:rsid w:val="250E5D48"/>
    <w:rsid w:val="250E7916"/>
    <w:rsid w:val="250F1AC0"/>
    <w:rsid w:val="250F7D12"/>
    <w:rsid w:val="25113A8A"/>
    <w:rsid w:val="25116905"/>
    <w:rsid w:val="251203B4"/>
    <w:rsid w:val="251247E7"/>
    <w:rsid w:val="251610A0"/>
    <w:rsid w:val="25164BFC"/>
    <w:rsid w:val="25184E18"/>
    <w:rsid w:val="251958C3"/>
    <w:rsid w:val="251B2213"/>
    <w:rsid w:val="251C78A5"/>
    <w:rsid w:val="251D242F"/>
    <w:rsid w:val="251D3939"/>
    <w:rsid w:val="251D41DD"/>
    <w:rsid w:val="25203CCD"/>
    <w:rsid w:val="25205A7B"/>
    <w:rsid w:val="25213E48"/>
    <w:rsid w:val="252235A1"/>
    <w:rsid w:val="252427C9"/>
    <w:rsid w:val="252437BD"/>
    <w:rsid w:val="2524556B"/>
    <w:rsid w:val="252512E3"/>
    <w:rsid w:val="2525288F"/>
    <w:rsid w:val="25257535"/>
    <w:rsid w:val="25276E09"/>
    <w:rsid w:val="252B3E13"/>
    <w:rsid w:val="252C37DE"/>
    <w:rsid w:val="252E1F46"/>
    <w:rsid w:val="253036E6"/>
    <w:rsid w:val="25317C88"/>
    <w:rsid w:val="253234AD"/>
    <w:rsid w:val="25327D57"/>
    <w:rsid w:val="253432D4"/>
    <w:rsid w:val="253634F0"/>
    <w:rsid w:val="25381333"/>
    <w:rsid w:val="25396B3D"/>
    <w:rsid w:val="253F05F7"/>
    <w:rsid w:val="253F4153"/>
    <w:rsid w:val="253F579B"/>
    <w:rsid w:val="253F73D1"/>
    <w:rsid w:val="2540611D"/>
    <w:rsid w:val="254479BB"/>
    <w:rsid w:val="2547150A"/>
    <w:rsid w:val="25473008"/>
    <w:rsid w:val="25481BC4"/>
    <w:rsid w:val="25493224"/>
    <w:rsid w:val="254A0D4A"/>
    <w:rsid w:val="254E25E8"/>
    <w:rsid w:val="254F010E"/>
    <w:rsid w:val="254F0607"/>
    <w:rsid w:val="25501A97"/>
    <w:rsid w:val="25553977"/>
    <w:rsid w:val="255611A5"/>
    <w:rsid w:val="25565941"/>
    <w:rsid w:val="255816B9"/>
    <w:rsid w:val="25592D3B"/>
    <w:rsid w:val="255B2F57"/>
    <w:rsid w:val="255B4D05"/>
    <w:rsid w:val="255C2C60"/>
    <w:rsid w:val="255D6CCF"/>
    <w:rsid w:val="255F47F5"/>
    <w:rsid w:val="2560231B"/>
    <w:rsid w:val="256040C9"/>
    <w:rsid w:val="25627E42"/>
    <w:rsid w:val="25643BBA"/>
    <w:rsid w:val="256B13EC"/>
    <w:rsid w:val="256C0CC0"/>
    <w:rsid w:val="256E1E26"/>
    <w:rsid w:val="25733DFD"/>
    <w:rsid w:val="2574171F"/>
    <w:rsid w:val="25755D32"/>
    <w:rsid w:val="25766A29"/>
    <w:rsid w:val="2576715C"/>
    <w:rsid w:val="25797F62"/>
    <w:rsid w:val="257A33DD"/>
    <w:rsid w:val="257B51B6"/>
    <w:rsid w:val="257D4C7B"/>
    <w:rsid w:val="2580476C"/>
    <w:rsid w:val="258424AE"/>
    <w:rsid w:val="25847246"/>
    <w:rsid w:val="25853B30"/>
    <w:rsid w:val="258612CD"/>
    <w:rsid w:val="258B3FE3"/>
    <w:rsid w:val="25916979"/>
    <w:rsid w:val="25950217"/>
    <w:rsid w:val="259615F4"/>
    <w:rsid w:val="25963265"/>
    <w:rsid w:val="25983863"/>
    <w:rsid w:val="25987D07"/>
    <w:rsid w:val="25997FDC"/>
    <w:rsid w:val="259F1096"/>
    <w:rsid w:val="25A4045A"/>
    <w:rsid w:val="25A42208"/>
    <w:rsid w:val="25A4493F"/>
    <w:rsid w:val="25A61150"/>
    <w:rsid w:val="25A62FB3"/>
    <w:rsid w:val="25A854ED"/>
    <w:rsid w:val="25A93CC2"/>
    <w:rsid w:val="25AB5124"/>
    <w:rsid w:val="25AD7650"/>
    <w:rsid w:val="25AE12D9"/>
    <w:rsid w:val="25AE3087"/>
    <w:rsid w:val="25AF5095"/>
    <w:rsid w:val="25B276F2"/>
    <w:rsid w:val="25B424E2"/>
    <w:rsid w:val="25B54F52"/>
    <w:rsid w:val="25B6018D"/>
    <w:rsid w:val="25B74631"/>
    <w:rsid w:val="25BC57A4"/>
    <w:rsid w:val="25BD0983"/>
    <w:rsid w:val="25BD32CA"/>
    <w:rsid w:val="25BF35A3"/>
    <w:rsid w:val="25C1725E"/>
    <w:rsid w:val="25C26B32"/>
    <w:rsid w:val="25C40AFC"/>
    <w:rsid w:val="25C428AA"/>
    <w:rsid w:val="25C71A6C"/>
    <w:rsid w:val="25C74149"/>
    <w:rsid w:val="25CA4B79"/>
    <w:rsid w:val="25CD42FA"/>
    <w:rsid w:val="25CE54D7"/>
    <w:rsid w:val="25CE578A"/>
    <w:rsid w:val="25D23219"/>
    <w:rsid w:val="25D36F91"/>
    <w:rsid w:val="25D441CD"/>
    <w:rsid w:val="25D54AB7"/>
    <w:rsid w:val="25D56865"/>
    <w:rsid w:val="25D7082F"/>
    <w:rsid w:val="25D845A8"/>
    <w:rsid w:val="25D94675"/>
    <w:rsid w:val="25DA3E7C"/>
    <w:rsid w:val="25DB32FA"/>
    <w:rsid w:val="25DC7BF4"/>
    <w:rsid w:val="25DE7210"/>
    <w:rsid w:val="25E01490"/>
    <w:rsid w:val="25E025AD"/>
    <w:rsid w:val="25E1345C"/>
    <w:rsid w:val="25E230A5"/>
    <w:rsid w:val="25E371D4"/>
    <w:rsid w:val="25E4325E"/>
    <w:rsid w:val="25E46AA9"/>
    <w:rsid w:val="25E60104"/>
    <w:rsid w:val="25E927C7"/>
    <w:rsid w:val="25EE5B79"/>
    <w:rsid w:val="25F018F1"/>
    <w:rsid w:val="25F0544D"/>
    <w:rsid w:val="25F06C08"/>
    <w:rsid w:val="25F34F3E"/>
    <w:rsid w:val="25F52E25"/>
    <w:rsid w:val="25F56F08"/>
    <w:rsid w:val="25F767DC"/>
    <w:rsid w:val="25FA2012"/>
    <w:rsid w:val="25FA2770"/>
    <w:rsid w:val="25FC0296"/>
    <w:rsid w:val="25FD7B6A"/>
    <w:rsid w:val="2600323D"/>
    <w:rsid w:val="26013AFE"/>
    <w:rsid w:val="260638ED"/>
    <w:rsid w:val="26064C71"/>
    <w:rsid w:val="260809E9"/>
    <w:rsid w:val="260D715F"/>
    <w:rsid w:val="261029AA"/>
    <w:rsid w:val="2610789E"/>
    <w:rsid w:val="26121868"/>
    <w:rsid w:val="26132E71"/>
    <w:rsid w:val="26143832"/>
    <w:rsid w:val="26154EB4"/>
    <w:rsid w:val="26163F80"/>
    <w:rsid w:val="261766D2"/>
    <w:rsid w:val="26192BF6"/>
    <w:rsid w:val="261C4494"/>
    <w:rsid w:val="261D1FBA"/>
    <w:rsid w:val="261D2B93"/>
    <w:rsid w:val="261E645E"/>
    <w:rsid w:val="261F5D33"/>
    <w:rsid w:val="26215F4F"/>
    <w:rsid w:val="26263565"/>
    <w:rsid w:val="26281F8A"/>
    <w:rsid w:val="262D1D64"/>
    <w:rsid w:val="262E235B"/>
    <w:rsid w:val="26302A27"/>
    <w:rsid w:val="26307F40"/>
    <w:rsid w:val="26325A66"/>
    <w:rsid w:val="2633152B"/>
    <w:rsid w:val="263334A8"/>
    <w:rsid w:val="26337E13"/>
    <w:rsid w:val="26343C96"/>
    <w:rsid w:val="26345C82"/>
    <w:rsid w:val="2637307C"/>
    <w:rsid w:val="26377520"/>
    <w:rsid w:val="263C68E5"/>
    <w:rsid w:val="263E265D"/>
    <w:rsid w:val="263E272A"/>
    <w:rsid w:val="263E2F8B"/>
    <w:rsid w:val="26432D2F"/>
    <w:rsid w:val="26435B6E"/>
    <w:rsid w:val="26442428"/>
    <w:rsid w:val="26467763"/>
    <w:rsid w:val="264834DB"/>
    <w:rsid w:val="26485289"/>
    <w:rsid w:val="264B4D7A"/>
    <w:rsid w:val="264E519F"/>
    <w:rsid w:val="264F1D53"/>
    <w:rsid w:val="2650413E"/>
    <w:rsid w:val="2654293F"/>
    <w:rsid w:val="2657371E"/>
    <w:rsid w:val="265863CA"/>
    <w:rsid w:val="26593556"/>
    <w:rsid w:val="265A1224"/>
    <w:rsid w:val="265D5A85"/>
    <w:rsid w:val="265F14A3"/>
    <w:rsid w:val="265F3C06"/>
    <w:rsid w:val="26647BE9"/>
    <w:rsid w:val="266876DA"/>
    <w:rsid w:val="2669503C"/>
    <w:rsid w:val="266C6208"/>
    <w:rsid w:val="266D2F42"/>
    <w:rsid w:val="266F5156"/>
    <w:rsid w:val="266F7FAE"/>
    <w:rsid w:val="267047E0"/>
    <w:rsid w:val="2670658E"/>
    <w:rsid w:val="26722306"/>
    <w:rsid w:val="267274AB"/>
    <w:rsid w:val="26731C89"/>
    <w:rsid w:val="267327EA"/>
    <w:rsid w:val="267442D0"/>
    <w:rsid w:val="26751DF6"/>
    <w:rsid w:val="26773DC1"/>
    <w:rsid w:val="26781116"/>
    <w:rsid w:val="26781A70"/>
    <w:rsid w:val="267B5C33"/>
    <w:rsid w:val="267C4F33"/>
    <w:rsid w:val="267D3C02"/>
    <w:rsid w:val="267E6EFD"/>
    <w:rsid w:val="26815B10"/>
    <w:rsid w:val="26832765"/>
    <w:rsid w:val="268364C7"/>
    <w:rsid w:val="268564DD"/>
    <w:rsid w:val="26861EA8"/>
    <w:rsid w:val="26871453"/>
    <w:rsid w:val="26887D7C"/>
    <w:rsid w:val="268A3AF3"/>
    <w:rsid w:val="268B161A"/>
    <w:rsid w:val="268C732C"/>
    <w:rsid w:val="268E684F"/>
    <w:rsid w:val="268F110A"/>
    <w:rsid w:val="268F2EB8"/>
    <w:rsid w:val="26914E82"/>
    <w:rsid w:val="26955292"/>
    <w:rsid w:val="269811C6"/>
    <w:rsid w:val="26981E89"/>
    <w:rsid w:val="26993D37"/>
    <w:rsid w:val="269A4809"/>
    <w:rsid w:val="269E07EE"/>
    <w:rsid w:val="269E134D"/>
    <w:rsid w:val="269E30FB"/>
    <w:rsid w:val="269E759F"/>
    <w:rsid w:val="26A10E3D"/>
    <w:rsid w:val="26A11396"/>
    <w:rsid w:val="26A12BEB"/>
    <w:rsid w:val="26A1499A"/>
    <w:rsid w:val="26A36964"/>
    <w:rsid w:val="26A40DBD"/>
    <w:rsid w:val="26A742F1"/>
    <w:rsid w:val="26A80CBB"/>
    <w:rsid w:val="26A85D28"/>
    <w:rsid w:val="26AA090E"/>
    <w:rsid w:val="26AA1AA0"/>
    <w:rsid w:val="26AC18D0"/>
    <w:rsid w:val="26AC3A6A"/>
    <w:rsid w:val="26AD1590"/>
    <w:rsid w:val="26AD369D"/>
    <w:rsid w:val="26AF07EB"/>
    <w:rsid w:val="26AF09C5"/>
    <w:rsid w:val="26AF355A"/>
    <w:rsid w:val="26AF5308"/>
    <w:rsid w:val="26B12057"/>
    <w:rsid w:val="26B40B71"/>
    <w:rsid w:val="26B648E9"/>
    <w:rsid w:val="26B8166C"/>
    <w:rsid w:val="26B97F35"/>
    <w:rsid w:val="26BD4945"/>
    <w:rsid w:val="26C1503C"/>
    <w:rsid w:val="26C16DEA"/>
    <w:rsid w:val="26C30DB4"/>
    <w:rsid w:val="26C32B62"/>
    <w:rsid w:val="26CF7759"/>
    <w:rsid w:val="26D20FF7"/>
    <w:rsid w:val="26D27249"/>
    <w:rsid w:val="26D33C77"/>
    <w:rsid w:val="26D44D6F"/>
    <w:rsid w:val="26D703BB"/>
    <w:rsid w:val="26D85306"/>
    <w:rsid w:val="26D905D7"/>
    <w:rsid w:val="26D94133"/>
    <w:rsid w:val="26DC4FED"/>
    <w:rsid w:val="26DE1A9B"/>
    <w:rsid w:val="26E3633D"/>
    <w:rsid w:val="26E74AA2"/>
    <w:rsid w:val="26E83E59"/>
    <w:rsid w:val="26E869A5"/>
    <w:rsid w:val="26EB0064"/>
    <w:rsid w:val="26EC030B"/>
    <w:rsid w:val="26ED22BB"/>
    <w:rsid w:val="26EE4083"/>
    <w:rsid w:val="26EF1BA9"/>
    <w:rsid w:val="26F1465A"/>
    <w:rsid w:val="26F35E32"/>
    <w:rsid w:val="26F3697C"/>
    <w:rsid w:val="26F5586E"/>
    <w:rsid w:val="26F70A5D"/>
    <w:rsid w:val="26FA19F3"/>
    <w:rsid w:val="27027B2E"/>
    <w:rsid w:val="27032D56"/>
    <w:rsid w:val="27082C6B"/>
    <w:rsid w:val="27084A19"/>
    <w:rsid w:val="270962CA"/>
    <w:rsid w:val="2709752E"/>
    <w:rsid w:val="270C329A"/>
    <w:rsid w:val="270C4509"/>
    <w:rsid w:val="270C62B7"/>
    <w:rsid w:val="27135B8A"/>
    <w:rsid w:val="2714160F"/>
    <w:rsid w:val="27164413"/>
    <w:rsid w:val="27181100"/>
    <w:rsid w:val="27194E78"/>
    <w:rsid w:val="271A42EB"/>
    <w:rsid w:val="271E248E"/>
    <w:rsid w:val="271E423C"/>
    <w:rsid w:val="27201D62"/>
    <w:rsid w:val="27225ADA"/>
    <w:rsid w:val="27231852"/>
    <w:rsid w:val="272337D0"/>
    <w:rsid w:val="27247AA4"/>
    <w:rsid w:val="2725351F"/>
    <w:rsid w:val="2725381D"/>
    <w:rsid w:val="27254D76"/>
    <w:rsid w:val="27271343"/>
    <w:rsid w:val="272924A0"/>
    <w:rsid w:val="272A153E"/>
    <w:rsid w:val="272F01F7"/>
    <w:rsid w:val="2730419C"/>
    <w:rsid w:val="27313F6F"/>
    <w:rsid w:val="27324309"/>
    <w:rsid w:val="27337CE7"/>
    <w:rsid w:val="273677D8"/>
    <w:rsid w:val="27372571"/>
    <w:rsid w:val="273C0FE2"/>
    <w:rsid w:val="273C518D"/>
    <w:rsid w:val="273E043A"/>
    <w:rsid w:val="27404258"/>
    <w:rsid w:val="27441EF5"/>
    <w:rsid w:val="274C6D86"/>
    <w:rsid w:val="274D0351"/>
    <w:rsid w:val="275119E4"/>
    <w:rsid w:val="275352E3"/>
    <w:rsid w:val="27547890"/>
    <w:rsid w:val="275525FD"/>
    <w:rsid w:val="27554102"/>
    <w:rsid w:val="27565784"/>
    <w:rsid w:val="275763AD"/>
    <w:rsid w:val="275814FC"/>
    <w:rsid w:val="27595274"/>
    <w:rsid w:val="275A34C6"/>
    <w:rsid w:val="275F3FFD"/>
    <w:rsid w:val="27650354"/>
    <w:rsid w:val="276509B1"/>
    <w:rsid w:val="276A122F"/>
    <w:rsid w:val="276A4BA9"/>
    <w:rsid w:val="276A5E9A"/>
    <w:rsid w:val="276F17CB"/>
    <w:rsid w:val="27707F5A"/>
    <w:rsid w:val="27715ADA"/>
    <w:rsid w:val="2772409E"/>
    <w:rsid w:val="277A5916"/>
    <w:rsid w:val="277D3C48"/>
    <w:rsid w:val="277E2C99"/>
    <w:rsid w:val="277E530E"/>
    <w:rsid w:val="277F2F2D"/>
    <w:rsid w:val="27802801"/>
    <w:rsid w:val="27806CA5"/>
    <w:rsid w:val="27813DF2"/>
    <w:rsid w:val="27822A1D"/>
    <w:rsid w:val="278247CB"/>
    <w:rsid w:val="27827071"/>
    <w:rsid w:val="2784149E"/>
    <w:rsid w:val="278422F1"/>
    <w:rsid w:val="27856069"/>
    <w:rsid w:val="2786250D"/>
    <w:rsid w:val="27871DE1"/>
    <w:rsid w:val="2789399C"/>
    <w:rsid w:val="27893DAB"/>
    <w:rsid w:val="278C42F2"/>
    <w:rsid w:val="278D78E5"/>
    <w:rsid w:val="278E13C2"/>
    <w:rsid w:val="278E3320"/>
    <w:rsid w:val="27906EE8"/>
    <w:rsid w:val="2791259C"/>
    <w:rsid w:val="27914A0E"/>
    <w:rsid w:val="279544FE"/>
    <w:rsid w:val="27962024"/>
    <w:rsid w:val="27982240"/>
    <w:rsid w:val="2798293F"/>
    <w:rsid w:val="279938C3"/>
    <w:rsid w:val="279A59FF"/>
    <w:rsid w:val="279B763B"/>
    <w:rsid w:val="279D7857"/>
    <w:rsid w:val="279D7A33"/>
    <w:rsid w:val="279F3713"/>
    <w:rsid w:val="27A02EA3"/>
    <w:rsid w:val="27A24E6D"/>
    <w:rsid w:val="27A6670B"/>
    <w:rsid w:val="27A73E71"/>
    <w:rsid w:val="27AB4887"/>
    <w:rsid w:val="27AD6260"/>
    <w:rsid w:val="27AE3812"/>
    <w:rsid w:val="27AE789D"/>
    <w:rsid w:val="27B01B1D"/>
    <w:rsid w:val="27B150B0"/>
    <w:rsid w:val="27B32BD6"/>
    <w:rsid w:val="27B34984"/>
    <w:rsid w:val="27B42DFB"/>
    <w:rsid w:val="27B506FD"/>
    <w:rsid w:val="27B60C24"/>
    <w:rsid w:val="27B64475"/>
    <w:rsid w:val="27BA5D13"/>
    <w:rsid w:val="27BB7CDD"/>
    <w:rsid w:val="27BE796C"/>
    <w:rsid w:val="27C052F3"/>
    <w:rsid w:val="27C070A1"/>
    <w:rsid w:val="27C13545"/>
    <w:rsid w:val="27C4231B"/>
    <w:rsid w:val="27C4398D"/>
    <w:rsid w:val="27C7246D"/>
    <w:rsid w:val="27C748D4"/>
    <w:rsid w:val="27C944E4"/>
    <w:rsid w:val="27CA66CF"/>
    <w:rsid w:val="27CB5FB7"/>
    <w:rsid w:val="27CE5C62"/>
    <w:rsid w:val="27CF4657"/>
    <w:rsid w:val="27D33279"/>
    <w:rsid w:val="27D50D9F"/>
    <w:rsid w:val="27D6113A"/>
    <w:rsid w:val="27D74B17"/>
    <w:rsid w:val="27D8088F"/>
    <w:rsid w:val="27D868FE"/>
    <w:rsid w:val="27DA21BA"/>
    <w:rsid w:val="27DA4607"/>
    <w:rsid w:val="27DC037F"/>
    <w:rsid w:val="27DD40F7"/>
    <w:rsid w:val="27DF0BA9"/>
    <w:rsid w:val="27DF39CB"/>
    <w:rsid w:val="27E014F2"/>
    <w:rsid w:val="27E15931"/>
    <w:rsid w:val="27E27527"/>
    <w:rsid w:val="27E50784"/>
    <w:rsid w:val="27E9484A"/>
    <w:rsid w:val="27EB2370"/>
    <w:rsid w:val="27EE3C0E"/>
    <w:rsid w:val="27F136FF"/>
    <w:rsid w:val="27F154AD"/>
    <w:rsid w:val="27F23E7D"/>
    <w:rsid w:val="27F304AC"/>
    <w:rsid w:val="27F31225"/>
    <w:rsid w:val="27F41CF2"/>
    <w:rsid w:val="27F429B1"/>
    <w:rsid w:val="27F531EF"/>
    <w:rsid w:val="27FC27CF"/>
    <w:rsid w:val="27FC7546"/>
    <w:rsid w:val="27FE3B41"/>
    <w:rsid w:val="27FF5E1C"/>
    <w:rsid w:val="28001F91"/>
    <w:rsid w:val="28021DBF"/>
    <w:rsid w:val="280414D2"/>
    <w:rsid w:val="280451E0"/>
    <w:rsid w:val="280478D6"/>
    <w:rsid w:val="28050AF4"/>
    <w:rsid w:val="28074CD0"/>
    <w:rsid w:val="28077E5F"/>
    <w:rsid w:val="28077FA4"/>
    <w:rsid w:val="280C22E7"/>
    <w:rsid w:val="280D4632"/>
    <w:rsid w:val="280D529D"/>
    <w:rsid w:val="280D678A"/>
    <w:rsid w:val="280E2503"/>
    <w:rsid w:val="28100029"/>
    <w:rsid w:val="281012B4"/>
    <w:rsid w:val="28113A96"/>
    <w:rsid w:val="281318C7"/>
    <w:rsid w:val="28133675"/>
    <w:rsid w:val="28136355"/>
    <w:rsid w:val="28173165"/>
    <w:rsid w:val="28177609"/>
    <w:rsid w:val="28177B03"/>
    <w:rsid w:val="28180C8B"/>
    <w:rsid w:val="28186EDD"/>
    <w:rsid w:val="281A0EA7"/>
    <w:rsid w:val="281C077C"/>
    <w:rsid w:val="281E2746"/>
    <w:rsid w:val="281F201A"/>
    <w:rsid w:val="28213FE4"/>
    <w:rsid w:val="28224525"/>
    <w:rsid w:val="282472DA"/>
    <w:rsid w:val="28273E8D"/>
    <w:rsid w:val="28277120"/>
    <w:rsid w:val="282835C4"/>
    <w:rsid w:val="282A4BA6"/>
    <w:rsid w:val="282B4E63"/>
    <w:rsid w:val="28310F5C"/>
    <w:rsid w:val="28331C1B"/>
    <w:rsid w:val="28341F69"/>
    <w:rsid w:val="2835183D"/>
    <w:rsid w:val="283571FE"/>
    <w:rsid w:val="28357A8F"/>
    <w:rsid w:val="283609B1"/>
    <w:rsid w:val="28392CC7"/>
    <w:rsid w:val="28397580"/>
    <w:rsid w:val="283A4A92"/>
    <w:rsid w:val="283B1F3C"/>
    <w:rsid w:val="283C0E1E"/>
    <w:rsid w:val="283C7070"/>
    <w:rsid w:val="283F26BC"/>
    <w:rsid w:val="283F446A"/>
    <w:rsid w:val="28440F8E"/>
    <w:rsid w:val="28463A4A"/>
    <w:rsid w:val="284B1061"/>
    <w:rsid w:val="284D6D94"/>
    <w:rsid w:val="284F6542"/>
    <w:rsid w:val="284F6DA3"/>
    <w:rsid w:val="285048C9"/>
    <w:rsid w:val="28527787"/>
    <w:rsid w:val="28544D6C"/>
    <w:rsid w:val="28550131"/>
    <w:rsid w:val="285537C1"/>
    <w:rsid w:val="28575C58"/>
    <w:rsid w:val="2858552C"/>
    <w:rsid w:val="285C14C0"/>
    <w:rsid w:val="286677D8"/>
    <w:rsid w:val="28670211"/>
    <w:rsid w:val="28674000"/>
    <w:rsid w:val="28687E65"/>
    <w:rsid w:val="28697739"/>
    <w:rsid w:val="286A0F1E"/>
    <w:rsid w:val="286C37A4"/>
    <w:rsid w:val="286C7C7C"/>
    <w:rsid w:val="286D6F60"/>
    <w:rsid w:val="28700AC7"/>
    <w:rsid w:val="28704451"/>
    <w:rsid w:val="28732366"/>
    <w:rsid w:val="28735EF7"/>
    <w:rsid w:val="287405B8"/>
    <w:rsid w:val="287775EE"/>
    <w:rsid w:val="28793E20"/>
    <w:rsid w:val="2879521A"/>
    <w:rsid w:val="287A36F4"/>
    <w:rsid w:val="287C29F4"/>
    <w:rsid w:val="287C746C"/>
    <w:rsid w:val="287E67A4"/>
    <w:rsid w:val="28800A83"/>
    <w:rsid w:val="28831186"/>
    <w:rsid w:val="28844573"/>
    <w:rsid w:val="2885221B"/>
    <w:rsid w:val="28860BAB"/>
    <w:rsid w:val="2886653D"/>
    <w:rsid w:val="28884063"/>
    <w:rsid w:val="28893937"/>
    <w:rsid w:val="288E79DA"/>
    <w:rsid w:val="289037B1"/>
    <w:rsid w:val="289449F8"/>
    <w:rsid w:val="28996270"/>
    <w:rsid w:val="289A4F62"/>
    <w:rsid w:val="289B3D96"/>
    <w:rsid w:val="289B4836"/>
    <w:rsid w:val="289E3520"/>
    <w:rsid w:val="289E5635"/>
    <w:rsid w:val="289F1C10"/>
    <w:rsid w:val="28A05722"/>
    <w:rsid w:val="28A32C4B"/>
    <w:rsid w:val="28A35B9E"/>
    <w:rsid w:val="28A54C15"/>
    <w:rsid w:val="28A6273B"/>
    <w:rsid w:val="28A644E9"/>
    <w:rsid w:val="28A864B3"/>
    <w:rsid w:val="28A872DA"/>
    <w:rsid w:val="28AB1AFF"/>
    <w:rsid w:val="28B047AB"/>
    <w:rsid w:val="28B21023"/>
    <w:rsid w:val="28B210E0"/>
    <w:rsid w:val="28B430AA"/>
    <w:rsid w:val="28B47FB3"/>
    <w:rsid w:val="28BC3D0D"/>
    <w:rsid w:val="28BC5ABB"/>
    <w:rsid w:val="28BD1316"/>
    <w:rsid w:val="28BF50C6"/>
    <w:rsid w:val="28C055AB"/>
    <w:rsid w:val="28C11DAA"/>
    <w:rsid w:val="28C11F57"/>
    <w:rsid w:val="28C17575"/>
    <w:rsid w:val="28C3509B"/>
    <w:rsid w:val="28C36618"/>
    <w:rsid w:val="28C54A49"/>
    <w:rsid w:val="28C606E7"/>
    <w:rsid w:val="28C8445F"/>
    <w:rsid w:val="28CA642A"/>
    <w:rsid w:val="28CB21A2"/>
    <w:rsid w:val="28CC6CEB"/>
    <w:rsid w:val="28CE16F7"/>
    <w:rsid w:val="28CF3A40"/>
    <w:rsid w:val="28D41022"/>
    <w:rsid w:val="28D41056"/>
    <w:rsid w:val="28D74A8E"/>
    <w:rsid w:val="28D8795B"/>
    <w:rsid w:val="28D92B11"/>
    <w:rsid w:val="28D973AE"/>
    <w:rsid w:val="28DB489F"/>
    <w:rsid w:val="28DC7F0B"/>
    <w:rsid w:val="28DD71BF"/>
    <w:rsid w:val="28DE0127"/>
    <w:rsid w:val="28E079FB"/>
    <w:rsid w:val="28E47A07"/>
    <w:rsid w:val="28E514B5"/>
    <w:rsid w:val="28E53263"/>
    <w:rsid w:val="28E53F58"/>
    <w:rsid w:val="28E55011"/>
    <w:rsid w:val="28EA087A"/>
    <w:rsid w:val="28EA687F"/>
    <w:rsid w:val="28EA6ACC"/>
    <w:rsid w:val="28ED036A"/>
    <w:rsid w:val="28EF5E90"/>
    <w:rsid w:val="28F12E95"/>
    <w:rsid w:val="28F17CF9"/>
    <w:rsid w:val="28F214DC"/>
    <w:rsid w:val="28F41141"/>
    <w:rsid w:val="28F6721F"/>
    <w:rsid w:val="28F72F97"/>
    <w:rsid w:val="28F811E9"/>
    <w:rsid w:val="28FC05AD"/>
    <w:rsid w:val="28FC558A"/>
    <w:rsid w:val="28FD67A9"/>
    <w:rsid w:val="28FE4325"/>
    <w:rsid w:val="2900009D"/>
    <w:rsid w:val="29001E4B"/>
    <w:rsid w:val="29003BF9"/>
    <w:rsid w:val="29057462"/>
    <w:rsid w:val="29080D00"/>
    <w:rsid w:val="290851A4"/>
    <w:rsid w:val="290A0F1C"/>
    <w:rsid w:val="290A2CCA"/>
    <w:rsid w:val="290C07F0"/>
    <w:rsid w:val="29121B7F"/>
    <w:rsid w:val="2912392D"/>
    <w:rsid w:val="29143B49"/>
    <w:rsid w:val="291A7161"/>
    <w:rsid w:val="291B0A33"/>
    <w:rsid w:val="291B1D32"/>
    <w:rsid w:val="291C58F0"/>
    <w:rsid w:val="292024ED"/>
    <w:rsid w:val="29226266"/>
    <w:rsid w:val="29231FDE"/>
    <w:rsid w:val="29263689"/>
    <w:rsid w:val="29283150"/>
    <w:rsid w:val="2928682E"/>
    <w:rsid w:val="292A511A"/>
    <w:rsid w:val="292D69B8"/>
    <w:rsid w:val="292E4C0A"/>
    <w:rsid w:val="293146FB"/>
    <w:rsid w:val="2934401A"/>
    <w:rsid w:val="29361D11"/>
    <w:rsid w:val="2936586D"/>
    <w:rsid w:val="293935AF"/>
    <w:rsid w:val="293B7327"/>
    <w:rsid w:val="293D39A1"/>
    <w:rsid w:val="293D4E4D"/>
    <w:rsid w:val="293E2974"/>
    <w:rsid w:val="293F09E2"/>
    <w:rsid w:val="293F0E4A"/>
    <w:rsid w:val="29424212"/>
    <w:rsid w:val="29430F3E"/>
    <w:rsid w:val="29455AB0"/>
    <w:rsid w:val="29477A7A"/>
    <w:rsid w:val="29480514"/>
    <w:rsid w:val="294A756A"/>
    <w:rsid w:val="295108F9"/>
    <w:rsid w:val="29534671"/>
    <w:rsid w:val="295401B5"/>
    <w:rsid w:val="29560FB2"/>
    <w:rsid w:val="29565F0F"/>
    <w:rsid w:val="29567CBD"/>
    <w:rsid w:val="295977AD"/>
    <w:rsid w:val="295B1778"/>
    <w:rsid w:val="295C0219"/>
    <w:rsid w:val="295C30F4"/>
    <w:rsid w:val="295C5503"/>
    <w:rsid w:val="295C6F9B"/>
    <w:rsid w:val="295D38A9"/>
    <w:rsid w:val="29622B06"/>
    <w:rsid w:val="296248B4"/>
    <w:rsid w:val="29626BD5"/>
    <w:rsid w:val="29655843"/>
    <w:rsid w:val="29656152"/>
    <w:rsid w:val="29661E3F"/>
    <w:rsid w:val="2967011C"/>
    <w:rsid w:val="29673C78"/>
    <w:rsid w:val="296A19BB"/>
    <w:rsid w:val="296F5223"/>
    <w:rsid w:val="297018F5"/>
    <w:rsid w:val="29707D21"/>
    <w:rsid w:val="29714AF7"/>
    <w:rsid w:val="29736AC1"/>
    <w:rsid w:val="29746395"/>
    <w:rsid w:val="2976210D"/>
    <w:rsid w:val="29763734"/>
    <w:rsid w:val="297D524A"/>
    <w:rsid w:val="298365D8"/>
    <w:rsid w:val="2985721F"/>
    <w:rsid w:val="298671EB"/>
    <w:rsid w:val="29867431"/>
    <w:rsid w:val="2989192E"/>
    <w:rsid w:val="298A7967"/>
    <w:rsid w:val="298C36DF"/>
    <w:rsid w:val="298E0AA9"/>
    <w:rsid w:val="298F31CF"/>
    <w:rsid w:val="29916F47"/>
    <w:rsid w:val="29967194"/>
    <w:rsid w:val="29995DFC"/>
    <w:rsid w:val="299D769A"/>
    <w:rsid w:val="299E3412"/>
    <w:rsid w:val="299F1664"/>
    <w:rsid w:val="299F78B6"/>
    <w:rsid w:val="29A104CA"/>
    <w:rsid w:val="29A24CB1"/>
    <w:rsid w:val="29A273A6"/>
    <w:rsid w:val="29A729A6"/>
    <w:rsid w:val="29A97B01"/>
    <w:rsid w:val="29AA0009"/>
    <w:rsid w:val="29AA75E0"/>
    <w:rsid w:val="29AB625B"/>
    <w:rsid w:val="29AC4CB8"/>
    <w:rsid w:val="29AF561F"/>
    <w:rsid w:val="29AF647C"/>
    <w:rsid w:val="29B13146"/>
    <w:rsid w:val="29B82726"/>
    <w:rsid w:val="29BB1C3D"/>
    <w:rsid w:val="29BB4E8F"/>
    <w:rsid w:val="29BD5B7E"/>
    <w:rsid w:val="29BD7D3C"/>
    <w:rsid w:val="29BF1D06"/>
    <w:rsid w:val="29C03727"/>
    <w:rsid w:val="29C15A7E"/>
    <w:rsid w:val="29C242BC"/>
    <w:rsid w:val="29C410CB"/>
    <w:rsid w:val="29C55A1E"/>
    <w:rsid w:val="29C67614"/>
    <w:rsid w:val="29C70BBB"/>
    <w:rsid w:val="29C8403A"/>
    <w:rsid w:val="29C97ADE"/>
    <w:rsid w:val="29CB06AB"/>
    <w:rsid w:val="29CC34BC"/>
    <w:rsid w:val="29CC4423"/>
    <w:rsid w:val="29D137E8"/>
    <w:rsid w:val="29D357B2"/>
    <w:rsid w:val="29D412E5"/>
    <w:rsid w:val="29D470E3"/>
    <w:rsid w:val="29D532D8"/>
    <w:rsid w:val="29D70599"/>
    <w:rsid w:val="29D8669C"/>
    <w:rsid w:val="29DB6F1A"/>
    <w:rsid w:val="29E21551"/>
    <w:rsid w:val="29E2214C"/>
    <w:rsid w:val="29E22587"/>
    <w:rsid w:val="29E452C9"/>
    <w:rsid w:val="29E654E5"/>
    <w:rsid w:val="29E87670"/>
    <w:rsid w:val="29E96D83"/>
    <w:rsid w:val="29EC100E"/>
    <w:rsid w:val="29EF6C3E"/>
    <w:rsid w:val="29F00112"/>
    <w:rsid w:val="29F15C38"/>
    <w:rsid w:val="29F260FF"/>
    <w:rsid w:val="29F55728"/>
    <w:rsid w:val="29F67810"/>
    <w:rsid w:val="29F84CFB"/>
    <w:rsid w:val="29FA2D3E"/>
    <w:rsid w:val="29FA4AED"/>
    <w:rsid w:val="29FA54EE"/>
    <w:rsid w:val="29FA689B"/>
    <w:rsid w:val="2A012054"/>
    <w:rsid w:val="2A0140CD"/>
    <w:rsid w:val="2A0239A1"/>
    <w:rsid w:val="2A040CF7"/>
    <w:rsid w:val="2A043BBD"/>
    <w:rsid w:val="2A04596B"/>
    <w:rsid w:val="2A046A04"/>
    <w:rsid w:val="2A067935"/>
    <w:rsid w:val="2A0874C0"/>
    <w:rsid w:val="2A0B6BDB"/>
    <w:rsid w:val="2A0F0A32"/>
    <w:rsid w:val="2A0F7A1E"/>
    <w:rsid w:val="2A10729A"/>
    <w:rsid w:val="2A1132FB"/>
    <w:rsid w:val="2A12193E"/>
    <w:rsid w:val="2A144F85"/>
    <w:rsid w:val="2A154B20"/>
    <w:rsid w:val="2A1B5CDA"/>
    <w:rsid w:val="2A1D0AA8"/>
    <w:rsid w:val="2A1D799A"/>
    <w:rsid w:val="2A1F27A5"/>
    <w:rsid w:val="2A1F45ED"/>
    <w:rsid w:val="2A202079"/>
    <w:rsid w:val="2A210B5D"/>
    <w:rsid w:val="2A222295"/>
    <w:rsid w:val="2A257690"/>
    <w:rsid w:val="2A263B34"/>
    <w:rsid w:val="2A265309"/>
    <w:rsid w:val="2A2658E2"/>
    <w:rsid w:val="2A273408"/>
    <w:rsid w:val="2A295383"/>
    <w:rsid w:val="2A2A4D27"/>
    <w:rsid w:val="2A30050E"/>
    <w:rsid w:val="2A321A45"/>
    <w:rsid w:val="2A337FFE"/>
    <w:rsid w:val="2A391AB9"/>
    <w:rsid w:val="2A3A0FA7"/>
    <w:rsid w:val="2A3F5E73"/>
    <w:rsid w:val="2A41271B"/>
    <w:rsid w:val="2A4144C9"/>
    <w:rsid w:val="2A426494"/>
    <w:rsid w:val="2A44045E"/>
    <w:rsid w:val="2A457487"/>
    <w:rsid w:val="2A461AE0"/>
    <w:rsid w:val="2A481CFC"/>
    <w:rsid w:val="2A4B5348"/>
    <w:rsid w:val="2A4E308A"/>
    <w:rsid w:val="2A4E6BE6"/>
    <w:rsid w:val="2A4F6448"/>
    <w:rsid w:val="2A506E02"/>
    <w:rsid w:val="2A53751F"/>
    <w:rsid w:val="2A542FA4"/>
    <w:rsid w:val="2A554419"/>
    <w:rsid w:val="2A566FA1"/>
    <w:rsid w:val="2A5702ED"/>
    <w:rsid w:val="2A572EBE"/>
    <w:rsid w:val="2A577B8D"/>
    <w:rsid w:val="2A5C1303"/>
    <w:rsid w:val="2A5D507B"/>
    <w:rsid w:val="2A5E32CD"/>
    <w:rsid w:val="2A5F249B"/>
    <w:rsid w:val="2A611BA7"/>
    <w:rsid w:val="2A6308E4"/>
    <w:rsid w:val="2A677DE2"/>
    <w:rsid w:val="2A6E0160"/>
    <w:rsid w:val="2A784421"/>
    <w:rsid w:val="2A785209"/>
    <w:rsid w:val="2A7A70BB"/>
    <w:rsid w:val="2A7F74F9"/>
    <w:rsid w:val="2A81520E"/>
    <w:rsid w:val="2A830F86"/>
    <w:rsid w:val="2A8940C2"/>
    <w:rsid w:val="2A8A4FE9"/>
    <w:rsid w:val="2A8B24AA"/>
    <w:rsid w:val="2A8B7E3A"/>
    <w:rsid w:val="2A8E3487"/>
    <w:rsid w:val="2A900FAD"/>
    <w:rsid w:val="2A905451"/>
    <w:rsid w:val="2A9071FF"/>
    <w:rsid w:val="2A922F77"/>
    <w:rsid w:val="2A946CEF"/>
    <w:rsid w:val="2A970D9B"/>
    <w:rsid w:val="2A972312"/>
    <w:rsid w:val="2A996F9E"/>
    <w:rsid w:val="2A9A007E"/>
    <w:rsid w:val="2AA1140C"/>
    <w:rsid w:val="2AA47852"/>
    <w:rsid w:val="2AA50EFC"/>
    <w:rsid w:val="2AA64C74"/>
    <w:rsid w:val="2AA7224F"/>
    <w:rsid w:val="2AA84549"/>
    <w:rsid w:val="2AAC13F4"/>
    <w:rsid w:val="2AAC73DC"/>
    <w:rsid w:val="2AAD7DB1"/>
    <w:rsid w:val="2AAF3B29"/>
    <w:rsid w:val="2AB00E6E"/>
    <w:rsid w:val="2AB25A1E"/>
    <w:rsid w:val="2AB4113F"/>
    <w:rsid w:val="2AB60603"/>
    <w:rsid w:val="2AB63109"/>
    <w:rsid w:val="2AB7478C"/>
    <w:rsid w:val="2AB812EE"/>
    <w:rsid w:val="2ABE25D9"/>
    <w:rsid w:val="2AC11AAE"/>
    <w:rsid w:val="2AC21E7D"/>
    <w:rsid w:val="2AC3330D"/>
    <w:rsid w:val="2AC33F52"/>
    <w:rsid w:val="2AC56CC9"/>
    <w:rsid w:val="2AC62C21"/>
    <w:rsid w:val="2AC635A4"/>
    <w:rsid w:val="2AC670C5"/>
    <w:rsid w:val="2AC75CEF"/>
    <w:rsid w:val="2AC9315C"/>
    <w:rsid w:val="2ACB0237"/>
    <w:rsid w:val="2ACB46DB"/>
    <w:rsid w:val="2ACD6BF6"/>
    <w:rsid w:val="2ACE1AD5"/>
    <w:rsid w:val="2ACF5F79"/>
    <w:rsid w:val="2AD01815"/>
    <w:rsid w:val="2AD06C6E"/>
    <w:rsid w:val="2AD31BAE"/>
    <w:rsid w:val="2AD359D3"/>
    <w:rsid w:val="2AD4376A"/>
    <w:rsid w:val="2AD45FAC"/>
    <w:rsid w:val="2AD510B6"/>
    <w:rsid w:val="2AD73080"/>
    <w:rsid w:val="2AD90E51"/>
    <w:rsid w:val="2ADB2B70"/>
    <w:rsid w:val="2ADB5CCE"/>
    <w:rsid w:val="2ADF24B8"/>
    <w:rsid w:val="2AE01F34"/>
    <w:rsid w:val="2AE05406"/>
    <w:rsid w:val="2AE31A25"/>
    <w:rsid w:val="2AE337D3"/>
    <w:rsid w:val="2AE35581"/>
    <w:rsid w:val="2AE5754B"/>
    <w:rsid w:val="2AE71321"/>
    <w:rsid w:val="2AE763AF"/>
    <w:rsid w:val="2AEB5161"/>
    <w:rsid w:val="2AEC6A9F"/>
    <w:rsid w:val="2AED1B89"/>
    <w:rsid w:val="2AED20E7"/>
    <w:rsid w:val="2AED4651"/>
    <w:rsid w:val="2AEE60A8"/>
    <w:rsid w:val="2AF07C9E"/>
    <w:rsid w:val="2AF4778E"/>
    <w:rsid w:val="2AF62DDB"/>
    <w:rsid w:val="2AF754D0"/>
    <w:rsid w:val="2AF91248"/>
    <w:rsid w:val="2AF95717"/>
    <w:rsid w:val="2AFF1E1F"/>
    <w:rsid w:val="2B013C59"/>
    <w:rsid w:val="2B033E75"/>
    <w:rsid w:val="2B0379D1"/>
    <w:rsid w:val="2B081B54"/>
    <w:rsid w:val="2B083239"/>
    <w:rsid w:val="2B0A0D5F"/>
    <w:rsid w:val="2B0C0F7B"/>
    <w:rsid w:val="2B0D4423"/>
    <w:rsid w:val="2B1020EE"/>
    <w:rsid w:val="2B116592"/>
    <w:rsid w:val="2B12002C"/>
    <w:rsid w:val="2B131725"/>
    <w:rsid w:val="2B177920"/>
    <w:rsid w:val="2B195446"/>
    <w:rsid w:val="2B1B2F6C"/>
    <w:rsid w:val="2B1C4BAB"/>
    <w:rsid w:val="2B1C6CE5"/>
    <w:rsid w:val="2B2142FB"/>
    <w:rsid w:val="2B225799"/>
    <w:rsid w:val="2B25203D"/>
    <w:rsid w:val="2B255B99"/>
    <w:rsid w:val="2B2654FC"/>
    <w:rsid w:val="2B26670B"/>
    <w:rsid w:val="2B294E5B"/>
    <w:rsid w:val="2B2A7228"/>
    <w:rsid w:val="2B2A7653"/>
    <w:rsid w:val="2B2A7C64"/>
    <w:rsid w:val="2B2C6A0E"/>
    <w:rsid w:val="2B2D63A8"/>
    <w:rsid w:val="2B2F4C6A"/>
    <w:rsid w:val="2B315312"/>
    <w:rsid w:val="2B326508"/>
    <w:rsid w:val="2B345DDC"/>
    <w:rsid w:val="2B354D70"/>
    <w:rsid w:val="2B367DA6"/>
    <w:rsid w:val="2B387B04"/>
    <w:rsid w:val="2B395AE8"/>
    <w:rsid w:val="2B397B69"/>
    <w:rsid w:val="2B3C2EE3"/>
    <w:rsid w:val="2B40163B"/>
    <w:rsid w:val="2B433905"/>
    <w:rsid w:val="2B434271"/>
    <w:rsid w:val="2B4470C3"/>
    <w:rsid w:val="2B457FE9"/>
    <w:rsid w:val="2B47050D"/>
    <w:rsid w:val="2B481888"/>
    <w:rsid w:val="2B492F35"/>
    <w:rsid w:val="2B4D4BC5"/>
    <w:rsid w:val="2B4F1D87"/>
    <w:rsid w:val="2B5100EC"/>
    <w:rsid w:val="2B546105"/>
    <w:rsid w:val="2B552C19"/>
    <w:rsid w:val="2B5621F6"/>
    <w:rsid w:val="2B58159A"/>
    <w:rsid w:val="2B5869C9"/>
    <w:rsid w:val="2B597F39"/>
    <w:rsid w:val="2B5A7A1C"/>
    <w:rsid w:val="2B5B18D3"/>
    <w:rsid w:val="2B5B5A5F"/>
    <w:rsid w:val="2B646DB3"/>
    <w:rsid w:val="2B683CD8"/>
    <w:rsid w:val="2B6A3EF4"/>
    <w:rsid w:val="2B6C1A1A"/>
    <w:rsid w:val="2B6C7C6C"/>
    <w:rsid w:val="2B6D12EE"/>
    <w:rsid w:val="2B6F32B8"/>
    <w:rsid w:val="2B764647"/>
    <w:rsid w:val="2B765243"/>
    <w:rsid w:val="2B7D3C27"/>
    <w:rsid w:val="2B7E52A9"/>
    <w:rsid w:val="2B7F799F"/>
    <w:rsid w:val="2B806286"/>
    <w:rsid w:val="2B824D9A"/>
    <w:rsid w:val="2B830B12"/>
    <w:rsid w:val="2B832919"/>
    <w:rsid w:val="2B836D64"/>
    <w:rsid w:val="2B875B68"/>
    <w:rsid w:val="2B876854"/>
    <w:rsid w:val="2B8925CC"/>
    <w:rsid w:val="2B8A00F2"/>
    <w:rsid w:val="2B8A2E82"/>
    <w:rsid w:val="2B8F423A"/>
    <w:rsid w:val="2B911481"/>
    <w:rsid w:val="2B9176D3"/>
    <w:rsid w:val="2B9223D2"/>
    <w:rsid w:val="2B9266BF"/>
    <w:rsid w:val="2B936FA7"/>
    <w:rsid w:val="2B945146"/>
    <w:rsid w:val="2B977CDD"/>
    <w:rsid w:val="2B98280F"/>
    <w:rsid w:val="2B99227F"/>
    <w:rsid w:val="2B996587"/>
    <w:rsid w:val="2B9A6504"/>
    <w:rsid w:val="2B9B40AD"/>
    <w:rsid w:val="2B9D6077"/>
    <w:rsid w:val="2B9E594C"/>
    <w:rsid w:val="2B9E76FA"/>
    <w:rsid w:val="2B9F3B9D"/>
    <w:rsid w:val="2BA13EC1"/>
    <w:rsid w:val="2BA47406"/>
    <w:rsid w:val="2BA56CDA"/>
    <w:rsid w:val="2BA80578"/>
    <w:rsid w:val="2BAA2542"/>
    <w:rsid w:val="2BAC1E16"/>
    <w:rsid w:val="2BAD4BF1"/>
    <w:rsid w:val="2BB04CB3"/>
    <w:rsid w:val="2BB331A5"/>
    <w:rsid w:val="2BB44F28"/>
    <w:rsid w:val="2BB62C95"/>
    <w:rsid w:val="2BB77950"/>
    <w:rsid w:val="2BB92785"/>
    <w:rsid w:val="2BB948D5"/>
    <w:rsid w:val="2BBB2606"/>
    <w:rsid w:val="2BBE759C"/>
    <w:rsid w:val="2BBF3B6B"/>
    <w:rsid w:val="2BC5112A"/>
    <w:rsid w:val="2BC52ED8"/>
    <w:rsid w:val="2BC730F4"/>
    <w:rsid w:val="2BC76C50"/>
    <w:rsid w:val="2BC87C0C"/>
    <w:rsid w:val="2BC96E6C"/>
    <w:rsid w:val="2BCD4ACF"/>
    <w:rsid w:val="2BCF1FA9"/>
    <w:rsid w:val="2BD31A99"/>
    <w:rsid w:val="2BD55811"/>
    <w:rsid w:val="2BD82C0B"/>
    <w:rsid w:val="2BD9222E"/>
    <w:rsid w:val="2BD9534F"/>
    <w:rsid w:val="2BD95AFC"/>
    <w:rsid w:val="2BDB6319"/>
    <w:rsid w:val="2BDD6474"/>
    <w:rsid w:val="2BDF043E"/>
    <w:rsid w:val="2BE0256A"/>
    <w:rsid w:val="2BE21CDC"/>
    <w:rsid w:val="2BE37B42"/>
    <w:rsid w:val="2BE43CE0"/>
    <w:rsid w:val="2BE5357A"/>
    <w:rsid w:val="2BE92273"/>
    <w:rsid w:val="2BEC4909"/>
    <w:rsid w:val="2BEC66B7"/>
    <w:rsid w:val="2BEE09B1"/>
    <w:rsid w:val="2BF37734"/>
    <w:rsid w:val="2BF53B52"/>
    <w:rsid w:val="2BF612E4"/>
    <w:rsid w:val="2BF7560D"/>
    <w:rsid w:val="2BF839C5"/>
    <w:rsid w:val="2BF87197"/>
    <w:rsid w:val="2BF913D1"/>
    <w:rsid w:val="2BFA126E"/>
    <w:rsid w:val="2BFD2015"/>
    <w:rsid w:val="2BFD6B16"/>
    <w:rsid w:val="2C0003B4"/>
    <w:rsid w:val="2C001142"/>
    <w:rsid w:val="2C017681"/>
    <w:rsid w:val="2C041C52"/>
    <w:rsid w:val="2C047EA4"/>
    <w:rsid w:val="2C057779"/>
    <w:rsid w:val="2C077995"/>
    <w:rsid w:val="2C092B91"/>
    <w:rsid w:val="2C097269"/>
    <w:rsid w:val="2C0B2AAE"/>
    <w:rsid w:val="2C0E0D23"/>
    <w:rsid w:val="2C0E487F"/>
    <w:rsid w:val="2C110B08"/>
    <w:rsid w:val="2C11436F"/>
    <w:rsid w:val="2C12290F"/>
    <w:rsid w:val="2C122CAC"/>
    <w:rsid w:val="2C155F80"/>
    <w:rsid w:val="2C1874AC"/>
    <w:rsid w:val="2C1A1476"/>
    <w:rsid w:val="2C1B08C7"/>
    <w:rsid w:val="2C212804"/>
    <w:rsid w:val="2C2401D3"/>
    <w:rsid w:val="2C2440A3"/>
    <w:rsid w:val="2C267E1B"/>
    <w:rsid w:val="2C295B04"/>
    <w:rsid w:val="2C2B5431"/>
    <w:rsid w:val="2C2E4F21"/>
    <w:rsid w:val="2C301781"/>
    <w:rsid w:val="2C3047F6"/>
    <w:rsid w:val="2C35005E"/>
    <w:rsid w:val="2C365B84"/>
    <w:rsid w:val="2C3818FC"/>
    <w:rsid w:val="2C3B13EC"/>
    <w:rsid w:val="2C3D33B6"/>
    <w:rsid w:val="2C3D6F12"/>
    <w:rsid w:val="2C3E306D"/>
    <w:rsid w:val="2C416A03"/>
    <w:rsid w:val="2C4209CD"/>
    <w:rsid w:val="2C43568A"/>
    <w:rsid w:val="2C45434C"/>
    <w:rsid w:val="2C46226B"/>
    <w:rsid w:val="2C4C2734"/>
    <w:rsid w:val="2C4D7BD8"/>
    <w:rsid w:val="2C4E2ECE"/>
    <w:rsid w:val="2C513B81"/>
    <w:rsid w:val="2C556723"/>
    <w:rsid w:val="2C557E64"/>
    <w:rsid w:val="2C5A1872"/>
    <w:rsid w:val="2C5A5D16"/>
    <w:rsid w:val="2C5D1363"/>
    <w:rsid w:val="2C5D5807"/>
    <w:rsid w:val="2C5E51BB"/>
    <w:rsid w:val="2C604F77"/>
    <w:rsid w:val="2C640FDC"/>
    <w:rsid w:val="2C66290D"/>
    <w:rsid w:val="2C677C4D"/>
    <w:rsid w:val="2C6E3570"/>
    <w:rsid w:val="2C6E531E"/>
    <w:rsid w:val="2C703257"/>
    <w:rsid w:val="2C756D93"/>
    <w:rsid w:val="2C772424"/>
    <w:rsid w:val="2C792CE4"/>
    <w:rsid w:val="2C7A3CC3"/>
    <w:rsid w:val="2C7C7A3B"/>
    <w:rsid w:val="2C7E7849"/>
    <w:rsid w:val="2C7E7C57"/>
    <w:rsid w:val="2C7F07DE"/>
    <w:rsid w:val="2C7F265E"/>
    <w:rsid w:val="2C7F577D"/>
    <w:rsid w:val="2C805A27"/>
    <w:rsid w:val="2C8132A3"/>
    <w:rsid w:val="2C814A81"/>
    <w:rsid w:val="2C820DC9"/>
    <w:rsid w:val="2C8348CD"/>
    <w:rsid w:val="2C842D93"/>
    <w:rsid w:val="2C862667"/>
    <w:rsid w:val="2C88243E"/>
    <w:rsid w:val="2C883DC8"/>
    <w:rsid w:val="2C88779E"/>
    <w:rsid w:val="2C8903AA"/>
    <w:rsid w:val="2C8B7F33"/>
    <w:rsid w:val="2C8C39F6"/>
    <w:rsid w:val="2C8D7E9A"/>
    <w:rsid w:val="2C8E776E"/>
    <w:rsid w:val="2C92725E"/>
    <w:rsid w:val="2C934D84"/>
    <w:rsid w:val="2C94072F"/>
    <w:rsid w:val="2C98683F"/>
    <w:rsid w:val="2C994B71"/>
    <w:rsid w:val="2C9A4365"/>
    <w:rsid w:val="2C9C632F"/>
    <w:rsid w:val="2C9E3E55"/>
    <w:rsid w:val="2C9F3729"/>
    <w:rsid w:val="2C9F5E1F"/>
    <w:rsid w:val="2CA156F3"/>
    <w:rsid w:val="2CA628E7"/>
    <w:rsid w:val="2CA64AB8"/>
    <w:rsid w:val="2CB01DDA"/>
    <w:rsid w:val="2CB04885"/>
    <w:rsid w:val="2CB1338F"/>
    <w:rsid w:val="2CB17B5A"/>
    <w:rsid w:val="2CB2029A"/>
    <w:rsid w:val="2CB27900"/>
    <w:rsid w:val="2CB43679"/>
    <w:rsid w:val="2CB56C35"/>
    <w:rsid w:val="2CB73169"/>
    <w:rsid w:val="2CB74F17"/>
    <w:rsid w:val="2CB76CC5"/>
    <w:rsid w:val="2CB82A3D"/>
    <w:rsid w:val="2CBC077F"/>
    <w:rsid w:val="2CBC252D"/>
    <w:rsid w:val="2CBD1391"/>
    <w:rsid w:val="2CBF16DD"/>
    <w:rsid w:val="2CC43190"/>
    <w:rsid w:val="2CC52C95"/>
    <w:rsid w:val="2CC633AC"/>
    <w:rsid w:val="2CC65980"/>
    <w:rsid w:val="2CC973D5"/>
    <w:rsid w:val="2CC976CA"/>
    <w:rsid w:val="2CCB6C14"/>
    <w:rsid w:val="2CCC7F97"/>
    <w:rsid w:val="2CD07D87"/>
    <w:rsid w:val="2CD16E38"/>
    <w:rsid w:val="2CD21D51"/>
    <w:rsid w:val="2CD30FF2"/>
    <w:rsid w:val="2CD31625"/>
    <w:rsid w:val="2CD51841"/>
    <w:rsid w:val="2CD535EF"/>
    <w:rsid w:val="2CDA29B3"/>
    <w:rsid w:val="2CDC497D"/>
    <w:rsid w:val="2CDF4B0F"/>
    <w:rsid w:val="2CDF621C"/>
    <w:rsid w:val="2CDF7FCA"/>
    <w:rsid w:val="2CE57990"/>
    <w:rsid w:val="2CE81574"/>
    <w:rsid w:val="2CE83322"/>
    <w:rsid w:val="2CE90E48"/>
    <w:rsid w:val="2CED0939"/>
    <w:rsid w:val="2CED26E7"/>
    <w:rsid w:val="2CEF693A"/>
    <w:rsid w:val="2CF24400"/>
    <w:rsid w:val="2CF256CF"/>
    <w:rsid w:val="2CF27CFD"/>
    <w:rsid w:val="2CF47F19"/>
    <w:rsid w:val="2CF54D76"/>
    <w:rsid w:val="2CF577ED"/>
    <w:rsid w:val="2CF63C91"/>
    <w:rsid w:val="2CF91A3F"/>
    <w:rsid w:val="2CF972DD"/>
    <w:rsid w:val="2CFE48F4"/>
    <w:rsid w:val="2CFF241A"/>
    <w:rsid w:val="2D004D63"/>
    <w:rsid w:val="2D012636"/>
    <w:rsid w:val="2D031F0A"/>
    <w:rsid w:val="2D044742"/>
    <w:rsid w:val="2D055D4A"/>
    <w:rsid w:val="2D0637A8"/>
    <w:rsid w:val="2D0744F2"/>
    <w:rsid w:val="2D0B5263"/>
    <w:rsid w:val="2D0E06C6"/>
    <w:rsid w:val="2D0E6608"/>
    <w:rsid w:val="2D0F08AF"/>
    <w:rsid w:val="2D0F4D53"/>
    <w:rsid w:val="2D103E04"/>
    <w:rsid w:val="2D104627"/>
    <w:rsid w:val="2D12039F"/>
    <w:rsid w:val="2D12358F"/>
    <w:rsid w:val="2D145EC5"/>
    <w:rsid w:val="2D1664DB"/>
    <w:rsid w:val="2D1759B5"/>
    <w:rsid w:val="2D1B36F8"/>
    <w:rsid w:val="2D1C0C0C"/>
    <w:rsid w:val="2D1C4D7A"/>
    <w:rsid w:val="2D1C6606"/>
    <w:rsid w:val="2D1E6D44"/>
    <w:rsid w:val="2D216834"/>
    <w:rsid w:val="2D256324"/>
    <w:rsid w:val="2D2563A1"/>
    <w:rsid w:val="2D261EE1"/>
    <w:rsid w:val="2D263E4A"/>
    <w:rsid w:val="2D2747C4"/>
    <w:rsid w:val="2D285E15"/>
    <w:rsid w:val="2D287BC3"/>
    <w:rsid w:val="2D2B2FA9"/>
    <w:rsid w:val="2D2C32D2"/>
    <w:rsid w:val="2D2F30DD"/>
    <w:rsid w:val="2D2F3C20"/>
    <w:rsid w:val="2D344536"/>
    <w:rsid w:val="2D352EF4"/>
    <w:rsid w:val="2D3547D9"/>
    <w:rsid w:val="2D360531"/>
    <w:rsid w:val="2D3C2DC7"/>
    <w:rsid w:val="2D3C4AA8"/>
    <w:rsid w:val="2D3E73E6"/>
    <w:rsid w:val="2D3F526C"/>
    <w:rsid w:val="2D410C84"/>
    <w:rsid w:val="2D421593"/>
    <w:rsid w:val="2D450775"/>
    <w:rsid w:val="2D481418"/>
    <w:rsid w:val="2D482013"/>
    <w:rsid w:val="2D4A7B39"/>
    <w:rsid w:val="2D4D3D4C"/>
    <w:rsid w:val="2D4E6144"/>
    <w:rsid w:val="2D4F15F3"/>
    <w:rsid w:val="2D4F6EFD"/>
    <w:rsid w:val="2D51633B"/>
    <w:rsid w:val="2D524FED"/>
    <w:rsid w:val="2D532B60"/>
    <w:rsid w:val="2D546C0A"/>
    <w:rsid w:val="2D55028C"/>
    <w:rsid w:val="2D572256"/>
    <w:rsid w:val="2D5B1D46"/>
    <w:rsid w:val="2D5C0C70"/>
    <w:rsid w:val="2D5E1836"/>
    <w:rsid w:val="2D64317E"/>
    <w:rsid w:val="2D6434F8"/>
    <w:rsid w:val="2D644D1D"/>
    <w:rsid w:val="2D646A6C"/>
    <w:rsid w:val="2D671AAB"/>
    <w:rsid w:val="2D67693D"/>
    <w:rsid w:val="2D68108A"/>
    <w:rsid w:val="2D6947B8"/>
    <w:rsid w:val="2D6A1F89"/>
    <w:rsid w:val="2D6C5D01"/>
    <w:rsid w:val="2D6D3827"/>
    <w:rsid w:val="2D713318"/>
    <w:rsid w:val="2D7133AA"/>
    <w:rsid w:val="2D727090"/>
    <w:rsid w:val="2D74181A"/>
    <w:rsid w:val="2D742860"/>
    <w:rsid w:val="2D746964"/>
    <w:rsid w:val="2D7626DC"/>
    <w:rsid w:val="2D76770B"/>
    <w:rsid w:val="2D7746A6"/>
    <w:rsid w:val="2D7824C2"/>
    <w:rsid w:val="2D786D08"/>
    <w:rsid w:val="2D7B4196"/>
    <w:rsid w:val="2D7C1CBC"/>
    <w:rsid w:val="2D7E6726"/>
    <w:rsid w:val="2D7E77E3"/>
    <w:rsid w:val="2D806BDB"/>
    <w:rsid w:val="2D840162"/>
    <w:rsid w:val="2D841E05"/>
    <w:rsid w:val="2D844739"/>
    <w:rsid w:val="2D872B3B"/>
    <w:rsid w:val="2D874C02"/>
    <w:rsid w:val="2D880661"/>
    <w:rsid w:val="2D886230"/>
    <w:rsid w:val="2D8A262B"/>
    <w:rsid w:val="2D8B51DF"/>
    <w:rsid w:val="2D8B7645"/>
    <w:rsid w:val="2D8C63A3"/>
    <w:rsid w:val="2D8D7A26"/>
    <w:rsid w:val="2D8F19F0"/>
    <w:rsid w:val="2D8F7C42"/>
    <w:rsid w:val="2D917516"/>
    <w:rsid w:val="2D930288"/>
    <w:rsid w:val="2D937732"/>
    <w:rsid w:val="2D940DB4"/>
    <w:rsid w:val="2D9467B6"/>
    <w:rsid w:val="2D972291"/>
    <w:rsid w:val="2D9D7A41"/>
    <w:rsid w:val="2D9E1C33"/>
    <w:rsid w:val="2DA134D1"/>
    <w:rsid w:val="2DA27975"/>
    <w:rsid w:val="2DA336ED"/>
    <w:rsid w:val="2DA45F1F"/>
    <w:rsid w:val="2DA74F8B"/>
    <w:rsid w:val="2DA76D39"/>
    <w:rsid w:val="2DA95DA3"/>
    <w:rsid w:val="2DAA4A7C"/>
    <w:rsid w:val="2DAA6FC6"/>
    <w:rsid w:val="2DAC07F4"/>
    <w:rsid w:val="2DB15421"/>
    <w:rsid w:val="2DB256DE"/>
    <w:rsid w:val="2DB30D7B"/>
    <w:rsid w:val="2DB33930"/>
    <w:rsid w:val="2DB43204"/>
    <w:rsid w:val="2DB4438A"/>
    <w:rsid w:val="2DB63420"/>
    <w:rsid w:val="2DB8364D"/>
    <w:rsid w:val="2DB8419B"/>
    <w:rsid w:val="2DB931B3"/>
    <w:rsid w:val="2DB93D3A"/>
    <w:rsid w:val="2DBA2F11"/>
    <w:rsid w:val="2DBB0A37"/>
    <w:rsid w:val="2DBB168C"/>
    <w:rsid w:val="2DBD3FAC"/>
    <w:rsid w:val="2DBD655D"/>
    <w:rsid w:val="2DBE22D5"/>
    <w:rsid w:val="2DC154FE"/>
    <w:rsid w:val="2DC21DC5"/>
    <w:rsid w:val="2DC7118A"/>
    <w:rsid w:val="2DC732A0"/>
    <w:rsid w:val="2DC773DC"/>
    <w:rsid w:val="2DC84F02"/>
    <w:rsid w:val="2DC86CB0"/>
    <w:rsid w:val="2DCD42C6"/>
    <w:rsid w:val="2DCF208D"/>
    <w:rsid w:val="2DD1025A"/>
    <w:rsid w:val="2DD35D80"/>
    <w:rsid w:val="2DD438A6"/>
    <w:rsid w:val="2DD44325"/>
    <w:rsid w:val="2DD44566"/>
    <w:rsid w:val="2DD45655"/>
    <w:rsid w:val="2DD613CD"/>
    <w:rsid w:val="2DD65871"/>
    <w:rsid w:val="2DD815E9"/>
    <w:rsid w:val="2DD83397"/>
    <w:rsid w:val="2DD934D4"/>
    <w:rsid w:val="2DDB69E3"/>
    <w:rsid w:val="2DDE11CA"/>
    <w:rsid w:val="2DE0224B"/>
    <w:rsid w:val="2DE03FF9"/>
    <w:rsid w:val="2DE30981"/>
    <w:rsid w:val="2DE33AEA"/>
    <w:rsid w:val="2DE57862"/>
    <w:rsid w:val="2DE633E5"/>
    <w:rsid w:val="2DE81100"/>
    <w:rsid w:val="2DEE2BBA"/>
    <w:rsid w:val="2DF232BF"/>
    <w:rsid w:val="2DF61A6F"/>
    <w:rsid w:val="2DF83A39"/>
    <w:rsid w:val="2DF9330D"/>
    <w:rsid w:val="2DF97676"/>
    <w:rsid w:val="2DFB7E63"/>
    <w:rsid w:val="2DFD2DFD"/>
    <w:rsid w:val="2DFE54A0"/>
    <w:rsid w:val="2DFF51EF"/>
    <w:rsid w:val="2DFF5A30"/>
    <w:rsid w:val="2E011250"/>
    <w:rsid w:val="2E04418C"/>
    <w:rsid w:val="2E051CB2"/>
    <w:rsid w:val="2E0917A2"/>
    <w:rsid w:val="2E09474D"/>
    <w:rsid w:val="2E0B376C"/>
    <w:rsid w:val="2E0F337C"/>
    <w:rsid w:val="2E151853"/>
    <w:rsid w:val="2E163EBF"/>
    <w:rsid w:val="2E1B7727"/>
    <w:rsid w:val="2E1D349F"/>
    <w:rsid w:val="2E1D6FFC"/>
    <w:rsid w:val="2E1E4B22"/>
    <w:rsid w:val="2E204D3E"/>
    <w:rsid w:val="2E222864"/>
    <w:rsid w:val="2E2345C0"/>
    <w:rsid w:val="2E24038A"/>
    <w:rsid w:val="2E24482E"/>
    <w:rsid w:val="2E29045C"/>
    <w:rsid w:val="2E2C723F"/>
    <w:rsid w:val="2E312AA7"/>
    <w:rsid w:val="2E316328"/>
    <w:rsid w:val="2E3305CD"/>
    <w:rsid w:val="2E344D2B"/>
    <w:rsid w:val="2E3A09D7"/>
    <w:rsid w:val="2E3D31FA"/>
    <w:rsid w:val="2E3F3416"/>
    <w:rsid w:val="2E413A54"/>
    <w:rsid w:val="2E4647A4"/>
    <w:rsid w:val="2E474AE9"/>
    <w:rsid w:val="2E4A1A53"/>
    <w:rsid w:val="2E4A2820"/>
    <w:rsid w:val="2E4B3B69"/>
    <w:rsid w:val="2E4E5407"/>
    <w:rsid w:val="2E505623"/>
    <w:rsid w:val="2E5073D1"/>
    <w:rsid w:val="2E532A1D"/>
    <w:rsid w:val="2E5413BB"/>
    <w:rsid w:val="2E5651FB"/>
    <w:rsid w:val="2E5A0250"/>
    <w:rsid w:val="2E5D1AEE"/>
    <w:rsid w:val="2E6028E6"/>
    <w:rsid w:val="2E625356"/>
    <w:rsid w:val="2E644C2A"/>
    <w:rsid w:val="2E6966E5"/>
    <w:rsid w:val="2E6C1D31"/>
    <w:rsid w:val="2E6C7EF0"/>
    <w:rsid w:val="2E705998"/>
    <w:rsid w:val="2E732B82"/>
    <w:rsid w:val="2E7330BF"/>
    <w:rsid w:val="2E756E38"/>
    <w:rsid w:val="2E7620E0"/>
    <w:rsid w:val="2E7806D6"/>
    <w:rsid w:val="2E7A444E"/>
    <w:rsid w:val="2E7A61FC"/>
    <w:rsid w:val="2E7C1A67"/>
    <w:rsid w:val="2E7C6418"/>
    <w:rsid w:val="2E7E4EF0"/>
    <w:rsid w:val="2E804F49"/>
    <w:rsid w:val="2E8157DC"/>
    <w:rsid w:val="2E81758A"/>
    <w:rsid w:val="2E82325D"/>
    <w:rsid w:val="2E826747"/>
    <w:rsid w:val="2E831067"/>
    <w:rsid w:val="2E837BD7"/>
    <w:rsid w:val="2E876B6B"/>
    <w:rsid w:val="2E892307"/>
    <w:rsid w:val="2E8928E3"/>
    <w:rsid w:val="2E8B2D7C"/>
    <w:rsid w:val="2E8C4181"/>
    <w:rsid w:val="2E8C7518"/>
    <w:rsid w:val="2E8D3FCA"/>
    <w:rsid w:val="2E8D6AD6"/>
    <w:rsid w:val="2E905A1F"/>
    <w:rsid w:val="2E9077CD"/>
    <w:rsid w:val="2E951288"/>
    <w:rsid w:val="2E9574DA"/>
    <w:rsid w:val="2E96490B"/>
    <w:rsid w:val="2E9845F1"/>
    <w:rsid w:val="2E996204"/>
    <w:rsid w:val="2E9A689E"/>
    <w:rsid w:val="2E9B6172"/>
    <w:rsid w:val="2EA12CAF"/>
    <w:rsid w:val="2EA15E7F"/>
    <w:rsid w:val="2EA339A5"/>
    <w:rsid w:val="2EA43279"/>
    <w:rsid w:val="2EA74B17"/>
    <w:rsid w:val="2EAB4607"/>
    <w:rsid w:val="2EAB5D2A"/>
    <w:rsid w:val="2EAC665B"/>
    <w:rsid w:val="2EB23BE8"/>
    <w:rsid w:val="2EB536D8"/>
    <w:rsid w:val="2EB57E94"/>
    <w:rsid w:val="2EB711FE"/>
    <w:rsid w:val="2EB75385"/>
    <w:rsid w:val="2EB86D24"/>
    <w:rsid w:val="2EBC05C2"/>
    <w:rsid w:val="2EBD11F7"/>
    <w:rsid w:val="2EBD258D"/>
    <w:rsid w:val="2EBF4B59"/>
    <w:rsid w:val="2EC3688E"/>
    <w:rsid w:val="2EC44DB8"/>
    <w:rsid w:val="2EC61441"/>
    <w:rsid w:val="2EC639EA"/>
    <w:rsid w:val="2EC658E5"/>
    <w:rsid w:val="2EC851B9"/>
    <w:rsid w:val="2EC95325"/>
    <w:rsid w:val="2ECA3572"/>
    <w:rsid w:val="2ECA71E7"/>
    <w:rsid w:val="2ECD0A22"/>
    <w:rsid w:val="2ECD5F69"/>
    <w:rsid w:val="2ECE02F6"/>
    <w:rsid w:val="2ED022C0"/>
    <w:rsid w:val="2ED27DE6"/>
    <w:rsid w:val="2ED527E6"/>
    <w:rsid w:val="2ED55B28"/>
    <w:rsid w:val="2ED55D3D"/>
    <w:rsid w:val="2ED578D6"/>
    <w:rsid w:val="2ED65BF8"/>
    <w:rsid w:val="2ED7322E"/>
    <w:rsid w:val="2EDE1C71"/>
    <w:rsid w:val="2EDF2503"/>
    <w:rsid w:val="2EDF739F"/>
    <w:rsid w:val="2EE47B19"/>
    <w:rsid w:val="2EE63891"/>
    <w:rsid w:val="2EE8124D"/>
    <w:rsid w:val="2EE92816"/>
    <w:rsid w:val="2EEB70FA"/>
    <w:rsid w:val="2EEC4418"/>
    <w:rsid w:val="2EED2E72"/>
    <w:rsid w:val="2EED69CE"/>
    <w:rsid w:val="2EEE2746"/>
    <w:rsid w:val="2EEF4086"/>
    <w:rsid w:val="2EF57F78"/>
    <w:rsid w:val="2EF75187"/>
    <w:rsid w:val="2EFE507F"/>
    <w:rsid w:val="2F0307C4"/>
    <w:rsid w:val="2F041F69"/>
    <w:rsid w:val="2F083808"/>
    <w:rsid w:val="2F0D7070"/>
    <w:rsid w:val="2F120292"/>
    <w:rsid w:val="2F120B2A"/>
    <w:rsid w:val="2F1228D8"/>
    <w:rsid w:val="2F124686"/>
    <w:rsid w:val="2F126434"/>
    <w:rsid w:val="2F141D40"/>
    <w:rsid w:val="2F171C9D"/>
    <w:rsid w:val="2F1C1962"/>
    <w:rsid w:val="2F1C346F"/>
    <w:rsid w:val="2F1D5999"/>
    <w:rsid w:val="2F1E127D"/>
    <w:rsid w:val="2F1E74CF"/>
    <w:rsid w:val="2F2148C9"/>
    <w:rsid w:val="2F2257D4"/>
    <w:rsid w:val="2F25085E"/>
    <w:rsid w:val="2F261EE0"/>
    <w:rsid w:val="2F266384"/>
    <w:rsid w:val="2F283EAA"/>
    <w:rsid w:val="2F2846BA"/>
    <w:rsid w:val="2F2919D0"/>
    <w:rsid w:val="2F294217"/>
    <w:rsid w:val="2F2A1325"/>
    <w:rsid w:val="2F2A5E74"/>
    <w:rsid w:val="2F2B5748"/>
    <w:rsid w:val="2F2B74F6"/>
    <w:rsid w:val="2F2D14C0"/>
    <w:rsid w:val="2F2F5238"/>
    <w:rsid w:val="2F3051FB"/>
    <w:rsid w:val="2F313E39"/>
    <w:rsid w:val="2F324D29"/>
    <w:rsid w:val="2F3269B4"/>
    <w:rsid w:val="2F326AD7"/>
    <w:rsid w:val="2F3276C7"/>
    <w:rsid w:val="2F35500D"/>
    <w:rsid w:val="2F364819"/>
    <w:rsid w:val="2F395009"/>
    <w:rsid w:val="2F39722B"/>
    <w:rsid w:val="2F397E65"/>
    <w:rsid w:val="2F3C4973"/>
    <w:rsid w:val="2F3E36CD"/>
    <w:rsid w:val="2F3E547B"/>
    <w:rsid w:val="2F3E6E00"/>
    <w:rsid w:val="2F432A92"/>
    <w:rsid w:val="2F4405B8"/>
    <w:rsid w:val="2F462582"/>
    <w:rsid w:val="2F464330"/>
    <w:rsid w:val="2F480C30"/>
    <w:rsid w:val="2F4A02C4"/>
    <w:rsid w:val="2F4B7B98"/>
    <w:rsid w:val="2F4D1B62"/>
    <w:rsid w:val="2F4E5CF5"/>
    <w:rsid w:val="2F5117A6"/>
    <w:rsid w:val="2F520F27"/>
    <w:rsid w:val="2F522CD5"/>
    <w:rsid w:val="2F566C69"/>
    <w:rsid w:val="2F596C88"/>
    <w:rsid w:val="2F5B1C47"/>
    <w:rsid w:val="2F5C7FF7"/>
    <w:rsid w:val="2F635C21"/>
    <w:rsid w:val="2F652D29"/>
    <w:rsid w:val="2F66176D"/>
    <w:rsid w:val="2F662C24"/>
    <w:rsid w:val="2F6649D2"/>
    <w:rsid w:val="2F68699C"/>
    <w:rsid w:val="2F6B3D97"/>
    <w:rsid w:val="2F6B655C"/>
    <w:rsid w:val="2F6C374C"/>
    <w:rsid w:val="2F6D3FB3"/>
    <w:rsid w:val="2F6E407E"/>
    <w:rsid w:val="2F6F3887"/>
    <w:rsid w:val="2F6F4B71"/>
    <w:rsid w:val="2F6F7D2B"/>
    <w:rsid w:val="2F7075FF"/>
    <w:rsid w:val="2F713AA3"/>
    <w:rsid w:val="2F7215C9"/>
    <w:rsid w:val="2F7321DB"/>
    <w:rsid w:val="2F745341"/>
    <w:rsid w:val="2F7470EF"/>
    <w:rsid w:val="2F7522C8"/>
    <w:rsid w:val="2F77098D"/>
    <w:rsid w:val="2F771238"/>
    <w:rsid w:val="2F77273B"/>
    <w:rsid w:val="2F776D1F"/>
    <w:rsid w:val="2F7B047E"/>
    <w:rsid w:val="2F7D6D53"/>
    <w:rsid w:val="2F803CE6"/>
    <w:rsid w:val="2F81180C"/>
    <w:rsid w:val="2F8135BA"/>
    <w:rsid w:val="2F827A5E"/>
    <w:rsid w:val="2F835584"/>
    <w:rsid w:val="2F837332"/>
    <w:rsid w:val="2F84483E"/>
    <w:rsid w:val="2F860BD0"/>
    <w:rsid w:val="2F8A06C1"/>
    <w:rsid w:val="2F8A6913"/>
    <w:rsid w:val="2F8C268B"/>
    <w:rsid w:val="2F8C4439"/>
    <w:rsid w:val="2F911A4F"/>
    <w:rsid w:val="2F940B9B"/>
    <w:rsid w:val="2F963509"/>
    <w:rsid w:val="2F967065"/>
    <w:rsid w:val="2F970416"/>
    <w:rsid w:val="2F984618"/>
    <w:rsid w:val="2F996B56"/>
    <w:rsid w:val="2F9B0B20"/>
    <w:rsid w:val="2F9E23BE"/>
    <w:rsid w:val="2F9E5F1A"/>
    <w:rsid w:val="2FA0434A"/>
    <w:rsid w:val="2FA23C5C"/>
    <w:rsid w:val="2FA30DD3"/>
    <w:rsid w:val="2FA54CD4"/>
    <w:rsid w:val="2FA554FB"/>
    <w:rsid w:val="2FA86D99"/>
    <w:rsid w:val="2FAA09ED"/>
    <w:rsid w:val="2FAA2B11"/>
    <w:rsid w:val="2FAA2E62"/>
    <w:rsid w:val="2FAC4ADB"/>
    <w:rsid w:val="2FAD0853"/>
    <w:rsid w:val="2FAF0127"/>
    <w:rsid w:val="2FB21B58"/>
    <w:rsid w:val="2FB3013A"/>
    <w:rsid w:val="2FB421CC"/>
    <w:rsid w:val="2FB4573E"/>
    <w:rsid w:val="2FB67708"/>
    <w:rsid w:val="2FB76FDC"/>
    <w:rsid w:val="2FB971F8"/>
    <w:rsid w:val="2FBB5EAE"/>
    <w:rsid w:val="2FBB6ACC"/>
    <w:rsid w:val="2FBC2844"/>
    <w:rsid w:val="2FBC45F2"/>
    <w:rsid w:val="2FBE480E"/>
    <w:rsid w:val="2FC00586"/>
    <w:rsid w:val="2FC02334"/>
    <w:rsid w:val="2FC16254"/>
    <w:rsid w:val="2FC33BD3"/>
    <w:rsid w:val="2FC71915"/>
    <w:rsid w:val="2FC736C3"/>
    <w:rsid w:val="2FC87C13"/>
    <w:rsid w:val="2FCA6D0F"/>
    <w:rsid w:val="2FCC6F2B"/>
    <w:rsid w:val="2FCE2CA3"/>
    <w:rsid w:val="2FCE575F"/>
    <w:rsid w:val="2FCF07C9"/>
    <w:rsid w:val="2FCF7117"/>
    <w:rsid w:val="2FD03ECC"/>
    <w:rsid w:val="2FD36CA1"/>
    <w:rsid w:val="2FD536C5"/>
    <w:rsid w:val="2FD60716"/>
    <w:rsid w:val="2FD82CEE"/>
    <w:rsid w:val="2FD87D82"/>
    <w:rsid w:val="2FD933F6"/>
    <w:rsid w:val="2FD960EE"/>
    <w:rsid w:val="2FDB0F1C"/>
    <w:rsid w:val="2FDB3950"/>
    <w:rsid w:val="2FDC3384"/>
    <w:rsid w:val="2FDC44EE"/>
    <w:rsid w:val="2FDF3726"/>
    <w:rsid w:val="2FE204FD"/>
    <w:rsid w:val="2FE538F6"/>
    <w:rsid w:val="2FE801F5"/>
    <w:rsid w:val="2FE9188B"/>
    <w:rsid w:val="2FEF6776"/>
    <w:rsid w:val="2FF00B9F"/>
    <w:rsid w:val="2FF260DE"/>
    <w:rsid w:val="2FF3270A"/>
    <w:rsid w:val="2FF515FC"/>
    <w:rsid w:val="2FF60754"/>
    <w:rsid w:val="2FF65D56"/>
    <w:rsid w:val="2FFD5337"/>
    <w:rsid w:val="2FFE1F39"/>
    <w:rsid w:val="2FFE4C0B"/>
    <w:rsid w:val="2FFF648A"/>
    <w:rsid w:val="30002140"/>
    <w:rsid w:val="30030473"/>
    <w:rsid w:val="30074987"/>
    <w:rsid w:val="300A55D1"/>
    <w:rsid w:val="300A7A53"/>
    <w:rsid w:val="300C557A"/>
    <w:rsid w:val="300D39BD"/>
    <w:rsid w:val="300E150D"/>
    <w:rsid w:val="3017493B"/>
    <w:rsid w:val="30182170"/>
    <w:rsid w:val="30185CCC"/>
    <w:rsid w:val="301A5EE8"/>
    <w:rsid w:val="301B0ECA"/>
    <w:rsid w:val="301E705B"/>
    <w:rsid w:val="301F52AD"/>
    <w:rsid w:val="30202DD3"/>
    <w:rsid w:val="30204B81"/>
    <w:rsid w:val="30243E96"/>
    <w:rsid w:val="30247D84"/>
    <w:rsid w:val="30262C5E"/>
    <w:rsid w:val="302A5A00"/>
    <w:rsid w:val="302C1778"/>
    <w:rsid w:val="302C5C1C"/>
    <w:rsid w:val="302F0210"/>
    <w:rsid w:val="302F1268"/>
    <w:rsid w:val="30313232"/>
    <w:rsid w:val="3038011D"/>
    <w:rsid w:val="303845C1"/>
    <w:rsid w:val="303B19BB"/>
    <w:rsid w:val="303B4CED"/>
    <w:rsid w:val="303C4AC1"/>
    <w:rsid w:val="30405E87"/>
    <w:rsid w:val="30406FD1"/>
    <w:rsid w:val="30420F9B"/>
    <w:rsid w:val="30444929"/>
    <w:rsid w:val="304732AA"/>
    <w:rsid w:val="30474804"/>
    <w:rsid w:val="3049232A"/>
    <w:rsid w:val="304940D8"/>
    <w:rsid w:val="30494BBA"/>
    <w:rsid w:val="304A60A2"/>
    <w:rsid w:val="304E5B92"/>
    <w:rsid w:val="304F36B8"/>
    <w:rsid w:val="304F5466"/>
    <w:rsid w:val="305111DE"/>
    <w:rsid w:val="30517A12"/>
    <w:rsid w:val="305558AE"/>
    <w:rsid w:val="30564A47"/>
    <w:rsid w:val="30586A11"/>
    <w:rsid w:val="306058C5"/>
    <w:rsid w:val="3062163D"/>
    <w:rsid w:val="306233EC"/>
    <w:rsid w:val="30654C8A"/>
    <w:rsid w:val="3067110C"/>
    <w:rsid w:val="306C426A"/>
    <w:rsid w:val="306C7DC6"/>
    <w:rsid w:val="306E7FE2"/>
    <w:rsid w:val="306F78E5"/>
    <w:rsid w:val="307078E3"/>
    <w:rsid w:val="3071362F"/>
    <w:rsid w:val="30713946"/>
    <w:rsid w:val="307153DD"/>
    <w:rsid w:val="307273F6"/>
    <w:rsid w:val="3075311F"/>
    <w:rsid w:val="307750E9"/>
    <w:rsid w:val="3078676B"/>
    <w:rsid w:val="30797C15"/>
    <w:rsid w:val="307A24E3"/>
    <w:rsid w:val="307D1EE9"/>
    <w:rsid w:val="307F5D4C"/>
    <w:rsid w:val="307F7AFA"/>
    <w:rsid w:val="3082324D"/>
    <w:rsid w:val="30847806"/>
    <w:rsid w:val="30851991"/>
    <w:rsid w:val="30873A7C"/>
    <w:rsid w:val="30874C00"/>
    <w:rsid w:val="30886615"/>
    <w:rsid w:val="308A649E"/>
    <w:rsid w:val="308E2433"/>
    <w:rsid w:val="308F23C3"/>
    <w:rsid w:val="3093173A"/>
    <w:rsid w:val="309317F7"/>
    <w:rsid w:val="30941BBB"/>
    <w:rsid w:val="30947B49"/>
    <w:rsid w:val="3095485B"/>
    <w:rsid w:val="30963095"/>
    <w:rsid w:val="309641D1"/>
    <w:rsid w:val="30976DA2"/>
    <w:rsid w:val="30980BBB"/>
    <w:rsid w:val="309B5876"/>
    <w:rsid w:val="309D2676"/>
    <w:rsid w:val="309D61D2"/>
    <w:rsid w:val="309F1F4A"/>
    <w:rsid w:val="30A05CC2"/>
    <w:rsid w:val="30A13F14"/>
    <w:rsid w:val="30A25EDE"/>
    <w:rsid w:val="30A269C9"/>
    <w:rsid w:val="30A27784"/>
    <w:rsid w:val="30A27C8C"/>
    <w:rsid w:val="30A367D5"/>
    <w:rsid w:val="30A47560"/>
    <w:rsid w:val="30A9101A"/>
    <w:rsid w:val="30A92DC8"/>
    <w:rsid w:val="30A9726C"/>
    <w:rsid w:val="30AA0D29"/>
    <w:rsid w:val="30AC28B9"/>
    <w:rsid w:val="30AE5AC1"/>
    <w:rsid w:val="30B023A9"/>
    <w:rsid w:val="30B11C7D"/>
    <w:rsid w:val="30B507AF"/>
    <w:rsid w:val="30B579BF"/>
    <w:rsid w:val="30B81E83"/>
    <w:rsid w:val="30BA3228"/>
    <w:rsid w:val="30BE1A9B"/>
    <w:rsid w:val="30BF486D"/>
    <w:rsid w:val="30C04039"/>
    <w:rsid w:val="30C16364"/>
    <w:rsid w:val="30C21F82"/>
    <w:rsid w:val="30C23E8A"/>
    <w:rsid w:val="30C25BF4"/>
    <w:rsid w:val="30C419B0"/>
    <w:rsid w:val="30C60521"/>
    <w:rsid w:val="30C67223"/>
    <w:rsid w:val="30CB0F91"/>
    <w:rsid w:val="30CB4915"/>
    <w:rsid w:val="30CD2979"/>
    <w:rsid w:val="30CE0A81"/>
    <w:rsid w:val="30CE30FC"/>
    <w:rsid w:val="30CE6CD3"/>
    <w:rsid w:val="30CE6F3A"/>
    <w:rsid w:val="30CF0D12"/>
    <w:rsid w:val="30D836AE"/>
    <w:rsid w:val="30D90552"/>
    <w:rsid w:val="30DB3AB9"/>
    <w:rsid w:val="30DC13F0"/>
    <w:rsid w:val="30DF2C8E"/>
    <w:rsid w:val="30E12562"/>
    <w:rsid w:val="30E262DA"/>
    <w:rsid w:val="30E402A4"/>
    <w:rsid w:val="30E46F60"/>
    <w:rsid w:val="30E61159"/>
    <w:rsid w:val="30E80432"/>
    <w:rsid w:val="30EB1633"/>
    <w:rsid w:val="30EF0377"/>
    <w:rsid w:val="30F32296"/>
    <w:rsid w:val="30F33128"/>
    <w:rsid w:val="30F524B2"/>
    <w:rsid w:val="30F5607D"/>
    <w:rsid w:val="30F7099D"/>
    <w:rsid w:val="30F878AC"/>
    <w:rsid w:val="30FA1876"/>
    <w:rsid w:val="30FA3624"/>
    <w:rsid w:val="30FC55EE"/>
    <w:rsid w:val="30FC739C"/>
    <w:rsid w:val="30FF0C3A"/>
    <w:rsid w:val="30FF1B96"/>
    <w:rsid w:val="30FF6E8C"/>
    <w:rsid w:val="3100742C"/>
    <w:rsid w:val="310123E5"/>
    <w:rsid w:val="31012C04"/>
    <w:rsid w:val="3102072B"/>
    <w:rsid w:val="310444A3"/>
    <w:rsid w:val="31073818"/>
    <w:rsid w:val="31093867"/>
    <w:rsid w:val="310A39CA"/>
    <w:rsid w:val="310B7896"/>
    <w:rsid w:val="310E70CF"/>
    <w:rsid w:val="310F3573"/>
    <w:rsid w:val="31101099"/>
    <w:rsid w:val="31120AB3"/>
    <w:rsid w:val="31126BC0"/>
    <w:rsid w:val="31153F26"/>
    <w:rsid w:val="31184028"/>
    <w:rsid w:val="31215055"/>
    <w:rsid w:val="31227CFB"/>
    <w:rsid w:val="31230DCD"/>
    <w:rsid w:val="312312C2"/>
    <w:rsid w:val="31295CB7"/>
    <w:rsid w:val="312B043B"/>
    <w:rsid w:val="312D7D2E"/>
    <w:rsid w:val="312E1520"/>
    <w:rsid w:val="313308E4"/>
    <w:rsid w:val="31361735"/>
    <w:rsid w:val="313649A0"/>
    <w:rsid w:val="3136653F"/>
    <w:rsid w:val="313B47B1"/>
    <w:rsid w:val="313C3C3D"/>
    <w:rsid w:val="313C59EB"/>
    <w:rsid w:val="313D07D7"/>
    <w:rsid w:val="3140197F"/>
    <w:rsid w:val="31446FA4"/>
    <w:rsid w:val="31456F95"/>
    <w:rsid w:val="31466869"/>
    <w:rsid w:val="31466AED"/>
    <w:rsid w:val="31481E02"/>
    <w:rsid w:val="314825E1"/>
    <w:rsid w:val="31490108"/>
    <w:rsid w:val="314A63D6"/>
    <w:rsid w:val="314B20D2"/>
    <w:rsid w:val="314B32BF"/>
    <w:rsid w:val="314B5142"/>
    <w:rsid w:val="314E571E"/>
    <w:rsid w:val="314F7123"/>
    <w:rsid w:val="3150593A"/>
    <w:rsid w:val="315216B2"/>
    <w:rsid w:val="3152520E"/>
    <w:rsid w:val="315624C1"/>
    <w:rsid w:val="315D7B4B"/>
    <w:rsid w:val="315E1E05"/>
    <w:rsid w:val="315E3BB3"/>
    <w:rsid w:val="315F67E2"/>
    <w:rsid w:val="316311C9"/>
    <w:rsid w:val="31631C82"/>
    <w:rsid w:val="3163566D"/>
    <w:rsid w:val="31647A1E"/>
    <w:rsid w:val="31662A68"/>
    <w:rsid w:val="31666F0B"/>
    <w:rsid w:val="31671ACE"/>
    <w:rsid w:val="316A0560"/>
    <w:rsid w:val="316B1A3F"/>
    <w:rsid w:val="316B62D0"/>
    <w:rsid w:val="31717D8A"/>
    <w:rsid w:val="31741628"/>
    <w:rsid w:val="317433D6"/>
    <w:rsid w:val="317501A0"/>
    <w:rsid w:val="31771119"/>
    <w:rsid w:val="31772EC7"/>
    <w:rsid w:val="31794E91"/>
    <w:rsid w:val="317C672F"/>
    <w:rsid w:val="31803627"/>
    <w:rsid w:val="31837ABD"/>
    <w:rsid w:val="3184468C"/>
    <w:rsid w:val="31884247"/>
    <w:rsid w:val="318A0E4C"/>
    <w:rsid w:val="318B24CE"/>
    <w:rsid w:val="318F37F1"/>
    <w:rsid w:val="31901C05"/>
    <w:rsid w:val="31910310"/>
    <w:rsid w:val="3194066D"/>
    <w:rsid w:val="319475D5"/>
    <w:rsid w:val="319728AC"/>
    <w:rsid w:val="31973569"/>
    <w:rsid w:val="319770C5"/>
    <w:rsid w:val="319C0B7F"/>
    <w:rsid w:val="319C46DB"/>
    <w:rsid w:val="319D7C64"/>
    <w:rsid w:val="319E2F70"/>
    <w:rsid w:val="319F0454"/>
    <w:rsid w:val="31A422DF"/>
    <w:rsid w:val="31A44824"/>
    <w:rsid w:val="31A6555A"/>
    <w:rsid w:val="31A87524"/>
    <w:rsid w:val="31A94C55"/>
    <w:rsid w:val="31AB491E"/>
    <w:rsid w:val="31AD6213"/>
    <w:rsid w:val="31AD68E8"/>
    <w:rsid w:val="31AF440F"/>
    <w:rsid w:val="31B00187"/>
    <w:rsid w:val="31B5579D"/>
    <w:rsid w:val="31B90D9F"/>
    <w:rsid w:val="31BC4D7D"/>
    <w:rsid w:val="31BE28A4"/>
    <w:rsid w:val="31C0486E"/>
    <w:rsid w:val="31C111E4"/>
    <w:rsid w:val="31C33C1F"/>
    <w:rsid w:val="31C559C9"/>
    <w:rsid w:val="31C62851"/>
    <w:rsid w:val="31C775FC"/>
    <w:rsid w:val="31C81974"/>
    <w:rsid w:val="31C854D0"/>
    <w:rsid w:val="31CA1248"/>
    <w:rsid w:val="31CA7C8B"/>
    <w:rsid w:val="31CC3212"/>
    <w:rsid w:val="31CC4FC0"/>
    <w:rsid w:val="31CD0D39"/>
    <w:rsid w:val="31CE2772"/>
    <w:rsid w:val="31CF4AB1"/>
    <w:rsid w:val="31D245A1"/>
    <w:rsid w:val="31D332EC"/>
    <w:rsid w:val="31D369AC"/>
    <w:rsid w:val="31D40319"/>
    <w:rsid w:val="31D43E75"/>
    <w:rsid w:val="31D9592F"/>
    <w:rsid w:val="31D976DD"/>
    <w:rsid w:val="31DD5420"/>
    <w:rsid w:val="31DD59DB"/>
    <w:rsid w:val="31E22A36"/>
    <w:rsid w:val="31E3230A"/>
    <w:rsid w:val="31E53C64"/>
    <w:rsid w:val="31E54036"/>
    <w:rsid w:val="31E83DC4"/>
    <w:rsid w:val="31E8433B"/>
    <w:rsid w:val="31EA0438"/>
    <w:rsid w:val="31EA3699"/>
    <w:rsid w:val="31EB7645"/>
    <w:rsid w:val="31EC5663"/>
    <w:rsid w:val="31EE13DB"/>
    <w:rsid w:val="31F14A27"/>
    <w:rsid w:val="31F439E7"/>
    <w:rsid w:val="31F4513C"/>
    <w:rsid w:val="31F87078"/>
    <w:rsid w:val="31FC517A"/>
    <w:rsid w:val="3203475A"/>
    <w:rsid w:val="32036508"/>
    <w:rsid w:val="3206167C"/>
    <w:rsid w:val="320A5AE9"/>
    <w:rsid w:val="320A7897"/>
    <w:rsid w:val="320C3CA9"/>
    <w:rsid w:val="320E382B"/>
    <w:rsid w:val="320F3E6F"/>
    <w:rsid w:val="32110C25"/>
    <w:rsid w:val="321150C9"/>
    <w:rsid w:val="32130E41"/>
    <w:rsid w:val="32134B55"/>
    <w:rsid w:val="32150B4F"/>
    <w:rsid w:val="32171FB4"/>
    <w:rsid w:val="32185E28"/>
    <w:rsid w:val="321A7DFA"/>
    <w:rsid w:val="321B3F98"/>
    <w:rsid w:val="321C75CA"/>
    <w:rsid w:val="321E1AC7"/>
    <w:rsid w:val="321F6252"/>
    <w:rsid w:val="32243669"/>
    <w:rsid w:val="322A618B"/>
    <w:rsid w:val="322A7F39"/>
    <w:rsid w:val="322E0888"/>
    <w:rsid w:val="322E5C7B"/>
    <w:rsid w:val="32313075"/>
    <w:rsid w:val="32320C39"/>
    <w:rsid w:val="3235075B"/>
    <w:rsid w:val="32356A97"/>
    <w:rsid w:val="323963CE"/>
    <w:rsid w:val="323B0398"/>
    <w:rsid w:val="323B2146"/>
    <w:rsid w:val="323B3DA2"/>
    <w:rsid w:val="323E5792"/>
    <w:rsid w:val="3240150B"/>
    <w:rsid w:val="3242018E"/>
    <w:rsid w:val="32432DA9"/>
    <w:rsid w:val="32440CB0"/>
    <w:rsid w:val="32471B11"/>
    <w:rsid w:val="32494863"/>
    <w:rsid w:val="324949EA"/>
    <w:rsid w:val="324A49A5"/>
    <w:rsid w:val="324D01C5"/>
    <w:rsid w:val="324E1E79"/>
    <w:rsid w:val="3253123E"/>
    <w:rsid w:val="32543208"/>
    <w:rsid w:val="3255145A"/>
    <w:rsid w:val="32556806"/>
    <w:rsid w:val="32561EF9"/>
    <w:rsid w:val="32566F80"/>
    <w:rsid w:val="325831F2"/>
    <w:rsid w:val="325A6A70"/>
    <w:rsid w:val="325D030E"/>
    <w:rsid w:val="325D33FC"/>
    <w:rsid w:val="325D4D96"/>
    <w:rsid w:val="325F7252"/>
    <w:rsid w:val="32601BAD"/>
    <w:rsid w:val="326276D3"/>
    <w:rsid w:val="32676A97"/>
    <w:rsid w:val="3268280F"/>
    <w:rsid w:val="32700042"/>
    <w:rsid w:val="32715B68"/>
    <w:rsid w:val="32717916"/>
    <w:rsid w:val="3272726D"/>
    <w:rsid w:val="32757359"/>
    <w:rsid w:val="327613D0"/>
    <w:rsid w:val="3276317E"/>
    <w:rsid w:val="3276707E"/>
    <w:rsid w:val="32780CA4"/>
    <w:rsid w:val="327A42BE"/>
    <w:rsid w:val="327B402A"/>
    <w:rsid w:val="327D17AF"/>
    <w:rsid w:val="32800130"/>
    <w:rsid w:val="328069C1"/>
    <w:rsid w:val="328238D1"/>
    <w:rsid w:val="328372E0"/>
    <w:rsid w:val="32841682"/>
    <w:rsid w:val="328A6C2A"/>
    <w:rsid w:val="328B5E82"/>
    <w:rsid w:val="328E671A"/>
    <w:rsid w:val="32911D66"/>
    <w:rsid w:val="32931F82"/>
    <w:rsid w:val="32933D30"/>
    <w:rsid w:val="32951856"/>
    <w:rsid w:val="329771E6"/>
    <w:rsid w:val="329779FC"/>
    <w:rsid w:val="32980284"/>
    <w:rsid w:val="329830F5"/>
    <w:rsid w:val="32987598"/>
    <w:rsid w:val="329A6E6D"/>
    <w:rsid w:val="329E4C2A"/>
    <w:rsid w:val="329F0927"/>
    <w:rsid w:val="32A01FA9"/>
    <w:rsid w:val="32A13D8B"/>
    <w:rsid w:val="32A25D21"/>
    <w:rsid w:val="32A31F72"/>
    <w:rsid w:val="32A51FD4"/>
    <w:rsid w:val="32A55811"/>
    <w:rsid w:val="32A6009A"/>
    <w:rsid w:val="32A86A0B"/>
    <w:rsid w:val="32AA2E28"/>
    <w:rsid w:val="32AB107A"/>
    <w:rsid w:val="32AC6BA0"/>
    <w:rsid w:val="32AE46C6"/>
    <w:rsid w:val="32AE533C"/>
    <w:rsid w:val="32B06D03"/>
    <w:rsid w:val="32B37F2E"/>
    <w:rsid w:val="32B617CD"/>
    <w:rsid w:val="32B73187"/>
    <w:rsid w:val="32B759A1"/>
    <w:rsid w:val="32B83797"/>
    <w:rsid w:val="32BA306B"/>
    <w:rsid w:val="32BD2B5B"/>
    <w:rsid w:val="32C91500"/>
    <w:rsid w:val="32C959A4"/>
    <w:rsid w:val="32C97D6B"/>
    <w:rsid w:val="32CB5278"/>
    <w:rsid w:val="32CC2D9E"/>
    <w:rsid w:val="32CE2798"/>
    <w:rsid w:val="32CE4D68"/>
    <w:rsid w:val="32D103B5"/>
    <w:rsid w:val="32D22AAA"/>
    <w:rsid w:val="32D4660A"/>
    <w:rsid w:val="32D560F7"/>
    <w:rsid w:val="32D61E6F"/>
    <w:rsid w:val="32D83E39"/>
    <w:rsid w:val="32DA54BB"/>
    <w:rsid w:val="32DB44C6"/>
    <w:rsid w:val="32DB4B25"/>
    <w:rsid w:val="32DC4D9C"/>
    <w:rsid w:val="32E20814"/>
    <w:rsid w:val="32E60304"/>
    <w:rsid w:val="32E91BA2"/>
    <w:rsid w:val="32E973A0"/>
    <w:rsid w:val="32EA2365"/>
    <w:rsid w:val="32EA3D66"/>
    <w:rsid w:val="32EB5620"/>
    <w:rsid w:val="32EC5D21"/>
    <w:rsid w:val="32EE71E8"/>
    <w:rsid w:val="32F01183"/>
    <w:rsid w:val="32F10A57"/>
    <w:rsid w:val="32F32A21"/>
    <w:rsid w:val="32F50547"/>
    <w:rsid w:val="32F65818"/>
    <w:rsid w:val="32F914A5"/>
    <w:rsid w:val="32FD11AA"/>
    <w:rsid w:val="32FF3174"/>
    <w:rsid w:val="33024A12"/>
    <w:rsid w:val="33044C2E"/>
    <w:rsid w:val="33050847"/>
    <w:rsid w:val="33067D67"/>
    <w:rsid w:val="33073B9F"/>
    <w:rsid w:val="330912B8"/>
    <w:rsid w:val="33092244"/>
    <w:rsid w:val="33096E5B"/>
    <w:rsid w:val="330A5137"/>
    <w:rsid w:val="330B0061"/>
    <w:rsid w:val="330C0FF8"/>
    <w:rsid w:val="330E785B"/>
    <w:rsid w:val="330F644C"/>
    <w:rsid w:val="33105381"/>
    <w:rsid w:val="33152997"/>
    <w:rsid w:val="33154745"/>
    <w:rsid w:val="331C3D26"/>
    <w:rsid w:val="331D18DA"/>
    <w:rsid w:val="331F55C4"/>
    <w:rsid w:val="3321133C"/>
    <w:rsid w:val="33211E00"/>
    <w:rsid w:val="3322495F"/>
    <w:rsid w:val="33244988"/>
    <w:rsid w:val="33260700"/>
    <w:rsid w:val="33262CB4"/>
    <w:rsid w:val="33266952"/>
    <w:rsid w:val="33281B74"/>
    <w:rsid w:val="332826CA"/>
    <w:rsid w:val="33286487"/>
    <w:rsid w:val="332930AB"/>
    <w:rsid w:val="33296443"/>
    <w:rsid w:val="332B1863"/>
    <w:rsid w:val="332D32F1"/>
    <w:rsid w:val="332D6BF3"/>
    <w:rsid w:val="332E3A59"/>
    <w:rsid w:val="332E5DA3"/>
    <w:rsid w:val="3330157F"/>
    <w:rsid w:val="333169EE"/>
    <w:rsid w:val="33332E1D"/>
    <w:rsid w:val="33353039"/>
    <w:rsid w:val="33354DE7"/>
    <w:rsid w:val="33370B5F"/>
    <w:rsid w:val="3338748E"/>
    <w:rsid w:val="333A00E4"/>
    <w:rsid w:val="333A41AC"/>
    <w:rsid w:val="333B06EB"/>
    <w:rsid w:val="333D5A4A"/>
    <w:rsid w:val="333E16CD"/>
    <w:rsid w:val="333E55C8"/>
    <w:rsid w:val="3341378C"/>
    <w:rsid w:val="334206C1"/>
    <w:rsid w:val="334308AF"/>
    <w:rsid w:val="33437E6D"/>
    <w:rsid w:val="33446DD8"/>
    <w:rsid w:val="33460DA3"/>
    <w:rsid w:val="33462B51"/>
    <w:rsid w:val="33466FF4"/>
    <w:rsid w:val="33485848"/>
    <w:rsid w:val="334B4FFB"/>
    <w:rsid w:val="334D0383"/>
    <w:rsid w:val="334E397C"/>
    <w:rsid w:val="334E5EA9"/>
    <w:rsid w:val="3350577D"/>
    <w:rsid w:val="33550FE6"/>
    <w:rsid w:val="33557238"/>
    <w:rsid w:val="33584C40"/>
    <w:rsid w:val="335A2AA0"/>
    <w:rsid w:val="335A3660"/>
    <w:rsid w:val="335A484E"/>
    <w:rsid w:val="335A65FC"/>
    <w:rsid w:val="335D2713"/>
    <w:rsid w:val="335E433E"/>
    <w:rsid w:val="33613E2E"/>
    <w:rsid w:val="33633703"/>
    <w:rsid w:val="336631F3"/>
    <w:rsid w:val="33686F6B"/>
    <w:rsid w:val="336D4581"/>
    <w:rsid w:val="336D5C28"/>
    <w:rsid w:val="336E3D1A"/>
    <w:rsid w:val="336E3E55"/>
    <w:rsid w:val="336F02F9"/>
    <w:rsid w:val="33706B83"/>
    <w:rsid w:val="337376BE"/>
    <w:rsid w:val="33751688"/>
    <w:rsid w:val="33753436"/>
    <w:rsid w:val="33770F5C"/>
    <w:rsid w:val="33791178"/>
    <w:rsid w:val="33792F26"/>
    <w:rsid w:val="337954A8"/>
    <w:rsid w:val="337C031B"/>
    <w:rsid w:val="337C6572"/>
    <w:rsid w:val="337D37B5"/>
    <w:rsid w:val="337E678E"/>
    <w:rsid w:val="33813B89"/>
    <w:rsid w:val="33813F23"/>
    <w:rsid w:val="3381680B"/>
    <w:rsid w:val="33846783"/>
    <w:rsid w:val="3388380E"/>
    <w:rsid w:val="33890C8F"/>
    <w:rsid w:val="338A5133"/>
    <w:rsid w:val="338B0EAB"/>
    <w:rsid w:val="338B2C59"/>
    <w:rsid w:val="338D077F"/>
    <w:rsid w:val="338F1270"/>
    <w:rsid w:val="33905E8E"/>
    <w:rsid w:val="33945FB2"/>
    <w:rsid w:val="33983602"/>
    <w:rsid w:val="33997124"/>
    <w:rsid w:val="339B1F83"/>
    <w:rsid w:val="339F04B3"/>
    <w:rsid w:val="33A03BEC"/>
    <w:rsid w:val="33A1422B"/>
    <w:rsid w:val="33A15FD9"/>
    <w:rsid w:val="33A616A5"/>
    <w:rsid w:val="33A61841"/>
    <w:rsid w:val="33A67A93"/>
    <w:rsid w:val="33A70526"/>
    <w:rsid w:val="33A72933"/>
    <w:rsid w:val="33A871B4"/>
    <w:rsid w:val="33A9221B"/>
    <w:rsid w:val="33A930DF"/>
    <w:rsid w:val="33AB3A5C"/>
    <w:rsid w:val="33AD0E22"/>
    <w:rsid w:val="33AD4398"/>
    <w:rsid w:val="33AE06F6"/>
    <w:rsid w:val="33B0446E"/>
    <w:rsid w:val="33B143F5"/>
    <w:rsid w:val="33B25639"/>
    <w:rsid w:val="33B26438"/>
    <w:rsid w:val="33B45D0C"/>
    <w:rsid w:val="33B71CA0"/>
    <w:rsid w:val="33B977C6"/>
    <w:rsid w:val="33BA709B"/>
    <w:rsid w:val="33BC2E13"/>
    <w:rsid w:val="33BE4DDD"/>
    <w:rsid w:val="33C10429"/>
    <w:rsid w:val="33C110E8"/>
    <w:rsid w:val="33C4499E"/>
    <w:rsid w:val="33C551F0"/>
    <w:rsid w:val="33C62F26"/>
    <w:rsid w:val="33C87A09"/>
    <w:rsid w:val="33C91DF4"/>
    <w:rsid w:val="33CC574C"/>
    <w:rsid w:val="33CD3272"/>
    <w:rsid w:val="33CF2B46"/>
    <w:rsid w:val="33D03794"/>
    <w:rsid w:val="33D068BE"/>
    <w:rsid w:val="33D44600"/>
    <w:rsid w:val="33D52FD5"/>
    <w:rsid w:val="33D62126"/>
    <w:rsid w:val="33D71E67"/>
    <w:rsid w:val="33D95773"/>
    <w:rsid w:val="33D97E69"/>
    <w:rsid w:val="33DA5222"/>
    <w:rsid w:val="33DC493C"/>
    <w:rsid w:val="33DC6096"/>
    <w:rsid w:val="33E16C71"/>
    <w:rsid w:val="33E3206A"/>
    <w:rsid w:val="33E3441D"/>
    <w:rsid w:val="33E365F1"/>
    <w:rsid w:val="33E47038"/>
    <w:rsid w:val="33EB36F8"/>
    <w:rsid w:val="33EC1D49"/>
    <w:rsid w:val="33EC52FF"/>
    <w:rsid w:val="33ED7470"/>
    <w:rsid w:val="33EE2CBB"/>
    <w:rsid w:val="33EE43A7"/>
    <w:rsid w:val="33F407FF"/>
    <w:rsid w:val="33F425AD"/>
    <w:rsid w:val="33F56325"/>
    <w:rsid w:val="33F7209D"/>
    <w:rsid w:val="33F97BC3"/>
    <w:rsid w:val="33FC31CF"/>
    <w:rsid w:val="33FC5905"/>
    <w:rsid w:val="33FC76B3"/>
    <w:rsid w:val="34030A42"/>
    <w:rsid w:val="34034EE6"/>
    <w:rsid w:val="34041673"/>
    <w:rsid w:val="34044EE1"/>
    <w:rsid w:val="34055216"/>
    <w:rsid w:val="34056568"/>
    <w:rsid w:val="34060532"/>
    <w:rsid w:val="340622E0"/>
    <w:rsid w:val="34076784"/>
    <w:rsid w:val="340824FC"/>
    <w:rsid w:val="34087DDA"/>
    <w:rsid w:val="340A6274"/>
    <w:rsid w:val="340B78F6"/>
    <w:rsid w:val="340E2269"/>
    <w:rsid w:val="341174E5"/>
    <w:rsid w:val="34124B0B"/>
    <w:rsid w:val="34160775"/>
    <w:rsid w:val="34190265"/>
    <w:rsid w:val="341B3FDD"/>
    <w:rsid w:val="341B5D8B"/>
    <w:rsid w:val="341C1B03"/>
    <w:rsid w:val="341D1505"/>
    <w:rsid w:val="341E3ACD"/>
    <w:rsid w:val="342015F4"/>
    <w:rsid w:val="342033A2"/>
    <w:rsid w:val="3422095F"/>
    <w:rsid w:val="342310E4"/>
    <w:rsid w:val="34254E5C"/>
    <w:rsid w:val="342719CF"/>
    <w:rsid w:val="34272982"/>
    <w:rsid w:val="3428494C"/>
    <w:rsid w:val="342A2472"/>
    <w:rsid w:val="342B057B"/>
    <w:rsid w:val="342D3D10"/>
    <w:rsid w:val="342D461A"/>
    <w:rsid w:val="342E1F62"/>
    <w:rsid w:val="34346E4D"/>
    <w:rsid w:val="34360842"/>
    <w:rsid w:val="34384B8F"/>
    <w:rsid w:val="34391F37"/>
    <w:rsid w:val="34394545"/>
    <w:rsid w:val="343D03F7"/>
    <w:rsid w:val="343E5F1E"/>
    <w:rsid w:val="343E7CCC"/>
    <w:rsid w:val="343F6B5B"/>
    <w:rsid w:val="34474DD2"/>
    <w:rsid w:val="34476B80"/>
    <w:rsid w:val="34480B4A"/>
    <w:rsid w:val="344828F8"/>
    <w:rsid w:val="34483969"/>
    <w:rsid w:val="3449414B"/>
    <w:rsid w:val="344A2B14"/>
    <w:rsid w:val="344A3CC7"/>
    <w:rsid w:val="344A40AA"/>
    <w:rsid w:val="344A48C2"/>
    <w:rsid w:val="344E7738"/>
    <w:rsid w:val="344F3C87"/>
    <w:rsid w:val="344F440C"/>
    <w:rsid w:val="34501197"/>
    <w:rsid w:val="34527549"/>
    <w:rsid w:val="345474EF"/>
    <w:rsid w:val="34592D57"/>
    <w:rsid w:val="345E4CE1"/>
    <w:rsid w:val="345F6D8C"/>
    <w:rsid w:val="345F6F7C"/>
    <w:rsid w:val="34602AC6"/>
    <w:rsid w:val="34615BAE"/>
    <w:rsid w:val="3462369A"/>
    <w:rsid w:val="346258FD"/>
    <w:rsid w:val="346357F4"/>
    <w:rsid w:val="3466148E"/>
    <w:rsid w:val="346617EF"/>
    <w:rsid w:val="346A0AC1"/>
    <w:rsid w:val="346C4839"/>
    <w:rsid w:val="34710A86"/>
    <w:rsid w:val="347323A4"/>
    <w:rsid w:val="34737FC2"/>
    <w:rsid w:val="34757B91"/>
    <w:rsid w:val="34775202"/>
    <w:rsid w:val="34781430"/>
    <w:rsid w:val="34796F56"/>
    <w:rsid w:val="347D07F4"/>
    <w:rsid w:val="347D3C45"/>
    <w:rsid w:val="34831B82"/>
    <w:rsid w:val="34833930"/>
    <w:rsid w:val="348576A9"/>
    <w:rsid w:val="34871673"/>
    <w:rsid w:val="34873421"/>
    <w:rsid w:val="34874A5F"/>
    <w:rsid w:val="348953EB"/>
    <w:rsid w:val="349105AB"/>
    <w:rsid w:val="3493182A"/>
    <w:rsid w:val="34936269"/>
    <w:rsid w:val="34963664"/>
    <w:rsid w:val="34967B08"/>
    <w:rsid w:val="34973C7F"/>
    <w:rsid w:val="34983880"/>
    <w:rsid w:val="3498562E"/>
    <w:rsid w:val="349873DC"/>
    <w:rsid w:val="349D0E96"/>
    <w:rsid w:val="349D49F2"/>
    <w:rsid w:val="349E076A"/>
    <w:rsid w:val="349E60B0"/>
    <w:rsid w:val="34A02734"/>
    <w:rsid w:val="34A264AC"/>
    <w:rsid w:val="34A35D81"/>
    <w:rsid w:val="34A66242"/>
    <w:rsid w:val="34A71D15"/>
    <w:rsid w:val="34A73AC3"/>
    <w:rsid w:val="34A75AD7"/>
    <w:rsid w:val="34A915E9"/>
    <w:rsid w:val="34A917D2"/>
    <w:rsid w:val="34AE5530"/>
    <w:rsid w:val="34AF2977"/>
    <w:rsid w:val="34B113F4"/>
    <w:rsid w:val="34B32468"/>
    <w:rsid w:val="34B34216"/>
    <w:rsid w:val="34B54432"/>
    <w:rsid w:val="34B76845"/>
    <w:rsid w:val="34B8182C"/>
    <w:rsid w:val="34BB30CA"/>
    <w:rsid w:val="34BB68B1"/>
    <w:rsid w:val="34BD356D"/>
    <w:rsid w:val="34BD6E42"/>
    <w:rsid w:val="34BF39F8"/>
    <w:rsid w:val="34BF4A5B"/>
    <w:rsid w:val="34C226AB"/>
    <w:rsid w:val="34C24459"/>
    <w:rsid w:val="34C5219B"/>
    <w:rsid w:val="34C56129"/>
    <w:rsid w:val="34C93A39"/>
    <w:rsid w:val="34C957E7"/>
    <w:rsid w:val="34CB10D4"/>
    <w:rsid w:val="34CC52D7"/>
    <w:rsid w:val="34CE1050"/>
    <w:rsid w:val="34CE72A2"/>
    <w:rsid w:val="34CF6B76"/>
    <w:rsid w:val="34D0301A"/>
    <w:rsid w:val="34D348B8"/>
    <w:rsid w:val="34D36666"/>
    <w:rsid w:val="34D4418C"/>
    <w:rsid w:val="34D523DE"/>
    <w:rsid w:val="34D5735F"/>
    <w:rsid w:val="34D67F04"/>
    <w:rsid w:val="34D83C7C"/>
    <w:rsid w:val="34DB551B"/>
    <w:rsid w:val="34DD3E47"/>
    <w:rsid w:val="34DD74E5"/>
    <w:rsid w:val="34DE0DA7"/>
    <w:rsid w:val="34DE44DC"/>
    <w:rsid w:val="34DF2F1B"/>
    <w:rsid w:val="34DF325D"/>
    <w:rsid w:val="34E02B31"/>
    <w:rsid w:val="34E13C3F"/>
    <w:rsid w:val="34E20DFF"/>
    <w:rsid w:val="34E22D4D"/>
    <w:rsid w:val="34E36401"/>
    <w:rsid w:val="34E40873"/>
    <w:rsid w:val="34E46AC5"/>
    <w:rsid w:val="34E645EB"/>
    <w:rsid w:val="34E757BD"/>
    <w:rsid w:val="34E84A10"/>
    <w:rsid w:val="34E84D7B"/>
    <w:rsid w:val="34EA39B0"/>
    <w:rsid w:val="34EB1C02"/>
    <w:rsid w:val="34EB2D33"/>
    <w:rsid w:val="34EC3BCC"/>
    <w:rsid w:val="34ED6CE2"/>
    <w:rsid w:val="34F07218"/>
    <w:rsid w:val="34F30AB6"/>
    <w:rsid w:val="34F30EFF"/>
    <w:rsid w:val="34FA09EA"/>
    <w:rsid w:val="34FA1E45"/>
    <w:rsid w:val="34FD36E3"/>
    <w:rsid w:val="34FD4E2A"/>
    <w:rsid w:val="34FD7B87"/>
    <w:rsid w:val="34FD7E90"/>
    <w:rsid w:val="35004F81"/>
    <w:rsid w:val="35042CC3"/>
    <w:rsid w:val="35044A71"/>
    <w:rsid w:val="350607E9"/>
    <w:rsid w:val="35064C8D"/>
    <w:rsid w:val="350B314C"/>
    <w:rsid w:val="350E3B42"/>
    <w:rsid w:val="35124730"/>
    <w:rsid w:val="35154ED0"/>
    <w:rsid w:val="351729F7"/>
    <w:rsid w:val="35183103"/>
    <w:rsid w:val="351A24E7"/>
    <w:rsid w:val="351C000D"/>
    <w:rsid w:val="351C625F"/>
    <w:rsid w:val="351E2AB9"/>
    <w:rsid w:val="351F3659"/>
    <w:rsid w:val="351F5D4F"/>
    <w:rsid w:val="352073D1"/>
    <w:rsid w:val="35207783"/>
    <w:rsid w:val="35221038"/>
    <w:rsid w:val="352260F8"/>
    <w:rsid w:val="35230286"/>
    <w:rsid w:val="35245113"/>
    <w:rsid w:val="35246953"/>
    <w:rsid w:val="352549E8"/>
    <w:rsid w:val="35267D16"/>
    <w:rsid w:val="352A00DC"/>
    <w:rsid w:val="352B64A2"/>
    <w:rsid w:val="35303AB8"/>
    <w:rsid w:val="35337A79"/>
    <w:rsid w:val="3534120B"/>
    <w:rsid w:val="3537147A"/>
    <w:rsid w:val="353A66E5"/>
    <w:rsid w:val="35441312"/>
    <w:rsid w:val="35444A4E"/>
    <w:rsid w:val="354475BF"/>
    <w:rsid w:val="3547605E"/>
    <w:rsid w:val="35487054"/>
    <w:rsid w:val="354A4099"/>
    <w:rsid w:val="354B26A0"/>
    <w:rsid w:val="354B444E"/>
    <w:rsid w:val="354B6B44"/>
    <w:rsid w:val="354C01C6"/>
    <w:rsid w:val="354C3B03"/>
    <w:rsid w:val="354D6418"/>
    <w:rsid w:val="354E03E2"/>
    <w:rsid w:val="35523A2F"/>
    <w:rsid w:val="35577297"/>
    <w:rsid w:val="355D23D3"/>
    <w:rsid w:val="355D66C9"/>
    <w:rsid w:val="355E0625"/>
    <w:rsid w:val="355E6877"/>
    <w:rsid w:val="35610116"/>
    <w:rsid w:val="35611EC4"/>
    <w:rsid w:val="35613CC6"/>
    <w:rsid w:val="356279EA"/>
    <w:rsid w:val="35661288"/>
    <w:rsid w:val="35690D78"/>
    <w:rsid w:val="356B37D8"/>
    <w:rsid w:val="356C2617"/>
    <w:rsid w:val="356C7D8E"/>
    <w:rsid w:val="356D67CB"/>
    <w:rsid w:val="356E45E1"/>
    <w:rsid w:val="356E5B3C"/>
    <w:rsid w:val="357065AB"/>
    <w:rsid w:val="35707279"/>
    <w:rsid w:val="35723EA5"/>
    <w:rsid w:val="35727C2D"/>
    <w:rsid w:val="357339A5"/>
    <w:rsid w:val="35775243"/>
    <w:rsid w:val="35780FBB"/>
    <w:rsid w:val="35793F0F"/>
    <w:rsid w:val="357C4F4F"/>
    <w:rsid w:val="357D2DEB"/>
    <w:rsid w:val="357D4802"/>
    <w:rsid w:val="357D65D2"/>
    <w:rsid w:val="357F67EE"/>
    <w:rsid w:val="35831E3A"/>
    <w:rsid w:val="35883881"/>
    <w:rsid w:val="358931C8"/>
    <w:rsid w:val="358B0CEF"/>
    <w:rsid w:val="358B5193"/>
    <w:rsid w:val="358B6F41"/>
    <w:rsid w:val="358B781C"/>
    <w:rsid w:val="358D0F0B"/>
    <w:rsid w:val="35906305"/>
    <w:rsid w:val="3592207D"/>
    <w:rsid w:val="35951B6D"/>
    <w:rsid w:val="359758E5"/>
    <w:rsid w:val="359A53D6"/>
    <w:rsid w:val="359D5C8F"/>
    <w:rsid w:val="359E4EC6"/>
    <w:rsid w:val="35A149B6"/>
    <w:rsid w:val="35A324DC"/>
    <w:rsid w:val="35A818A1"/>
    <w:rsid w:val="35A82146"/>
    <w:rsid w:val="35A9176E"/>
    <w:rsid w:val="35A95619"/>
    <w:rsid w:val="35AB3C09"/>
    <w:rsid w:val="35AD5109"/>
    <w:rsid w:val="35AF0E81"/>
    <w:rsid w:val="35B17792"/>
    <w:rsid w:val="35B20971"/>
    <w:rsid w:val="35B331A3"/>
    <w:rsid w:val="35B3384B"/>
    <w:rsid w:val="35B50461"/>
    <w:rsid w:val="35B54FC1"/>
    <w:rsid w:val="35B66451"/>
    <w:rsid w:val="35B77D34"/>
    <w:rsid w:val="35B83942"/>
    <w:rsid w:val="35BB5A78"/>
    <w:rsid w:val="35BC17F0"/>
    <w:rsid w:val="35BC534C"/>
    <w:rsid w:val="35C00993"/>
    <w:rsid w:val="35C52507"/>
    <w:rsid w:val="35C5597C"/>
    <w:rsid w:val="35C778E0"/>
    <w:rsid w:val="35C9758C"/>
    <w:rsid w:val="35C97A69"/>
    <w:rsid w:val="35D2691D"/>
    <w:rsid w:val="35D42696"/>
    <w:rsid w:val="35D51E56"/>
    <w:rsid w:val="35D53583"/>
    <w:rsid w:val="35D5640E"/>
    <w:rsid w:val="35D7438A"/>
    <w:rsid w:val="35DA18DA"/>
    <w:rsid w:val="35DA3A24"/>
    <w:rsid w:val="35DE52C2"/>
    <w:rsid w:val="35E0728C"/>
    <w:rsid w:val="35E13004"/>
    <w:rsid w:val="35E1631A"/>
    <w:rsid w:val="35E46651"/>
    <w:rsid w:val="35E825E5"/>
    <w:rsid w:val="35E84393"/>
    <w:rsid w:val="35EB3E83"/>
    <w:rsid w:val="35EB67D0"/>
    <w:rsid w:val="35EB79DF"/>
    <w:rsid w:val="35ED756B"/>
    <w:rsid w:val="35ED7BFB"/>
    <w:rsid w:val="35F06456"/>
    <w:rsid w:val="35F23AD2"/>
    <w:rsid w:val="35F2621D"/>
    <w:rsid w:val="35F42D38"/>
    <w:rsid w:val="35F44AE6"/>
    <w:rsid w:val="35F5085E"/>
    <w:rsid w:val="35F76384"/>
    <w:rsid w:val="35F965A0"/>
    <w:rsid w:val="35FA5E74"/>
    <w:rsid w:val="35FC5E78"/>
    <w:rsid w:val="35FF348B"/>
    <w:rsid w:val="360016DD"/>
    <w:rsid w:val="36006872"/>
    <w:rsid w:val="36052DA2"/>
    <w:rsid w:val="36083F27"/>
    <w:rsid w:val="360867E3"/>
    <w:rsid w:val="36090618"/>
    <w:rsid w:val="360A4309"/>
    <w:rsid w:val="360A60B7"/>
    <w:rsid w:val="360D204B"/>
    <w:rsid w:val="36121410"/>
    <w:rsid w:val="361231BE"/>
    <w:rsid w:val="361242B0"/>
    <w:rsid w:val="36127662"/>
    <w:rsid w:val="36132E0B"/>
    <w:rsid w:val="36133BB0"/>
    <w:rsid w:val="36140CE4"/>
    <w:rsid w:val="3614429B"/>
    <w:rsid w:val="36146F36"/>
    <w:rsid w:val="3616436D"/>
    <w:rsid w:val="361707D4"/>
    <w:rsid w:val="36193571"/>
    <w:rsid w:val="361C5DEB"/>
    <w:rsid w:val="361E1B63"/>
    <w:rsid w:val="361E6007"/>
    <w:rsid w:val="36213401"/>
    <w:rsid w:val="36230D24"/>
    <w:rsid w:val="362353CB"/>
    <w:rsid w:val="36266C69"/>
    <w:rsid w:val="3628478F"/>
    <w:rsid w:val="362C0724"/>
    <w:rsid w:val="362C39B2"/>
    <w:rsid w:val="362F3D70"/>
    <w:rsid w:val="362F49F1"/>
    <w:rsid w:val="36321AB2"/>
    <w:rsid w:val="36341386"/>
    <w:rsid w:val="36343134"/>
    <w:rsid w:val="36356EAC"/>
    <w:rsid w:val="363650FE"/>
    <w:rsid w:val="3636660F"/>
    <w:rsid w:val="36370E76"/>
    <w:rsid w:val="36372206"/>
    <w:rsid w:val="36374E98"/>
    <w:rsid w:val="36380CE7"/>
    <w:rsid w:val="363870C8"/>
    <w:rsid w:val="36394B26"/>
    <w:rsid w:val="3639699D"/>
    <w:rsid w:val="363D46DF"/>
    <w:rsid w:val="363D5FAB"/>
    <w:rsid w:val="363E2205"/>
    <w:rsid w:val="364325F9"/>
    <w:rsid w:val="364610BA"/>
    <w:rsid w:val="364671C7"/>
    <w:rsid w:val="3647730B"/>
    <w:rsid w:val="36483084"/>
    <w:rsid w:val="364A6DFC"/>
    <w:rsid w:val="364C4922"/>
    <w:rsid w:val="364D2448"/>
    <w:rsid w:val="36513CE6"/>
    <w:rsid w:val="3652180C"/>
    <w:rsid w:val="365657A0"/>
    <w:rsid w:val="365816DA"/>
    <w:rsid w:val="36590DED"/>
    <w:rsid w:val="365B3E4B"/>
    <w:rsid w:val="365E6403"/>
    <w:rsid w:val="366003CD"/>
    <w:rsid w:val="36603F29"/>
    <w:rsid w:val="36632773"/>
    <w:rsid w:val="36657792"/>
    <w:rsid w:val="3667350A"/>
    <w:rsid w:val="36677BA4"/>
    <w:rsid w:val="366A2FFA"/>
    <w:rsid w:val="366A6525"/>
    <w:rsid w:val="366D6646"/>
    <w:rsid w:val="366F0610"/>
    <w:rsid w:val="36743E79"/>
    <w:rsid w:val="3679323D"/>
    <w:rsid w:val="367C093A"/>
    <w:rsid w:val="367F2FC4"/>
    <w:rsid w:val="36820DE1"/>
    <w:rsid w:val="368232B6"/>
    <w:rsid w:val="36834AE4"/>
    <w:rsid w:val="36851BE2"/>
    <w:rsid w:val="3687077A"/>
    <w:rsid w:val="36897924"/>
    <w:rsid w:val="368B07D8"/>
    <w:rsid w:val="368D0A96"/>
    <w:rsid w:val="368F41DF"/>
    <w:rsid w:val="36963DEF"/>
    <w:rsid w:val="3697760B"/>
    <w:rsid w:val="3699568D"/>
    <w:rsid w:val="369D6F2B"/>
    <w:rsid w:val="369E2CA4"/>
    <w:rsid w:val="369E4A52"/>
    <w:rsid w:val="36A040D2"/>
    <w:rsid w:val="36A06A1C"/>
    <w:rsid w:val="36A23D34"/>
    <w:rsid w:val="36A54032"/>
    <w:rsid w:val="36A56E62"/>
    <w:rsid w:val="36A6035E"/>
    <w:rsid w:val="36A71B58"/>
    <w:rsid w:val="36A83F25"/>
    <w:rsid w:val="36AA4F34"/>
    <w:rsid w:val="36AA789A"/>
    <w:rsid w:val="36AF255F"/>
    <w:rsid w:val="36AF3103"/>
    <w:rsid w:val="36B14785"/>
    <w:rsid w:val="36B3059C"/>
    <w:rsid w:val="36B63375"/>
    <w:rsid w:val="36B64491"/>
    <w:rsid w:val="36B6571C"/>
    <w:rsid w:val="36BA67AF"/>
    <w:rsid w:val="36BE50F4"/>
    <w:rsid w:val="36BE6EA2"/>
    <w:rsid w:val="36C00E6C"/>
    <w:rsid w:val="36C02C1A"/>
    <w:rsid w:val="36C23DB5"/>
    <w:rsid w:val="36C4095C"/>
    <w:rsid w:val="36C46BAE"/>
    <w:rsid w:val="36C50230"/>
    <w:rsid w:val="36C546D4"/>
    <w:rsid w:val="36C56482"/>
    <w:rsid w:val="36C61A50"/>
    <w:rsid w:val="36C7044C"/>
    <w:rsid w:val="36C73FA8"/>
    <w:rsid w:val="36CC15BF"/>
    <w:rsid w:val="36CC4181"/>
    <w:rsid w:val="36CC5A63"/>
    <w:rsid w:val="36CF1D54"/>
    <w:rsid w:val="36D2555B"/>
    <w:rsid w:val="36D30B9F"/>
    <w:rsid w:val="36D3294D"/>
    <w:rsid w:val="36D466C5"/>
    <w:rsid w:val="36D528A2"/>
    <w:rsid w:val="36D52B69"/>
    <w:rsid w:val="36DB14C0"/>
    <w:rsid w:val="36DE12F2"/>
    <w:rsid w:val="36DF7544"/>
    <w:rsid w:val="36E20DE2"/>
    <w:rsid w:val="36E23B89"/>
    <w:rsid w:val="36E27AE8"/>
    <w:rsid w:val="36E42DAC"/>
    <w:rsid w:val="36E47C4D"/>
    <w:rsid w:val="36E52398"/>
    <w:rsid w:val="36E56B24"/>
    <w:rsid w:val="36E763F9"/>
    <w:rsid w:val="36E92171"/>
    <w:rsid w:val="36E921AB"/>
    <w:rsid w:val="36EC1C61"/>
    <w:rsid w:val="36EC3A0F"/>
    <w:rsid w:val="36EE7787"/>
    <w:rsid w:val="36EF34FF"/>
    <w:rsid w:val="36F154C9"/>
    <w:rsid w:val="36F63248"/>
    <w:rsid w:val="36F759BD"/>
    <w:rsid w:val="36F823B4"/>
    <w:rsid w:val="36FA437E"/>
    <w:rsid w:val="36FD79CA"/>
    <w:rsid w:val="3701395E"/>
    <w:rsid w:val="37025991"/>
    <w:rsid w:val="370276D6"/>
    <w:rsid w:val="37037BF9"/>
    <w:rsid w:val="37052D23"/>
    <w:rsid w:val="37060F75"/>
    <w:rsid w:val="37062D66"/>
    <w:rsid w:val="370C0427"/>
    <w:rsid w:val="370C2303"/>
    <w:rsid w:val="370D5533"/>
    <w:rsid w:val="3710594F"/>
    <w:rsid w:val="37111425"/>
    <w:rsid w:val="3711429C"/>
    <w:rsid w:val="371371EE"/>
    <w:rsid w:val="37182A56"/>
    <w:rsid w:val="371A057C"/>
    <w:rsid w:val="371A5CD6"/>
    <w:rsid w:val="371B3C93"/>
    <w:rsid w:val="371B42F4"/>
    <w:rsid w:val="371C3A63"/>
    <w:rsid w:val="371D5025"/>
    <w:rsid w:val="371E2613"/>
    <w:rsid w:val="371F3DE4"/>
    <w:rsid w:val="37215D80"/>
    <w:rsid w:val="372223AA"/>
    <w:rsid w:val="372413FB"/>
    <w:rsid w:val="372541DD"/>
    <w:rsid w:val="37284969"/>
    <w:rsid w:val="372A4537"/>
    <w:rsid w:val="372B2789"/>
    <w:rsid w:val="372C4753"/>
    <w:rsid w:val="372E04CB"/>
    <w:rsid w:val="372F1A66"/>
    <w:rsid w:val="37335AE2"/>
    <w:rsid w:val="37347008"/>
    <w:rsid w:val="3736112E"/>
    <w:rsid w:val="37363A78"/>
    <w:rsid w:val="373A6E70"/>
    <w:rsid w:val="373E256E"/>
    <w:rsid w:val="373E2860"/>
    <w:rsid w:val="373F4487"/>
    <w:rsid w:val="373F7FE3"/>
    <w:rsid w:val="37427AD3"/>
    <w:rsid w:val="37441A9D"/>
    <w:rsid w:val="3744712F"/>
    <w:rsid w:val="37457D1D"/>
    <w:rsid w:val="3747333B"/>
    <w:rsid w:val="37491867"/>
    <w:rsid w:val="37492C0F"/>
    <w:rsid w:val="374A15B6"/>
    <w:rsid w:val="374C0952"/>
    <w:rsid w:val="374C2700"/>
    <w:rsid w:val="374D0437"/>
    <w:rsid w:val="374D7F37"/>
    <w:rsid w:val="374E6478"/>
    <w:rsid w:val="374F6B69"/>
    <w:rsid w:val="37500442"/>
    <w:rsid w:val="375525A4"/>
    <w:rsid w:val="375810A4"/>
    <w:rsid w:val="375A4E1C"/>
    <w:rsid w:val="375C0B95"/>
    <w:rsid w:val="375C4AF6"/>
    <w:rsid w:val="375D2B5F"/>
    <w:rsid w:val="375E04F1"/>
    <w:rsid w:val="375F2433"/>
    <w:rsid w:val="375F4E6C"/>
    <w:rsid w:val="375F7C0F"/>
    <w:rsid w:val="37607F59"/>
    <w:rsid w:val="376161AB"/>
    <w:rsid w:val="37620175"/>
    <w:rsid w:val="376535E6"/>
    <w:rsid w:val="37661A13"/>
    <w:rsid w:val="376637C1"/>
    <w:rsid w:val="376712E7"/>
    <w:rsid w:val="376718FC"/>
    <w:rsid w:val="376911DC"/>
    <w:rsid w:val="376941C5"/>
    <w:rsid w:val="376A0F62"/>
    <w:rsid w:val="376E08C8"/>
    <w:rsid w:val="376E2676"/>
    <w:rsid w:val="376E4D8D"/>
    <w:rsid w:val="376E70A4"/>
    <w:rsid w:val="37706647"/>
    <w:rsid w:val="37721F02"/>
    <w:rsid w:val="37753A04"/>
    <w:rsid w:val="3777105F"/>
    <w:rsid w:val="37797999"/>
    <w:rsid w:val="377D293D"/>
    <w:rsid w:val="377D6D5D"/>
    <w:rsid w:val="377E4FAF"/>
    <w:rsid w:val="377F356D"/>
    <w:rsid w:val="37824373"/>
    <w:rsid w:val="37831746"/>
    <w:rsid w:val="378400EB"/>
    <w:rsid w:val="3784633D"/>
    <w:rsid w:val="37847042"/>
    <w:rsid w:val="37847E6B"/>
    <w:rsid w:val="37893954"/>
    <w:rsid w:val="378B147A"/>
    <w:rsid w:val="378B76CC"/>
    <w:rsid w:val="378C0D4E"/>
    <w:rsid w:val="378C369C"/>
    <w:rsid w:val="378D51F2"/>
    <w:rsid w:val="378F2B62"/>
    <w:rsid w:val="379245B6"/>
    <w:rsid w:val="37927DAB"/>
    <w:rsid w:val="3795529C"/>
    <w:rsid w:val="37957E64"/>
    <w:rsid w:val="37971BCD"/>
    <w:rsid w:val="37985945"/>
    <w:rsid w:val="379A16BD"/>
    <w:rsid w:val="379C3687"/>
    <w:rsid w:val="379C71E3"/>
    <w:rsid w:val="379D2F5B"/>
    <w:rsid w:val="37A662B4"/>
    <w:rsid w:val="37A95DA4"/>
    <w:rsid w:val="37AB38CA"/>
    <w:rsid w:val="37AC4318"/>
    <w:rsid w:val="37AD7642"/>
    <w:rsid w:val="37AE69C3"/>
    <w:rsid w:val="37B15860"/>
    <w:rsid w:val="37B15FBD"/>
    <w:rsid w:val="37B2398D"/>
    <w:rsid w:val="37B24E1E"/>
    <w:rsid w:val="37B3277F"/>
    <w:rsid w:val="37B41185"/>
    <w:rsid w:val="37BA1D5F"/>
    <w:rsid w:val="37BC2B2A"/>
    <w:rsid w:val="37BC3018"/>
    <w:rsid w:val="37BE184F"/>
    <w:rsid w:val="37BF08C9"/>
    <w:rsid w:val="37C74DFB"/>
    <w:rsid w:val="37C869EA"/>
    <w:rsid w:val="37C87FD8"/>
    <w:rsid w:val="37CD4314"/>
    <w:rsid w:val="37CF74C4"/>
    <w:rsid w:val="37D0036A"/>
    <w:rsid w:val="37D063B4"/>
    <w:rsid w:val="37D270A9"/>
    <w:rsid w:val="37D346B9"/>
    <w:rsid w:val="37D54BE0"/>
    <w:rsid w:val="37D61EBD"/>
    <w:rsid w:val="37D746BF"/>
    <w:rsid w:val="37DA39D0"/>
    <w:rsid w:val="37DC1CD5"/>
    <w:rsid w:val="37DD15AA"/>
    <w:rsid w:val="37DE3C9F"/>
    <w:rsid w:val="37E172EC"/>
    <w:rsid w:val="37E34E12"/>
    <w:rsid w:val="37E56DDC"/>
    <w:rsid w:val="37E62B54"/>
    <w:rsid w:val="37E64902"/>
    <w:rsid w:val="37E80BA5"/>
    <w:rsid w:val="37E82428"/>
    <w:rsid w:val="37EA7A33"/>
    <w:rsid w:val="37ED3EE3"/>
    <w:rsid w:val="37ED5C91"/>
    <w:rsid w:val="37ED7275"/>
    <w:rsid w:val="37EF01AA"/>
    <w:rsid w:val="37F0752F"/>
    <w:rsid w:val="37F214F9"/>
    <w:rsid w:val="37F30DCD"/>
    <w:rsid w:val="37F43E03"/>
    <w:rsid w:val="37F45271"/>
    <w:rsid w:val="37F4686F"/>
    <w:rsid w:val="37F54B45"/>
    <w:rsid w:val="37F737C1"/>
    <w:rsid w:val="37FA03AE"/>
    <w:rsid w:val="37FA0CE4"/>
    <w:rsid w:val="37FA5F4F"/>
    <w:rsid w:val="37FB3F34"/>
    <w:rsid w:val="37FE1C4C"/>
    <w:rsid w:val="3801798E"/>
    <w:rsid w:val="38055726"/>
    <w:rsid w:val="38066D52"/>
    <w:rsid w:val="38074E65"/>
    <w:rsid w:val="38080D1C"/>
    <w:rsid w:val="38084878"/>
    <w:rsid w:val="3809239F"/>
    <w:rsid w:val="380B4369"/>
    <w:rsid w:val="380B69DF"/>
    <w:rsid w:val="380D00E1"/>
    <w:rsid w:val="3810372D"/>
    <w:rsid w:val="38107BD1"/>
    <w:rsid w:val="38156F95"/>
    <w:rsid w:val="38163439"/>
    <w:rsid w:val="38187B2F"/>
    <w:rsid w:val="38190834"/>
    <w:rsid w:val="381A45AC"/>
    <w:rsid w:val="381A7091"/>
    <w:rsid w:val="381C0324"/>
    <w:rsid w:val="381C20D2"/>
    <w:rsid w:val="381D4C13"/>
    <w:rsid w:val="3821593A"/>
    <w:rsid w:val="38216165"/>
    <w:rsid w:val="38262F51"/>
    <w:rsid w:val="3828316D"/>
    <w:rsid w:val="382947EF"/>
    <w:rsid w:val="382B190D"/>
    <w:rsid w:val="382B67B9"/>
    <w:rsid w:val="382F44FB"/>
    <w:rsid w:val="382F62A9"/>
    <w:rsid w:val="38305B7D"/>
    <w:rsid w:val="383270EA"/>
    <w:rsid w:val="383438BF"/>
    <w:rsid w:val="38367638"/>
    <w:rsid w:val="38370662"/>
    <w:rsid w:val="38390ED6"/>
    <w:rsid w:val="383A69FC"/>
    <w:rsid w:val="383B4C4E"/>
    <w:rsid w:val="383D1A69"/>
    <w:rsid w:val="38400902"/>
    <w:rsid w:val="38431D54"/>
    <w:rsid w:val="38434688"/>
    <w:rsid w:val="384653A1"/>
    <w:rsid w:val="38471845"/>
    <w:rsid w:val="38476F03"/>
    <w:rsid w:val="38496DAC"/>
    <w:rsid w:val="384B0C09"/>
    <w:rsid w:val="384F60F2"/>
    <w:rsid w:val="385053C7"/>
    <w:rsid w:val="38531C3E"/>
    <w:rsid w:val="38535627"/>
    <w:rsid w:val="38543F62"/>
    <w:rsid w:val="38552A09"/>
    <w:rsid w:val="38562D5F"/>
    <w:rsid w:val="38563836"/>
    <w:rsid w:val="3857135C"/>
    <w:rsid w:val="38593E3A"/>
    <w:rsid w:val="385A2F9E"/>
    <w:rsid w:val="385C2E16"/>
    <w:rsid w:val="385C6972"/>
    <w:rsid w:val="38600FD2"/>
    <w:rsid w:val="3861656F"/>
    <w:rsid w:val="38630AE9"/>
    <w:rsid w:val="38631A4F"/>
    <w:rsid w:val="386518FB"/>
    <w:rsid w:val="386608F2"/>
    <w:rsid w:val="3869321A"/>
    <w:rsid w:val="38693A61"/>
    <w:rsid w:val="386C12AB"/>
    <w:rsid w:val="386C58FB"/>
    <w:rsid w:val="386D0B7F"/>
    <w:rsid w:val="386F5904"/>
    <w:rsid w:val="38711D79"/>
    <w:rsid w:val="38720D88"/>
    <w:rsid w:val="38726EDD"/>
    <w:rsid w:val="387406C0"/>
    <w:rsid w:val="38743ECA"/>
    <w:rsid w:val="387510FB"/>
    <w:rsid w:val="387C7014"/>
    <w:rsid w:val="387D5266"/>
    <w:rsid w:val="387E4B3B"/>
    <w:rsid w:val="387F3FB0"/>
    <w:rsid w:val="38806B05"/>
    <w:rsid w:val="3882287D"/>
    <w:rsid w:val="38832151"/>
    <w:rsid w:val="38855EC9"/>
    <w:rsid w:val="38855EDB"/>
    <w:rsid w:val="388859B9"/>
    <w:rsid w:val="388A1731"/>
    <w:rsid w:val="388C7258"/>
    <w:rsid w:val="388F2EE6"/>
    <w:rsid w:val="38904BF4"/>
    <w:rsid w:val="389124EF"/>
    <w:rsid w:val="38912AC0"/>
    <w:rsid w:val="3891486E"/>
    <w:rsid w:val="38916A41"/>
    <w:rsid w:val="38926838"/>
    <w:rsid w:val="38934A8A"/>
    <w:rsid w:val="389820A0"/>
    <w:rsid w:val="38993922"/>
    <w:rsid w:val="389A0E5F"/>
    <w:rsid w:val="389A33CF"/>
    <w:rsid w:val="389B369E"/>
    <w:rsid w:val="389B393F"/>
    <w:rsid w:val="389C284F"/>
    <w:rsid w:val="389D7539"/>
    <w:rsid w:val="389E342F"/>
    <w:rsid w:val="389F5471"/>
    <w:rsid w:val="38A02D03"/>
    <w:rsid w:val="38A05EBA"/>
    <w:rsid w:val="38A1238D"/>
    <w:rsid w:val="38A1734A"/>
    <w:rsid w:val="38A56508"/>
    <w:rsid w:val="38A6115A"/>
    <w:rsid w:val="38A62E19"/>
    <w:rsid w:val="38A72048"/>
    <w:rsid w:val="38AA1DD4"/>
    <w:rsid w:val="38AF1DA5"/>
    <w:rsid w:val="38AF451F"/>
    <w:rsid w:val="38AF73EA"/>
    <w:rsid w:val="38B844F1"/>
    <w:rsid w:val="38B95B73"/>
    <w:rsid w:val="38BA3255"/>
    <w:rsid w:val="38BB7B3D"/>
    <w:rsid w:val="38C12CB4"/>
    <w:rsid w:val="38C20ECB"/>
    <w:rsid w:val="38C2711D"/>
    <w:rsid w:val="38C42E95"/>
    <w:rsid w:val="38C61316"/>
    <w:rsid w:val="38C7420D"/>
    <w:rsid w:val="38C94357"/>
    <w:rsid w:val="38CA7F57"/>
    <w:rsid w:val="38CC549E"/>
    <w:rsid w:val="38CC7F9C"/>
    <w:rsid w:val="38CF5396"/>
    <w:rsid w:val="38D34E55"/>
    <w:rsid w:val="38D62BC9"/>
    <w:rsid w:val="38D86941"/>
    <w:rsid w:val="38DA426D"/>
    <w:rsid w:val="38DB01DF"/>
    <w:rsid w:val="38DB3D3B"/>
    <w:rsid w:val="38DF7CCF"/>
    <w:rsid w:val="38E075A3"/>
    <w:rsid w:val="38E10229"/>
    <w:rsid w:val="38E321C8"/>
    <w:rsid w:val="38E452E6"/>
    <w:rsid w:val="38E55D2E"/>
    <w:rsid w:val="38E56968"/>
    <w:rsid w:val="38E671BE"/>
    <w:rsid w:val="38E726E0"/>
    <w:rsid w:val="38E76B84"/>
    <w:rsid w:val="38EB0B78"/>
    <w:rsid w:val="38ED3A6E"/>
    <w:rsid w:val="38EE7F12"/>
    <w:rsid w:val="38F27A29"/>
    <w:rsid w:val="38F60B75"/>
    <w:rsid w:val="38F82B3F"/>
    <w:rsid w:val="38F848ED"/>
    <w:rsid w:val="38F8669B"/>
    <w:rsid w:val="38F92A63"/>
    <w:rsid w:val="38FB43DD"/>
    <w:rsid w:val="38FE6FFB"/>
    <w:rsid w:val="38FF3ECD"/>
    <w:rsid w:val="38FF7129"/>
    <w:rsid w:val="390019F4"/>
    <w:rsid w:val="39030A9D"/>
    <w:rsid w:val="3905700A"/>
    <w:rsid w:val="39062BB4"/>
    <w:rsid w:val="39082B1E"/>
    <w:rsid w:val="390B0AC4"/>
    <w:rsid w:val="390C0ED9"/>
    <w:rsid w:val="390D3AAA"/>
    <w:rsid w:val="390F1C37"/>
    <w:rsid w:val="390F526F"/>
    <w:rsid w:val="391060DB"/>
    <w:rsid w:val="39137979"/>
    <w:rsid w:val="391536F1"/>
    <w:rsid w:val="39161217"/>
    <w:rsid w:val="39162FC5"/>
    <w:rsid w:val="39184F8F"/>
    <w:rsid w:val="391A2AB5"/>
    <w:rsid w:val="391B682D"/>
    <w:rsid w:val="391D7DB8"/>
    <w:rsid w:val="391F49A7"/>
    <w:rsid w:val="392230FF"/>
    <w:rsid w:val="39237490"/>
    <w:rsid w:val="39243934"/>
    <w:rsid w:val="3925145A"/>
    <w:rsid w:val="392576AC"/>
    <w:rsid w:val="39294FD3"/>
    <w:rsid w:val="392A7A39"/>
    <w:rsid w:val="392B00B2"/>
    <w:rsid w:val="392C27E9"/>
    <w:rsid w:val="392C7E2E"/>
    <w:rsid w:val="392E6561"/>
    <w:rsid w:val="392F675A"/>
    <w:rsid w:val="393578EF"/>
    <w:rsid w:val="39362A05"/>
    <w:rsid w:val="39365415"/>
    <w:rsid w:val="3938118D"/>
    <w:rsid w:val="393D00AA"/>
    <w:rsid w:val="393F076E"/>
    <w:rsid w:val="39400042"/>
    <w:rsid w:val="39415F1A"/>
    <w:rsid w:val="394401E0"/>
    <w:rsid w:val="39445D84"/>
    <w:rsid w:val="394538AA"/>
    <w:rsid w:val="39455658"/>
    <w:rsid w:val="394713D0"/>
    <w:rsid w:val="39475874"/>
    <w:rsid w:val="394979EB"/>
    <w:rsid w:val="394A2C6F"/>
    <w:rsid w:val="394C4C39"/>
    <w:rsid w:val="394F0285"/>
    <w:rsid w:val="39501BFE"/>
    <w:rsid w:val="3950297B"/>
    <w:rsid w:val="39547857"/>
    <w:rsid w:val="3955445B"/>
    <w:rsid w:val="39557F91"/>
    <w:rsid w:val="39561FEF"/>
    <w:rsid w:val="39585DE2"/>
    <w:rsid w:val="395A7356"/>
    <w:rsid w:val="395B4E7C"/>
    <w:rsid w:val="395C290E"/>
    <w:rsid w:val="39602492"/>
    <w:rsid w:val="39616936"/>
    <w:rsid w:val="3962096F"/>
    <w:rsid w:val="3962620A"/>
    <w:rsid w:val="39654B23"/>
    <w:rsid w:val="39665CFB"/>
    <w:rsid w:val="39685B45"/>
    <w:rsid w:val="39694FCF"/>
    <w:rsid w:val="396A50BF"/>
    <w:rsid w:val="396B1563"/>
    <w:rsid w:val="396B3311"/>
    <w:rsid w:val="396C5956"/>
    <w:rsid w:val="396D3362"/>
    <w:rsid w:val="396E2E01"/>
    <w:rsid w:val="396F26D5"/>
    <w:rsid w:val="3971644D"/>
    <w:rsid w:val="39747F69"/>
    <w:rsid w:val="39761CB6"/>
    <w:rsid w:val="39765050"/>
    <w:rsid w:val="39772A29"/>
    <w:rsid w:val="3977699E"/>
    <w:rsid w:val="397E6716"/>
    <w:rsid w:val="397E6AD4"/>
    <w:rsid w:val="397F6DBC"/>
    <w:rsid w:val="398126A4"/>
    <w:rsid w:val="3982065B"/>
    <w:rsid w:val="398268AC"/>
    <w:rsid w:val="39861EF9"/>
    <w:rsid w:val="398621C6"/>
    <w:rsid w:val="39873EC3"/>
    <w:rsid w:val="3989152F"/>
    <w:rsid w:val="398919E9"/>
    <w:rsid w:val="398C3AD5"/>
    <w:rsid w:val="398D0823"/>
    <w:rsid w:val="39900FC9"/>
    <w:rsid w:val="3991089E"/>
    <w:rsid w:val="39916AF0"/>
    <w:rsid w:val="3993263F"/>
    <w:rsid w:val="39974106"/>
    <w:rsid w:val="39980B33"/>
    <w:rsid w:val="39987E7E"/>
    <w:rsid w:val="399A3BF6"/>
    <w:rsid w:val="399A4CF7"/>
    <w:rsid w:val="399D322A"/>
    <w:rsid w:val="399D5494"/>
    <w:rsid w:val="39A0424E"/>
    <w:rsid w:val="39A405D1"/>
    <w:rsid w:val="39A86313"/>
    <w:rsid w:val="39A945FB"/>
    <w:rsid w:val="39A95BE7"/>
    <w:rsid w:val="39AB5E03"/>
    <w:rsid w:val="39AB7BB1"/>
    <w:rsid w:val="39AC56D7"/>
    <w:rsid w:val="39AE31FE"/>
    <w:rsid w:val="39AE7B43"/>
    <w:rsid w:val="39B06F76"/>
    <w:rsid w:val="39B12CEE"/>
    <w:rsid w:val="39B21D7C"/>
    <w:rsid w:val="39B27192"/>
    <w:rsid w:val="39B32692"/>
    <w:rsid w:val="39B32F0A"/>
    <w:rsid w:val="39B33F0E"/>
    <w:rsid w:val="39B4157B"/>
    <w:rsid w:val="39B50A30"/>
    <w:rsid w:val="39B5458C"/>
    <w:rsid w:val="39B8571B"/>
    <w:rsid w:val="39B85834"/>
    <w:rsid w:val="39BB07BF"/>
    <w:rsid w:val="39C173D5"/>
    <w:rsid w:val="39C24EFB"/>
    <w:rsid w:val="39C26370"/>
    <w:rsid w:val="39C3314D"/>
    <w:rsid w:val="39C40C73"/>
    <w:rsid w:val="39C55584"/>
    <w:rsid w:val="39C90037"/>
    <w:rsid w:val="39CD7B28"/>
    <w:rsid w:val="39CF48CB"/>
    <w:rsid w:val="39D013C6"/>
    <w:rsid w:val="39D0586A"/>
    <w:rsid w:val="39D37108"/>
    <w:rsid w:val="39D52E80"/>
    <w:rsid w:val="39D65FDC"/>
    <w:rsid w:val="39D709A6"/>
    <w:rsid w:val="39D76BF8"/>
    <w:rsid w:val="39D92970"/>
    <w:rsid w:val="39D9457D"/>
    <w:rsid w:val="39D94A6B"/>
    <w:rsid w:val="39DC5BB6"/>
    <w:rsid w:val="39DD1C17"/>
    <w:rsid w:val="39DD3AE3"/>
    <w:rsid w:val="39E3559D"/>
    <w:rsid w:val="39E71AB7"/>
    <w:rsid w:val="39E75243"/>
    <w:rsid w:val="39E84962"/>
    <w:rsid w:val="39E92488"/>
    <w:rsid w:val="39E9692C"/>
    <w:rsid w:val="39EA015E"/>
    <w:rsid w:val="39F552D0"/>
    <w:rsid w:val="39F5707E"/>
    <w:rsid w:val="39F94DC1"/>
    <w:rsid w:val="39FA6443"/>
    <w:rsid w:val="39FC21BB"/>
    <w:rsid w:val="39FC665F"/>
    <w:rsid w:val="39FD3703"/>
    <w:rsid w:val="39FF7EFD"/>
    <w:rsid w:val="3A0379ED"/>
    <w:rsid w:val="3A053765"/>
    <w:rsid w:val="3A064DE8"/>
    <w:rsid w:val="3A085004"/>
    <w:rsid w:val="3A0D261A"/>
    <w:rsid w:val="3A0D682B"/>
    <w:rsid w:val="3A0E0140"/>
    <w:rsid w:val="3A0E3186"/>
    <w:rsid w:val="3A112102"/>
    <w:rsid w:val="3A1219DE"/>
    <w:rsid w:val="3A1366BC"/>
    <w:rsid w:val="3A175247"/>
    <w:rsid w:val="3A1A02F3"/>
    <w:rsid w:val="3A1A0893"/>
    <w:rsid w:val="3A1A327F"/>
    <w:rsid w:val="3A1C0148"/>
    <w:rsid w:val="3A1D44D9"/>
    <w:rsid w:val="3A1F234D"/>
    <w:rsid w:val="3A26548A"/>
    <w:rsid w:val="3A272D2D"/>
    <w:rsid w:val="3A281202"/>
    <w:rsid w:val="3A2A0CA5"/>
    <w:rsid w:val="3A2A66D5"/>
    <w:rsid w:val="3A2B2AA0"/>
    <w:rsid w:val="3A2D4A6A"/>
    <w:rsid w:val="3A2F07E2"/>
    <w:rsid w:val="3A3000B7"/>
    <w:rsid w:val="3A306308"/>
    <w:rsid w:val="3A342760"/>
    <w:rsid w:val="3A346490"/>
    <w:rsid w:val="3A347BA7"/>
    <w:rsid w:val="3A35391F"/>
    <w:rsid w:val="3A355331"/>
    <w:rsid w:val="3A3758E9"/>
    <w:rsid w:val="3A396781"/>
    <w:rsid w:val="3A3A1FBC"/>
    <w:rsid w:val="3A3A42BF"/>
    <w:rsid w:val="3A3C6694"/>
    <w:rsid w:val="3A3E4582"/>
    <w:rsid w:val="3A403E4E"/>
    <w:rsid w:val="3A433F47"/>
    <w:rsid w:val="3A443B62"/>
    <w:rsid w:val="3A461688"/>
    <w:rsid w:val="3A4818A4"/>
    <w:rsid w:val="3A4966E6"/>
    <w:rsid w:val="3A4A73CA"/>
    <w:rsid w:val="3A4B4EF0"/>
    <w:rsid w:val="3A4B5346"/>
    <w:rsid w:val="3A4B6C9E"/>
    <w:rsid w:val="3A4D2A17"/>
    <w:rsid w:val="3A4E5ED7"/>
    <w:rsid w:val="3A4F3FEF"/>
    <w:rsid w:val="3A500759"/>
    <w:rsid w:val="3A500DE2"/>
    <w:rsid w:val="3A524858"/>
    <w:rsid w:val="3A535CE8"/>
    <w:rsid w:val="3A540249"/>
    <w:rsid w:val="3A557B1D"/>
    <w:rsid w:val="3A563E6C"/>
    <w:rsid w:val="3A577D39"/>
    <w:rsid w:val="3A5B7B82"/>
    <w:rsid w:val="3A5C22B8"/>
    <w:rsid w:val="3A5E1D79"/>
    <w:rsid w:val="3A5E4C24"/>
    <w:rsid w:val="3A5F274A"/>
    <w:rsid w:val="3A606BEE"/>
    <w:rsid w:val="3A614714"/>
    <w:rsid w:val="3A63223A"/>
    <w:rsid w:val="3A6366DE"/>
    <w:rsid w:val="3A647D60"/>
    <w:rsid w:val="3A663AD8"/>
    <w:rsid w:val="3A6753C6"/>
    <w:rsid w:val="3A6A181A"/>
    <w:rsid w:val="3A6A3F6F"/>
    <w:rsid w:val="3A706705"/>
    <w:rsid w:val="3A742699"/>
    <w:rsid w:val="3A775CE5"/>
    <w:rsid w:val="3A791A5E"/>
    <w:rsid w:val="3A79380C"/>
    <w:rsid w:val="3A7A528B"/>
    <w:rsid w:val="3A7A7584"/>
    <w:rsid w:val="3A7B57D6"/>
    <w:rsid w:val="3A7C154E"/>
    <w:rsid w:val="3A7D3C15"/>
    <w:rsid w:val="3A802DEC"/>
    <w:rsid w:val="3A847A6E"/>
    <w:rsid w:val="3A8521B0"/>
    <w:rsid w:val="3A856654"/>
    <w:rsid w:val="3A8D375B"/>
    <w:rsid w:val="3A8D5509"/>
    <w:rsid w:val="3A8E06BB"/>
    <w:rsid w:val="3A8F302F"/>
    <w:rsid w:val="3A960861"/>
    <w:rsid w:val="3A9643BE"/>
    <w:rsid w:val="3A974646"/>
    <w:rsid w:val="3A976A8C"/>
    <w:rsid w:val="3A992100"/>
    <w:rsid w:val="3A9A48F5"/>
    <w:rsid w:val="3A9C118B"/>
    <w:rsid w:val="3A9C596E"/>
    <w:rsid w:val="3A9E028E"/>
    <w:rsid w:val="3A9E14C4"/>
    <w:rsid w:val="3A9E7716"/>
    <w:rsid w:val="3A9F714E"/>
    <w:rsid w:val="3AA12D62"/>
    <w:rsid w:val="3AA12DE4"/>
    <w:rsid w:val="3AA30888"/>
    <w:rsid w:val="3AA32404"/>
    <w:rsid w:val="3AA356D1"/>
    <w:rsid w:val="3AA52853"/>
    <w:rsid w:val="3AA54601"/>
    <w:rsid w:val="3AA765CB"/>
    <w:rsid w:val="3AA80595"/>
    <w:rsid w:val="3AAA009C"/>
    <w:rsid w:val="3AAA1C17"/>
    <w:rsid w:val="3AAA1DCE"/>
    <w:rsid w:val="3AAB598F"/>
    <w:rsid w:val="3AAE1213"/>
    <w:rsid w:val="3AAF678C"/>
    <w:rsid w:val="3AB17449"/>
    <w:rsid w:val="3AB22737"/>
    <w:rsid w:val="3AB26D1E"/>
    <w:rsid w:val="3AB3599D"/>
    <w:rsid w:val="3AB362A6"/>
    <w:rsid w:val="3AB40D23"/>
    <w:rsid w:val="3AB42A96"/>
    <w:rsid w:val="3AB65B13"/>
    <w:rsid w:val="3AB80498"/>
    <w:rsid w:val="3AB807D8"/>
    <w:rsid w:val="3AB80984"/>
    <w:rsid w:val="3AB83A06"/>
    <w:rsid w:val="3AB97A67"/>
    <w:rsid w:val="3ABB02C8"/>
    <w:rsid w:val="3ABB3E24"/>
    <w:rsid w:val="3ABE3914"/>
    <w:rsid w:val="3ABE7AF8"/>
    <w:rsid w:val="3AC56A51"/>
    <w:rsid w:val="3AC70A1B"/>
    <w:rsid w:val="3ACD1B62"/>
    <w:rsid w:val="3ACD2F98"/>
    <w:rsid w:val="3ACE28D1"/>
    <w:rsid w:val="3ACF167E"/>
    <w:rsid w:val="3AD1189A"/>
    <w:rsid w:val="3AD153F6"/>
    <w:rsid w:val="3AD25272"/>
    <w:rsid w:val="3AD4138A"/>
    <w:rsid w:val="3AD41A9E"/>
    <w:rsid w:val="3AD43138"/>
    <w:rsid w:val="3AD969A0"/>
    <w:rsid w:val="3ADB6274"/>
    <w:rsid w:val="3ADE4BAF"/>
    <w:rsid w:val="3ADE5D64"/>
    <w:rsid w:val="3ADE7A6F"/>
    <w:rsid w:val="3AE01ADD"/>
    <w:rsid w:val="3AE31593"/>
    <w:rsid w:val="3AE570F3"/>
    <w:rsid w:val="3AE80991"/>
    <w:rsid w:val="3AE96BE3"/>
    <w:rsid w:val="3AEA64B7"/>
    <w:rsid w:val="3AED2009"/>
    <w:rsid w:val="3AEE5216"/>
    <w:rsid w:val="3AEF1D20"/>
    <w:rsid w:val="3AF31810"/>
    <w:rsid w:val="3AF364B7"/>
    <w:rsid w:val="3AF4093F"/>
    <w:rsid w:val="3AF53CDC"/>
    <w:rsid w:val="3AF833AE"/>
    <w:rsid w:val="3AF85078"/>
    <w:rsid w:val="3AF968DD"/>
    <w:rsid w:val="3AFA0DF0"/>
    <w:rsid w:val="3AFB2473"/>
    <w:rsid w:val="3AFD71EF"/>
    <w:rsid w:val="3AFE1F63"/>
    <w:rsid w:val="3AFF71F4"/>
    <w:rsid w:val="3B002A03"/>
    <w:rsid w:val="3B003F2D"/>
    <w:rsid w:val="3B007A89"/>
    <w:rsid w:val="3B0371A6"/>
    <w:rsid w:val="3B043A1D"/>
    <w:rsid w:val="3B051751"/>
    <w:rsid w:val="3B06174E"/>
    <w:rsid w:val="3B06464C"/>
    <w:rsid w:val="3B0A4DAB"/>
    <w:rsid w:val="3B0C0B24"/>
    <w:rsid w:val="3B11613A"/>
    <w:rsid w:val="3B135A0E"/>
    <w:rsid w:val="3B1705E5"/>
    <w:rsid w:val="3B1718BF"/>
    <w:rsid w:val="3B181184"/>
    <w:rsid w:val="3B183024"/>
    <w:rsid w:val="3B1A1138"/>
    <w:rsid w:val="3B1C3A4F"/>
    <w:rsid w:val="3B1E5785"/>
    <w:rsid w:val="3B1F52A0"/>
    <w:rsid w:val="3B200793"/>
    <w:rsid w:val="3B2220F5"/>
    <w:rsid w:val="3B22460C"/>
    <w:rsid w:val="3B2319C9"/>
    <w:rsid w:val="3B253993"/>
    <w:rsid w:val="3B292D1E"/>
    <w:rsid w:val="3B2A71FC"/>
    <w:rsid w:val="3B2C087E"/>
    <w:rsid w:val="3B2C6AD0"/>
    <w:rsid w:val="3B3435F2"/>
    <w:rsid w:val="3B355A3D"/>
    <w:rsid w:val="3B381919"/>
    <w:rsid w:val="3B392F9B"/>
    <w:rsid w:val="3B3A4C9D"/>
    <w:rsid w:val="3B40257B"/>
    <w:rsid w:val="3B425668"/>
    <w:rsid w:val="3B4258FF"/>
    <w:rsid w:val="3B443E1A"/>
    <w:rsid w:val="3B450DF0"/>
    <w:rsid w:val="3B473250"/>
    <w:rsid w:val="3B485E21"/>
    <w:rsid w:val="3B492769"/>
    <w:rsid w:val="3B4E6CEA"/>
    <w:rsid w:val="3B4F0A10"/>
    <w:rsid w:val="3B530501"/>
    <w:rsid w:val="3B567FF1"/>
    <w:rsid w:val="3B583D69"/>
    <w:rsid w:val="3B5C3046"/>
    <w:rsid w:val="3B5D22E6"/>
    <w:rsid w:val="3B5E2A01"/>
    <w:rsid w:val="3B6001A4"/>
    <w:rsid w:val="3B637FD8"/>
    <w:rsid w:val="3B644CED"/>
    <w:rsid w:val="3B665F8C"/>
    <w:rsid w:val="3B683CCA"/>
    <w:rsid w:val="3B691AD2"/>
    <w:rsid w:val="3B697D2B"/>
    <w:rsid w:val="3B6C13D0"/>
    <w:rsid w:val="3B7003D2"/>
    <w:rsid w:val="3B702505"/>
    <w:rsid w:val="3B762441"/>
    <w:rsid w:val="3B7632AA"/>
    <w:rsid w:val="3B791473"/>
    <w:rsid w:val="3B7C7A57"/>
    <w:rsid w:val="3B7E3D60"/>
    <w:rsid w:val="3B7E5EF0"/>
    <w:rsid w:val="3B8033E1"/>
    <w:rsid w:val="3B814871"/>
    <w:rsid w:val="3B8238CA"/>
    <w:rsid w:val="3B835B80"/>
    <w:rsid w:val="3B8406BA"/>
    <w:rsid w:val="3B84690C"/>
    <w:rsid w:val="3B892174"/>
    <w:rsid w:val="3B892C45"/>
    <w:rsid w:val="3B893940"/>
    <w:rsid w:val="3B893F22"/>
    <w:rsid w:val="3B8B6F33"/>
    <w:rsid w:val="3B8C473C"/>
    <w:rsid w:val="3B8C57C0"/>
    <w:rsid w:val="3B8D5BF3"/>
    <w:rsid w:val="3B903503"/>
    <w:rsid w:val="3B9257F6"/>
    <w:rsid w:val="3B934DA1"/>
    <w:rsid w:val="3B9C1EA7"/>
    <w:rsid w:val="3B9D2A47"/>
    <w:rsid w:val="3B9F54F4"/>
    <w:rsid w:val="3B9F72A2"/>
    <w:rsid w:val="3BA174BE"/>
    <w:rsid w:val="3BA36271"/>
    <w:rsid w:val="3BA66882"/>
    <w:rsid w:val="3BA945C4"/>
    <w:rsid w:val="3BAA664E"/>
    <w:rsid w:val="3BAB296D"/>
    <w:rsid w:val="3BAD419C"/>
    <w:rsid w:val="3BAE3989"/>
    <w:rsid w:val="3BAE5737"/>
    <w:rsid w:val="3BB0325D"/>
    <w:rsid w:val="3BB07701"/>
    <w:rsid w:val="3BB31761"/>
    <w:rsid w:val="3BB33409"/>
    <w:rsid w:val="3BB422D1"/>
    <w:rsid w:val="3BB52F69"/>
    <w:rsid w:val="3BB54D17"/>
    <w:rsid w:val="3BB56AC5"/>
    <w:rsid w:val="3BB645EB"/>
    <w:rsid w:val="3BB8063A"/>
    <w:rsid w:val="3BBC42F8"/>
    <w:rsid w:val="3BBD1E1E"/>
    <w:rsid w:val="3BBD1E80"/>
    <w:rsid w:val="3BBE05D2"/>
    <w:rsid w:val="3BBF16F2"/>
    <w:rsid w:val="3BC11D04"/>
    <w:rsid w:val="3BC27434"/>
    <w:rsid w:val="3BC35686"/>
    <w:rsid w:val="3BC74A4B"/>
    <w:rsid w:val="3BC767F9"/>
    <w:rsid w:val="3BC92571"/>
    <w:rsid w:val="3BC9431F"/>
    <w:rsid w:val="3BC96A15"/>
    <w:rsid w:val="3BCB0097"/>
    <w:rsid w:val="3BCE5A48"/>
    <w:rsid w:val="3BCE7B87"/>
    <w:rsid w:val="3BD038FF"/>
    <w:rsid w:val="3BD117F8"/>
    <w:rsid w:val="3BD17677"/>
    <w:rsid w:val="3BD31641"/>
    <w:rsid w:val="3BD50F16"/>
    <w:rsid w:val="3BD93BD8"/>
    <w:rsid w:val="3BDC6748"/>
    <w:rsid w:val="3BDD601C"/>
    <w:rsid w:val="3BDD713C"/>
    <w:rsid w:val="3BDF7FE6"/>
    <w:rsid w:val="3BE03A79"/>
    <w:rsid w:val="3BE60E9B"/>
    <w:rsid w:val="3BE63123"/>
    <w:rsid w:val="3BE64ED1"/>
    <w:rsid w:val="3BE70C49"/>
    <w:rsid w:val="3BE730AC"/>
    <w:rsid w:val="3BE86E9B"/>
    <w:rsid w:val="3BE949C1"/>
    <w:rsid w:val="3BE96342"/>
    <w:rsid w:val="3BE9676F"/>
    <w:rsid w:val="3BE97F2D"/>
    <w:rsid w:val="3BEB543D"/>
    <w:rsid w:val="3BED2703"/>
    <w:rsid w:val="3BEE0229"/>
    <w:rsid w:val="3BEF473F"/>
    <w:rsid w:val="3BF05D4F"/>
    <w:rsid w:val="3BF47D54"/>
    <w:rsid w:val="3BF7618D"/>
    <w:rsid w:val="3BF839C6"/>
    <w:rsid w:val="3BF85ABC"/>
    <w:rsid w:val="3BFA1FDE"/>
    <w:rsid w:val="3BFC64A2"/>
    <w:rsid w:val="3C000A2B"/>
    <w:rsid w:val="3C005315"/>
    <w:rsid w:val="3C017F5D"/>
    <w:rsid w:val="3C027831"/>
    <w:rsid w:val="3C0417FB"/>
    <w:rsid w:val="3C055B17"/>
    <w:rsid w:val="3C067321"/>
    <w:rsid w:val="3C074E47"/>
    <w:rsid w:val="3C07719C"/>
    <w:rsid w:val="3C0812EB"/>
    <w:rsid w:val="3C0C2E19"/>
    <w:rsid w:val="3C0D06AF"/>
    <w:rsid w:val="3C0D4B53"/>
    <w:rsid w:val="3C0E61D6"/>
    <w:rsid w:val="3C0F0570"/>
    <w:rsid w:val="3C0F179A"/>
    <w:rsid w:val="3C1001A0"/>
    <w:rsid w:val="3C101CEF"/>
    <w:rsid w:val="3C1557B6"/>
    <w:rsid w:val="3C16141A"/>
    <w:rsid w:val="3C162914"/>
    <w:rsid w:val="3C1648AE"/>
    <w:rsid w:val="3C165F61"/>
    <w:rsid w:val="3C1732DC"/>
    <w:rsid w:val="3C182584"/>
    <w:rsid w:val="3C195A73"/>
    <w:rsid w:val="3C1B3150"/>
    <w:rsid w:val="3C1C08F2"/>
    <w:rsid w:val="3C1C6B44"/>
    <w:rsid w:val="3C1E0B0E"/>
    <w:rsid w:val="3C1F3C94"/>
    <w:rsid w:val="3C1F4887"/>
    <w:rsid w:val="3C2105FF"/>
    <w:rsid w:val="3C21734C"/>
    <w:rsid w:val="3C243C4B"/>
    <w:rsid w:val="3C243C71"/>
    <w:rsid w:val="3C2459F9"/>
    <w:rsid w:val="3C251AE4"/>
    <w:rsid w:val="3C261771"/>
    <w:rsid w:val="3C265C15"/>
    <w:rsid w:val="3C277297"/>
    <w:rsid w:val="3C2D0D52"/>
    <w:rsid w:val="3C2D2B00"/>
    <w:rsid w:val="3C331AE0"/>
    <w:rsid w:val="3C333E8E"/>
    <w:rsid w:val="3C334632"/>
    <w:rsid w:val="3C3420E0"/>
    <w:rsid w:val="3C3976F6"/>
    <w:rsid w:val="3C3C71E7"/>
    <w:rsid w:val="3C3D6D89"/>
    <w:rsid w:val="3C4147FD"/>
    <w:rsid w:val="3C447E49"/>
    <w:rsid w:val="3C46443A"/>
    <w:rsid w:val="3C4B11D8"/>
    <w:rsid w:val="3C4D31A2"/>
    <w:rsid w:val="3C4D7E6F"/>
    <w:rsid w:val="3C4E2A76"/>
    <w:rsid w:val="3C502C92"/>
    <w:rsid w:val="3C5462DE"/>
    <w:rsid w:val="3C553E04"/>
    <w:rsid w:val="3C575CBD"/>
    <w:rsid w:val="3C5A141B"/>
    <w:rsid w:val="3C5A58BF"/>
    <w:rsid w:val="3C5B6911"/>
    <w:rsid w:val="3C5E715D"/>
    <w:rsid w:val="3C616C4D"/>
    <w:rsid w:val="3C621BB2"/>
    <w:rsid w:val="3C641104"/>
    <w:rsid w:val="3C644BA3"/>
    <w:rsid w:val="3C6504EB"/>
    <w:rsid w:val="3C65673D"/>
    <w:rsid w:val="3C667DC0"/>
    <w:rsid w:val="3C676AC3"/>
    <w:rsid w:val="3C683B38"/>
    <w:rsid w:val="3C687FDC"/>
    <w:rsid w:val="3C69526B"/>
    <w:rsid w:val="3C6960FA"/>
    <w:rsid w:val="3C6A3D54"/>
    <w:rsid w:val="3C6B3628"/>
    <w:rsid w:val="3C6C0D26"/>
    <w:rsid w:val="3C6D114E"/>
    <w:rsid w:val="3C700C3E"/>
    <w:rsid w:val="3C7050E2"/>
    <w:rsid w:val="3C720E5A"/>
    <w:rsid w:val="3C7474B8"/>
    <w:rsid w:val="3C773390"/>
    <w:rsid w:val="3C797AF3"/>
    <w:rsid w:val="3C7A7FD2"/>
    <w:rsid w:val="3C7B738B"/>
    <w:rsid w:val="3C7C5835"/>
    <w:rsid w:val="3C7F5D0C"/>
    <w:rsid w:val="3C830972"/>
    <w:rsid w:val="3C860462"/>
    <w:rsid w:val="3C86449E"/>
    <w:rsid w:val="3C8B21EB"/>
    <w:rsid w:val="3C8B5A78"/>
    <w:rsid w:val="3C8E24EB"/>
    <w:rsid w:val="3C90308E"/>
    <w:rsid w:val="3C90587B"/>
    <w:rsid w:val="3C9115B1"/>
    <w:rsid w:val="3C915DE9"/>
    <w:rsid w:val="3C93597C"/>
    <w:rsid w:val="3C964B49"/>
    <w:rsid w:val="3C990195"/>
    <w:rsid w:val="3C9B215F"/>
    <w:rsid w:val="3C9B3F0D"/>
    <w:rsid w:val="3C9D27CB"/>
    <w:rsid w:val="3C9E57AB"/>
    <w:rsid w:val="3C9F2184"/>
    <w:rsid w:val="3CA07775"/>
    <w:rsid w:val="3CA1529C"/>
    <w:rsid w:val="3CA202DF"/>
    <w:rsid w:val="3CA32DC2"/>
    <w:rsid w:val="3CA628B2"/>
    <w:rsid w:val="3CA8487C"/>
    <w:rsid w:val="3CAA4150"/>
    <w:rsid w:val="3CB13731"/>
    <w:rsid w:val="3CB1566E"/>
    <w:rsid w:val="3CB3037C"/>
    <w:rsid w:val="3CB37BF5"/>
    <w:rsid w:val="3CB61934"/>
    <w:rsid w:val="3CB72D11"/>
    <w:rsid w:val="3CB925E5"/>
    <w:rsid w:val="3CB94393"/>
    <w:rsid w:val="3CB9464B"/>
    <w:rsid w:val="3CBF08B5"/>
    <w:rsid w:val="3CC64D02"/>
    <w:rsid w:val="3CC72F54"/>
    <w:rsid w:val="3CC86CCC"/>
    <w:rsid w:val="3CCA2A44"/>
    <w:rsid w:val="3CD16A44"/>
    <w:rsid w:val="3CD411CD"/>
    <w:rsid w:val="3CD45671"/>
    <w:rsid w:val="3CD70CBD"/>
    <w:rsid w:val="3CDB07AE"/>
    <w:rsid w:val="3CDB7983"/>
    <w:rsid w:val="3CDB7AC3"/>
    <w:rsid w:val="3CDD6728"/>
    <w:rsid w:val="3CDE029E"/>
    <w:rsid w:val="3CE1162D"/>
    <w:rsid w:val="3CE21B3C"/>
    <w:rsid w:val="3CE279C9"/>
    <w:rsid w:val="3CE27D8E"/>
    <w:rsid w:val="3CE358B4"/>
    <w:rsid w:val="3CE55188"/>
    <w:rsid w:val="3CE60F00"/>
    <w:rsid w:val="3CE820FA"/>
    <w:rsid w:val="3CE872A7"/>
    <w:rsid w:val="3CEA2307"/>
    <w:rsid w:val="3CED4ADC"/>
    <w:rsid w:val="3CEE5F6C"/>
    <w:rsid w:val="3CEF24AB"/>
    <w:rsid w:val="3CEF4922"/>
    <w:rsid w:val="3CF25AF7"/>
    <w:rsid w:val="3CF278A5"/>
    <w:rsid w:val="3CF32861"/>
    <w:rsid w:val="3CF34A45"/>
    <w:rsid w:val="3CF90C34"/>
    <w:rsid w:val="3CF950D8"/>
    <w:rsid w:val="3CF96617"/>
    <w:rsid w:val="3CFB2BFE"/>
    <w:rsid w:val="3CFB49AC"/>
    <w:rsid w:val="3CFC7890"/>
    <w:rsid w:val="3CFD2D8E"/>
    <w:rsid w:val="3CFD4BC8"/>
    <w:rsid w:val="3D000381"/>
    <w:rsid w:val="3D0125FB"/>
    <w:rsid w:val="3D015D3A"/>
    <w:rsid w:val="3D021290"/>
    <w:rsid w:val="3D0A1093"/>
    <w:rsid w:val="3D0A75D7"/>
    <w:rsid w:val="3D0C4E0B"/>
    <w:rsid w:val="3D115F7D"/>
    <w:rsid w:val="3D163594"/>
    <w:rsid w:val="3D18555E"/>
    <w:rsid w:val="3D186480"/>
    <w:rsid w:val="3D1C4922"/>
    <w:rsid w:val="3D1C6BC8"/>
    <w:rsid w:val="3D1D2B74"/>
    <w:rsid w:val="3D1E05AE"/>
    <w:rsid w:val="3D204622"/>
    <w:rsid w:val="3D211F38"/>
    <w:rsid w:val="3D22018A"/>
    <w:rsid w:val="3D22462E"/>
    <w:rsid w:val="3D232155"/>
    <w:rsid w:val="3D26209C"/>
    <w:rsid w:val="3D273B89"/>
    <w:rsid w:val="3D2757A1"/>
    <w:rsid w:val="3D2C725B"/>
    <w:rsid w:val="3D2D0C72"/>
    <w:rsid w:val="3D2E2FD3"/>
    <w:rsid w:val="3D2F4655"/>
    <w:rsid w:val="3D324146"/>
    <w:rsid w:val="3D337E9D"/>
    <w:rsid w:val="3D350429"/>
    <w:rsid w:val="3D363C36"/>
    <w:rsid w:val="3D364457"/>
    <w:rsid w:val="3D3659E4"/>
    <w:rsid w:val="3D3A7A4A"/>
    <w:rsid w:val="3D3B56F0"/>
    <w:rsid w:val="3D3D1A63"/>
    <w:rsid w:val="3D3E2AEA"/>
    <w:rsid w:val="3D402D06"/>
    <w:rsid w:val="3D405813"/>
    <w:rsid w:val="3D406863"/>
    <w:rsid w:val="3D43384B"/>
    <w:rsid w:val="3D436353"/>
    <w:rsid w:val="3D49469E"/>
    <w:rsid w:val="3D4C3459"/>
    <w:rsid w:val="3D4D2D2E"/>
    <w:rsid w:val="3D4E5423"/>
    <w:rsid w:val="3D4F2F4A"/>
    <w:rsid w:val="3D4F68F3"/>
    <w:rsid w:val="3D51281E"/>
    <w:rsid w:val="3D514A6B"/>
    <w:rsid w:val="3D540560"/>
    <w:rsid w:val="3D580050"/>
    <w:rsid w:val="3D594F2A"/>
    <w:rsid w:val="3D5A3DC8"/>
    <w:rsid w:val="3D5D11C3"/>
    <w:rsid w:val="3D5D1633"/>
    <w:rsid w:val="3D5D5666"/>
    <w:rsid w:val="3D6562C9"/>
    <w:rsid w:val="3D66037E"/>
    <w:rsid w:val="3D670293"/>
    <w:rsid w:val="3D672041"/>
    <w:rsid w:val="3D684A0B"/>
    <w:rsid w:val="3D6D1627"/>
    <w:rsid w:val="3D6D517E"/>
    <w:rsid w:val="3D7031B1"/>
    <w:rsid w:val="3D7529B0"/>
    <w:rsid w:val="3D755B93"/>
    <w:rsid w:val="3D762284"/>
    <w:rsid w:val="3D781943"/>
    <w:rsid w:val="3D793B23"/>
    <w:rsid w:val="3D7964F0"/>
    <w:rsid w:val="3D7B5AED"/>
    <w:rsid w:val="3D7F382F"/>
    <w:rsid w:val="3D7F4616"/>
    <w:rsid w:val="3D805CA2"/>
    <w:rsid w:val="3D843738"/>
    <w:rsid w:val="3D89020A"/>
    <w:rsid w:val="3D890734"/>
    <w:rsid w:val="3D891FB8"/>
    <w:rsid w:val="3D8B5D00"/>
    <w:rsid w:val="3D8C21EA"/>
    <w:rsid w:val="3D8C3494"/>
    <w:rsid w:val="3D8E5820"/>
    <w:rsid w:val="3D913C2B"/>
    <w:rsid w:val="3D915310"/>
    <w:rsid w:val="3D927C8C"/>
    <w:rsid w:val="3D931088"/>
    <w:rsid w:val="3D954E00"/>
    <w:rsid w:val="3D976D74"/>
    <w:rsid w:val="3D98044D"/>
    <w:rsid w:val="3D980F2D"/>
    <w:rsid w:val="3D9854A5"/>
    <w:rsid w:val="3D98669F"/>
    <w:rsid w:val="3D987913"/>
    <w:rsid w:val="3D991205"/>
    <w:rsid w:val="3D995F73"/>
    <w:rsid w:val="3D9B1CEB"/>
    <w:rsid w:val="3D9D3CB5"/>
    <w:rsid w:val="3D9D5A63"/>
    <w:rsid w:val="3DA412CB"/>
    <w:rsid w:val="3DA54918"/>
    <w:rsid w:val="3DA70690"/>
    <w:rsid w:val="3DA908AC"/>
    <w:rsid w:val="3DA9265A"/>
    <w:rsid w:val="3DAB4624"/>
    <w:rsid w:val="3DAC5CA6"/>
    <w:rsid w:val="3DAD746C"/>
    <w:rsid w:val="3DAE5EC2"/>
    <w:rsid w:val="3DAE69E5"/>
    <w:rsid w:val="3DAF77FE"/>
    <w:rsid w:val="3DB13215"/>
    <w:rsid w:val="3DB159B2"/>
    <w:rsid w:val="3DB246A5"/>
    <w:rsid w:val="3DB26E9C"/>
    <w:rsid w:val="3DB35286"/>
    <w:rsid w:val="3DB37034"/>
    <w:rsid w:val="3DB53BF7"/>
    <w:rsid w:val="3DB67766"/>
    <w:rsid w:val="3DB73891"/>
    <w:rsid w:val="3DBC7E55"/>
    <w:rsid w:val="3DBF1E7D"/>
    <w:rsid w:val="3DBF6FA9"/>
    <w:rsid w:val="3DC00DF5"/>
    <w:rsid w:val="3DC15BF5"/>
    <w:rsid w:val="3DC456E6"/>
    <w:rsid w:val="3DC83E3F"/>
    <w:rsid w:val="3DC868CB"/>
    <w:rsid w:val="3DCB0822"/>
    <w:rsid w:val="3DCC459A"/>
    <w:rsid w:val="3DCE20C0"/>
    <w:rsid w:val="3DCE3E6E"/>
    <w:rsid w:val="3DD05142"/>
    <w:rsid w:val="3DD23C8F"/>
    <w:rsid w:val="3DD5344F"/>
    <w:rsid w:val="3DD72F92"/>
    <w:rsid w:val="3DD75419"/>
    <w:rsid w:val="3DD76D44"/>
    <w:rsid w:val="3DD93D5F"/>
    <w:rsid w:val="3DDA0EE1"/>
    <w:rsid w:val="3DDA6FF1"/>
    <w:rsid w:val="3DDB7C7F"/>
    <w:rsid w:val="3DDC7912"/>
    <w:rsid w:val="3DDD0555"/>
    <w:rsid w:val="3DDD67A7"/>
    <w:rsid w:val="3DE03BA2"/>
    <w:rsid w:val="3DE11DF4"/>
    <w:rsid w:val="3DE32C1F"/>
    <w:rsid w:val="3DE418E4"/>
    <w:rsid w:val="3DE46669"/>
    <w:rsid w:val="3DE47B36"/>
    <w:rsid w:val="3DE73182"/>
    <w:rsid w:val="3DEA29AB"/>
    <w:rsid w:val="3DEC0798"/>
    <w:rsid w:val="3DEC5488"/>
    <w:rsid w:val="3DEE4511"/>
    <w:rsid w:val="3DEE7220"/>
    <w:rsid w:val="3DF15DAF"/>
    <w:rsid w:val="3DF22091"/>
    <w:rsid w:val="3DF243FA"/>
    <w:rsid w:val="3DF338D5"/>
    <w:rsid w:val="3DF51AC7"/>
    <w:rsid w:val="3DF558E8"/>
    <w:rsid w:val="3DF633C5"/>
    <w:rsid w:val="3DF80EEB"/>
    <w:rsid w:val="3DF8713D"/>
    <w:rsid w:val="3DFE6A3F"/>
    <w:rsid w:val="3DFF04CC"/>
    <w:rsid w:val="3E036B27"/>
    <w:rsid w:val="3E081E37"/>
    <w:rsid w:val="3E09134A"/>
    <w:rsid w:val="3E0C1200"/>
    <w:rsid w:val="3E0C52B0"/>
    <w:rsid w:val="3E0E33DE"/>
    <w:rsid w:val="3E0E6961"/>
    <w:rsid w:val="3E0E74AE"/>
    <w:rsid w:val="3E111FAD"/>
    <w:rsid w:val="3E125CDC"/>
    <w:rsid w:val="3E1366B0"/>
    <w:rsid w:val="3E144ED2"/>
    <w:rsid w:val="3E145494"/>
    <w:rsid w:val="3E155F41"/>
    <w:rsid w:val="3E18158D"/>
    <w:rsid w:val="3E1A3557"/>
    <w:rsid w:val="3E1C107E"/>
    <w:rsid w:val="3E1C6F42"/>
    <w:rsid w:val="3E1D6BA4"/>
    <w:rsid w:val="3E1E45BE"/>
    <w:rsid w:val="3E216694"/>
    <w:rsid w:val="3E241CE0"/>
    <w:rsid w:val="3E2A5C68"/>
    <w:rsid w:val="3E2B7513"/>
    <w:rsid w:val="3E2E7003"/>
    <w:rsid w:val="3E2F6F09"/>
    <w:rsid w:val="3E3068D7"/>
    <w:rsid w:val="3E32264F"/>
    <w:rsid w:val="3E352D7B"/>
    <w:rsid w:val="3E3716A2"/>
    <w:rsid w:val="3E376C61"/>
    <w:rsid w:val="3E3C34CE"/>
    <w:rsid w:val="3E3E7246"/>
    <w:rsid w:val="3E3F09AD"/>
    <w:rsid w:val="3E3F20F0"/>
    <w:rsid w:val="3E42660A"/>
    <w:rsid w:val="3E426AC0"/>
    <w:rsid w:val="3E43023F"/>
    <w:rsid w:val="3E436B44"/>
    <w:rsid w:val="3E491747"/>
    <w:rsid w:val="3E4B3283"/>
    <w:rsid w:val="3E4C0B80"/>
    <w:rsid w:val="3E4D5462"/>
    <w:rsid w:val="3E4E3201"/>
    <w:rsid w:val="3E4F0B1A"/>
    <w:rsid w:val="3E507983"/>
    <w:rsid w:val="3E5720B6"/>
    <w:rsid w:val="3E5A1BA6"/>
    <w:rsid w:val="3E5B688B"/>
    <w:rsid w:val="3E5C147A"/>
    <w:rsid w:val="3E5D51F2"/>
    <w:rsid w:val="3E5E4B58"/>
    <w:rsid w:val="3E611FA5"/>
    <w:rsid w:val="3E630A5B"/>
    <w:rsid w:val="3E634E4B"/>
    <w:rsid w:val="3E642A25"/>
    <w:rsid w:val="3E667015"/>
    <w:rsid w:val="3E675C0A"/>
    <w:rsid w:val="3E6842C3"/>
    <w:rsid w:val="3E686071"/>
    <w:rsid w:val="3E693B97"/>
    <w:rsid w:val="3E6B5345"/>
    <w:rsid w:val="3E6B790F"/>
    <w:rsid w:val="3E6D18D9"/>
    <w:rsid w:val="3E6D7D68"/>
    <w:rsid w:val="3E6F5651"/>
    <w:rsid w:val="3E704F26"/>
    <w:rsid w:val="3E740EBA"/>
    <w:rsid w:val="3E774506"/>
    <w:rsid w:val="3E777074"/>
    <w:rsid w:val="3E7A691C"/>
    <w:rsid w:val="3E7E7642"/>
    <w:rsid w:val="3E7F6A62"/>
    <w:rsid w:val="3E805321"/>
    <w:rsid w:val="3E81604A"/>
    <w:rsid w:val="3E8409D1"/>
    <w:rsid w:val="3E854E75"/>
    <w:rsid w:val="3E86299B"/>
    <w:rsid w:val="3E8A248B"/>
    <w:rsid w:val="3E8D3D29"/>
    <w:rsid w:val="3E8E0DB5"/>
    <w:rsid w:val="3E925A00"/>
    <w:rsid w:val="3E9450B8"/>
    <w:rsid w:val="3E950E30"/>
    <w:rsid w:val="3E976956"/>
    <w:rsid w:val="3E987A56"/>
    <w:rsid w:val="3E990920"/>
    <w:rsid w:val="3E99447C"/>
    <w:rsid w:val="3E9B631A"/>
    <w:rsid w:val="3E9E5F37"/>
    <w:rsid w:val="3E9F580B"/>
    <w:rsid w:val="3EA0216F"/>
    <w:rsid w:val="3EA13331"/>
    <w:rsid w:val="3EA22D1A"/>
    <w:rsid w:val="3EA352FB"/>
    <w:rsid w:val="3EA572C5"/>
    <w:rsid w:val="3EA66B99"/>
    <w:rsid w:val="3EAD7F28"/>
    <w:rsid w:val="3EAE23F1"/>
    <w:rsid w:val="3EAF1EF2"/>
    <w:rsid w:val="3EAF3CA0"/>
    <w:rsid w:val="3EB017C6"/>
    <w:rsid w:val="3EB07A18"/>
    <w:rsid w:val="3EBC3265"/>
    <w:rsid w:val="3EBC5573"/>
    <w:rsid w:val="3EBC5719"/>
    <w:rsid w:val="3EBD2DF6"/>
    <w:rsid w:val="3EBD534C"/>
    <w:rsid w:val="3EBE2135"/>
    <w:rsid w:val="3EBF2CE7"/>
    <w:rsid w:val="3EC11C25"/>
    <w:rsid w:val="3EC30E26"/>
    <w:rsid w:val="3EC7548D"/>
    <w:rsid w:val="3EC82FB3"/>
    <w:rsid w:val="3ECD05CA"/>
    <w:rsid w:val="3ECD2378"/>
    <w:rsid w:val="3ED31281"/>
    <w:rsid w:val="3ED454B4"/>
    <w:rsid w:val="3ED5721B"/>
    <w:rsid w:val="3ED656D0"/>
    <w:rsid w:val="3ED731F7"/>
    <w:rsid w:val="3ED74FA5"/>
    <w:rsid w:val="3ED76E74"/>
    <w:rsid w:val="3ED87FC6"/>
    <w:rsid w:val="3ED90D1D"/>
    <w:rsid w:val="3ED95272"/>
    <w:rsid w:val="3EDC0E0A"/>
    <w:rsid w:val="3EDC25BB"/>
    <w:rsid w:val="3EE14075"/>
    <w:rsid w:val="3EE760D4"/>
    <w:rsid w:val="3EE95B47"/>
    <w:rsid w:val="3EE95F28"/>
    <w:rsid w:val="3EED17D0"/>
    <w:rsid w:val="3EED65FE"/>
    <w:rsid w:val="3EEF22EE"/>
    <w:rsid w:val="3EF05D19"/>
    <w:rsid w:val="3EF06066"/>
    <w:rsid w:val="3EF26282"/>
    <w:rsid w:val="3EF47F62"/>
    <w:rsid w:val="3EF73899"/>
    <w:rsid w:val="3EF75453"/>
    <w:rsid w:val="3EF75647"/>
    <w:rsid w:val="3EF92D60"/>
    <w:rsid w:val="3EFC2C5D"/>
    <w:rsid w:val="3EFE69D5"/>
    <w:rsid w:val="3F007868"/>
    <w:rsid w:val="3F055FB6"/>
    <w:rsid w:val="3F081602"/>
    <w:rsid w:val="3F0A537A"/>
    <w:rsid w:val="3F0B5DBE"/>
    <w:rsid w:val="3F0D4E6A"/>
    <w:rsid w:val="3F12188D"/>
    <w:rsid w:val="3F12422F"/>
    <w:rsid w:val="3F125FDD"/>
    <w:rsid w:val="3F1439AE"/>
    <w:rsid w:val="3F147FA7"/>
    <w:rsid w:val="3F16127C"/>
    <w:rsid w:val="3F161AFC"/>
    <w:rsid w:val="3F161F71"/>
    <w:rsid w:val="3F1E7077"/>
    <w:rsid w:val="3F235E61"/>
    <w:rsid w:val="3F253F62"/>
    <w:rsid w:val="3F277CDA"/>
    <w:rsid w:val="3F283A52"/>
    <w:rsid w:val="3F2A1578"/>
    <w:rsid w:val="3F2A2EB3"/>
    <w:rsid w:val="3F2B4343"/>
    <w:rsid w:val="3F2D72BA"/>
    <w:rsid w:val="3F2E2CC4"/>
    <w:rsid w:val="3F304187"/>
    <w:rsid w:val="3F32042D"/>
    <w:rsid w:val="3F333F65"/>
    <w:rsid w:val="3F346B36"/>
    <w:rsid w:val="3F357FC6"/>
    <w:rsid w:val="3F3917BB"/>
    <w:rsid w:val="3F397A0D"/>
    <w:rsid w:val="3F3B5533"/>
    <w:rsid w:val="3F3B572E"/>
    <w:rsid w:val="3F3E3276"/>
    <w:rsid w:val="3F407AB1"/>
    <w:rsid w:val="3F4225CA"/>
    <w:rsid w:val="3F424B14"/>
    <w:rsid w:val="3F441A8C"/>
    <w:rsid w:val="3F450160"/>
    <w:rsid w:val="3F457ABB"/>
    <w:rsid w:val="3F47037C"/>
    <w:rsid w:val="3F485EA2"/>
    <w:rsid w:val="3F4D34B9"/>
    <w:rsid w:val="3F514D57"/>
    <w:rsid w:val="3F536D21"/>
    <w:rsid w:val="3F5605BF"/>
    <w:rsid w:val="3F566811"/>
    <w:rsid w:val="3F591E5E"/>
    <w:rsid w:val="3F5B5BD6"/>
    <w:rsid w:val="3F5C54AA"/>
    <w:rsid w:val="3F5E347E"/>
    <w:rsid w:val="3F604F9A"/>
    <w:rsid w:val="3F633541"/>
    <w:rsid w:val="3F6521F3"/>
    <w:rsid w:val="3F6525B0"/>
    <w:rsid w:val="3F656A54"/>
    <w:rsid w:val="3F666100"/>
    <w:rsid w:val="3F676329"/>
    <w:rsid w:val="3F6A5171"/>
    <w:rsid w:val="3F6B159C"/>
    <w:rsid w:val="3F6F78D3"/>
    <w:rsid w:val="3F7171A7"/>
    <w:rsid w:val="3F724CCD"/>
    <w:rsid w:val="3F732699"/>
    <w:rsid w:val="3F740A45"/>
    <w:rsid w:val="3F744EE9"/>
    <w:rsid w:val="3F746C97"/>
    <w:rsid w:val="3F762A0F"/>
    <w:rsid w:val="3F7647BE"/>
    <w:rsid w:val="3F7722E4"/>
    <w:rsid w:val="3F786788"/>
    <w:rsid w:val="3F7C101A"/>
    <w:rsid w:val="3F7D67BC"/>
    <w:rsid w:val="3F7F7B16"/>
    <w:rsid w:val="3F82048F"/>
    <w:rsid w:val="3F850EA5"/>
    <w:rsid w:val="3F870779"/>
    <w:rsid w:val="3F875618"/>
    <w:rsid w:val="3F8A6C2B"/>
    <w:rsid w:val="3F8E5FAB"/>
    <w:rsid w:val="3F8F6C07"/>
    <w:rsid w:val="3F93536F"/>
    <w:rsid w:val="3F942E96"/>
    <w:rsid w:val="3F953302"/>
    <w:rsid w:val="3F9609BC"/>
    <w:rsid w:val="3F962B31"/>
    <w:rsid w:val="3F975C22"/>
    <w:rsid w:val="3F982986"/>
    <w:rsid w:val="3F9B2476"/>
    <w:rsid w:val="3F9B5FD2"/>
    <w:rsid w:val="3FA00F1E"/>
    <w:rsid w:val="3FAA4098"/>
    <w:rsid w:val="3FAB2B6A"/>
    <w:rsid w:val="3FAD709A"/>
    <w:rsid w:val="3FAE21A9"/>
    <w:rsid w:val="3FAF1A7E"/>
    <w:rsid w:val="3FAF4B16"/>
    <w:rsid w:val="3FB377C0"/>
    <w:rsid w:val="3FB57A23"/>
    <w:rsid w:val="3FB83028"/>
    <w:rsid w:val="3FBA0B4E"/>
    <w:rsid w:val="3FBB48C6"/>
    <w:rsid w:val="3FBB4B17"/>
    <w:rsid w:val="3FBB6674"/>
    <w:rsid w:val="3FBD419A"/>
    <w:rsid w:val="3FBE399E"/>
    <w:rsid w:val="3FBE7F13"/>
    <w:rsid w:val="3FC13A60"/>
    <w:rsid w:val="3FC714BD"/>
    <w:rsid w:val="3FC76DC7"/>
    <w:rsid w:val="3FC90D91"/>
    <w:rsid w:val="3FCB2D5B"/>
    <w:rsid w:val="3FCC0881"/>
    <w:rsid w:val="3FCC0B73"/>
    <w:rsid w:val="3FCC262F"/>
    <w:rsid w:val="3FCC6AD3"/>
    <w:rsid w:val="3FD20B48"/>
    <w:rsid w:val="3FD31C10"/>
    <w:rsid w:val="3FD85478"/>
    <w:rsid w:val="3FD87226"/>
    <w:rsid w:val="3FDA11F0"/>
    <w:rsid w:val="3FDB2873"/>
    <w:rsid w:val="3FDC5BAF"/>
    <w:rsid w:val="3FDE368D"/>
    <w:rsid w:val="3FE15765"/>
    <w:rsid w:val="3FE21E53"/>
    <w:rsid w:val="3FE43E1D"/>
    <w:rsid w:val="3FE45BCB"/>
    <w:rsid w:val="3FE65914"/>
    <w:rsid w:val="3FE75F13"/>
    <w:rsid w:val="3FEA0D08"/>
    <w:rsid w:val="3FEA3008"/>
    <w:rsid w:val="3FEC2CD2"/>
    <w:rsid w:val="3FEC558C"/>
    <w:rsid w:val="3FEC74A8"/>
    <w:rsid w:val="3FED7D16"/>
    <w:rsid w:val="3FEF370A"/>
    <w:rsid w:val="3FF102E8"/>
    <w:rsid w:val="3FF21F03"/>
    <w:rsid w:val="3FF34060"/>
    <w:rsid w:val="3FF37C19"/>
    <w:rsid w:val="3FF43934"/>
    <w:rsid w:val="3FF51B86"/>
    <w:rsid w:val="3FF7269F"/>
    <w:rsid w:val="3FF878C8"/>
    <w:rsid w:val="3FFC1167"/>
    <w:rsid w:val="3FFC1AB1"/>
    <w:rsid w:val="3FFD6B41"/>
    <w:rsid w:val="4004001B"/>
    <w:rsid w:val="4004334A"/>
    <w:rsid w:val="40071B76"/>
    <w:rsid w:val="400A3AF6"/>
    <w:rsid w:val="400B13AA"/>
    <w:rsid w:val="400C2735"/>
    <w:rsid w:val="400E0E9A"/>
    <w:rsid w:val="40101C87"/>
    <w:rsid w:val="4013025E"/>
    <w:rsid w:val="401447D2"/>
    <w:rsid w:val="40153FD6"/>
    <w:rsid w:val="40161AFD"/>
    <w:rsid w:val="40183119"/>
    <w:rsid w:val="40183AC7"/>
    <w:rsid w:val="40185875"/>
    <w:rsid w:val="401A339B"/>
    <w:rsid w:val="401D732F"/>
    <w:rsid w:val="401F75B3"/>
    <w:rsid w:val="40224945"/>
    <w:rsid w:val="4024246B"/>
    <w:rsid w:val="4024421A"/>
    <w:rsid w:val="40291830"/>
    <w:rsid w:val="40295CD4"/>
    <w:rsid w:val="402C1320"/>
    <w:rsid w:val="402E32EA"/>
    <w:rsid w:val="403235CA"/>
    <w:rsid w:val="40353870"/>
    <w:rsid w:val="40381A70"/>
    <w:rsid w:val="40383B92"/>
    <w:rsid w:val="40384169"/>
    <w:rsid w:val="40385F17"/>
    <w:rsid w:val="403B1563"/>
    <w:rsid w:val="403C750D"/>
    <w:rsid w:val="403D352D"/>
    <w:rsid w:val="403E30A6"/>
    <w:rsid w:val="40416145"/>
    <w:rsid w:val="40426159"/>
    <w:rsid w:val="40436D96"/>
    <w:rsid w:val="40442B0E"/>
    <w:rsid w:val="40464190"/>
    <w:rsid w:val="4047615A"/>
    <w:rsid w:val="404822D9"/>
    <w:rsid w:val="40493C80"/>
    <w:rsid w:val="404B3E9C"/>
    <w:rsid w:val="404B7437"/>
    <w:rsid w:val="404C551E"/>
    <w:rsid w:val="404D19C2"/>
    <w:rsid w:val="4050484D"/>
    <w:rsid w:val="40531BF7"/>
    <w:rsid w:val="40541C2A"/>
    <w:rsid w:val="40550877"/>
    <w:rsid w:val="40550B11"/>
    <w:rsid w:val="40566B0D"/>
    <w:rsid w:val="40572841"/>
    <w:rsid w:val="405745EF"/>
    <w:rsid w:val="405B442D"/>
    <w:rsid w:val="405B4825"/>
    <w:rsid w:val="405C410A"/>
    <w:rsid w:val="405D2AA5"/>
    <w:rsid w:val="405E25C9"/>
    <w:rsid w:val="405F5252"/>
    <w:rsid w:val="40632F94"/>
    <w:rsid w:val="40632F9B"/>
    <w:rsid w:val="40640ABA"/>
    <w:rsid w:val="40642868"/>
    <w:rsid w:val="40646D0C"/>
    <w:rsid w:val="406754CF"/>
    <w:rsid w:val="406867FC"/>
    <w:rsid w:val="406F4AE6"/>
    <w:rsid w:val="40730853"/>
    <w:rsid w:val="40730CFD"/>
    <w:rsid w:val="407451A1"/>
    <w:rsid w:val="40750F19"/>
    <w:rsid w:val="40754A75"/>
    <w:rsid w:val="4077799F"/>
    <w:rsid w:val="407A02DD"/>
    <w:rsid w:val="407A208B"/>
    <w:rsid w:val="407C5E04"/>
    <w:rsid w:val="407F58F4"/>
    <w:rsid w:val="407F5D81"/>
    <w:rsid w:val="40844CB8"/>
    <w:rsid w:val="40872C3D"/>
    <w:rsid w:val="408803E4"/>
    <w:rsid w:val="408847A8"/>
    <w:rsid w:val="408B6047"/>
    <w:rsid w:val="408D2437"/>
    <w:rsid w:val="408E3D89"/>
    <w:rsid w:val="408E5B37"/>
    <w:rsid w:val="408F1FDB"/>
    <w:rsid w:val="409018AF"/>
    <w:rsid w:val="40905D53"/>
    <w:rsid w:val="40906885"/>
    <w:rsid w:val="40916482"/>
    <w:rsid w:val="40917C36"/>
    <w:rsid w:val="40956EC5"/>
    <w:rsid w:val="40982185"/>
    <w:rsid w:val="409A17EE"/>
    <w:rsid w:val="409A44DC"/>
    <w:rsid w:val="409E221E"/>
    <w:rsid w:val="409F1AF2"/>
    <w:rsid w:val="409F5F96"/>
    <w:rsid w:val="40A13ABC"/>
    <w:rsid w:val="40A2452F"/>
    <w:rsid w:val="40A43FE1"/>
    <w:rsid w:val="40A47108"/>
    <w:rsid w:val="40A565A2"/>
    <w:rsid w:val="40A610D2"/>
    <w:rsid w:val="40A8309D"/>
    <w:rsid w:val="40A84E4B"/>
    <w:rsid w:val="40A92971"/>
    <w:rsid w:val="40AE7556"/>
    <w:rsid w:val="40AE7F87"/>
    <w:rsid w:val="40B27A77"/>
    <w:rsid w:val="40B3559D"/>
    <w:rsid w:val="40B414F2"/>
    <w:rsid w:val="40B41A41"/>
    <w:rsid w:val="40B41B13"/>
    <w:rsid w:val="40B60FC7"/>
    <w:rsid w:val="40B67953"/>
    <w:rsid w:val="40B82BB4"/>
    <w:rsid w:val="40B90E06"/>
    <w:rsid w:val="40B943DC"/>
    <w:rsid w:val="40BE466E"/>
    <w:rsid w:val="40C31C84"/>
    <w:rsid w:val="40C477AB"/>
    <w:rsid w:val="40C94DC1"/>
    <w:rsid w:val="40CD2B03"/>
    <w:rsid w:val="40D169AB"/>
    <w:rsid w:val="40D2111D"/>
    <w:rsid w:val="40D211F8"/>
    <w:rsid w:val="40D21EC7"/>
    <w:rsid w:val="40D43E92"/>
    <w:rsid w:val="40D53766"/>
    <w:rsid w:val="40D75730"/>
    <w:rsid w:val="40DB0111"/>
    <w:rsid w:val="40DB5220"/>
    <w:rsid w:val="40DD2FF6"/>
    <w:rsid w:val="40DE6ABE"/>
    <w:rsid w:val="40EB11DB"/>
    <w:rsid w:val="40EB2F89"/>
    <w:rsid w:val="40EB7427"/>
    <w:rsid w:val="40ED0AAF"/>
    <w:rsid w:val="40ED0BD9"/>
    <w:rsid w:val="40ED5808"/>
    <w:rsid w:val="40EE65D6"/>
    <w:rsid w:val="40EF1E66"/>
    <w:rsid w:val="40EF2A79"/>
    <w:rsid w:val="40F40090"/>
    <w:rsid w:val="40F45458"/>
    <w:rsid w:val="40F6359C"/>
    <w:rsid w:val="40F63E08"/>
    <w:rsid w:val="40F94DDB"/>
    <w:rsid w:val="40F956A6"/>
    <w:rsid w:val="40FA3B7C"/>
    <w:rsid w:val="40FE1BD0"/>
    <w:rsid w:val="41004C87"/>
    <w:rsid w:val="410061AC"/>
    <w:rsid w:val="41017CFA"/>
    <w:rsid w:val="410436E2"/>
    <w:rsid w:val="4105404B"/>
    <w:rsid w:val="41083B3B"/>
    <w:rsid w:val="410A6D03"/>
    <w:rsid w:val="410B53D9"/>
    <w:rsid w:val="410B7187"/>
    <w:rsid w:val="410D4CAE"/>
    <w:rsid w:val="410D73A4"/>
    <w:rsid w:val="410F6C78"/>
    <w:rsid w:val="4110479E"/>
    <w:rsid w:val="411249BA"/>
    <w:rsid w:val="41156814"/>
    <w:rsid w:val="41171FD0"/>
    <w:rsid w:val="41197AF6"/>
    <w:rsid w:val="411C61F6"/>
    <w:rsid w:val="411E335F"/>
    <w:rsid w:val="4120126E"/>
    <w:rsid w:val="41214BFD"/>
    <w:rsid w:val="412458BE"/>
    <w:rsid w:val="4125649B"/>
    <w:rsid w:val="41265D6F"/>
    <w:rsid w:val="41272213"/>
    <w:rsid w:val="41297BA8"/>
    <w:rsid w:val="412C31AD"/>
    <w:rsid w:val="412F10C8"/>
    <w:rsid w:val="41303717"/>
    <w:rsid w:val="41313092"/>
    <w:rsid w:val="4134048C"/>
    <w:rsid w:val="413B1290"/>
    <w:rsid w:val="413C5988"/>
    <w:rsid w:val="41406E31"/>
    <w:rsid w:val="41432DC5"/>
    <w:rsid w:val="41443ACF"/>
    <w:rsid w:val="414508EB"/>
    <w:rsid w:val="41455C40"/>
    <w:rsid w:val="4145630B"/>
    <w:rsid w:val="41466412"/>
    <w:rsid w:val="414A5853"/>
    <w:rsid w:val="414A5F02"/>
    <w:rsid w:val="414B62A2"/>
    <w:rsid w:val="414C56AB"/>
    <w:rsid w:val="41526B64"/>
    <w:rsid w:val="4154127B"/>
    <w:rsid w:val="41562AF9"/>
    <w:rsid w:val="41586871"/>
    <w:rsid w:val="41594397"/>
    <w:rsid w:val="415B162D"/>
    <w:rsid w:val="415B43C7"/>
    <w:rsid w:val="415B7B1D"/>
    <w:rsid w:val="415C79E3"/>
    <w:rsid w:val="415D1794"/>
    <w:rsid w:val="415E19AD"/>
    <w:rsid w:val="415E7F28"/>
    <w:rsid w:val="41601281"/>
    <w:rsid w:val="4162149D"/>
    <w:rsid w:val="41635215"/>
    <w:rsid w:val="41636FC4"/>
    <w:rsid w:val="41646408"/>
    <w:rsid w:val="41650392"/>
    <w:rsid w:val="4168282C"/>
    <w:rsid w:val="4169100C"/>
    <w:rsid w:val="416D399E"/>
    <w:rsid w:val="416F3BBA"/>
    <w:rsid w:val="41710001"/>
    <w:rsid w:val="4171747B"/>
    <w:rsid w:val="41740393"/>
    <w:rsid w:val="4175211D"/>
    <w:rsid w:val="41766CF7"/>
    <w:rsid w:val="4177586D"/>
    <w:rsid w:val="417967E7"/>
    <w:rsid w:val="417B7450"/>
    <w:rsid w:val="417D0085"/>
    <w:rsid w:val="417E5BAB"/>
    <w:rsid w:val="417F2C6B"/>
    <w:rsid w:val="418036D2"/>
    <w:rsid w:val="41803B67"/>
    <w:rsid w:val="41807753"/>
    <w:rsid w:val="41820F87"/>
    <w:rsid w:val="418238EE"/>
    <w:rsid w:val="41827323"/>
    <w:rsid w:val="41850CE8"/>
    <w:rsid w:val="418A4550"/>
    <w:rsid w:val="418C02C8"/>
    <w:rsid w:val="418C0797"/>
    <w:rsid w:val="418D4040"/>
    <w:rsid w:val="418D5088"/>
    <w:rsid w:val="418F600A"/>
    <w:rsid w:val="418F7DB9"/>
    <w:rsid w:val="419158DF"/>
    <w:rsid w:val="41931657"/>
    <w:rsid w:val="4193737A"/>
    <w:rsid w:val="419453CF"/>
    <w:rsid w:val="419504B9"/>
    <w:rsid w:val="41984EBF"/>
    <w:rsid w:val="41986C6D"/>
    <w:rsid w:val="419929D9"/>
    <w:rsid w:val="419A3E69"/>
    <w:rsid w:val="419B49AF"/>
    <w:rsid w:val="419C135A"/>
    <w:rsid w:val="419C3B9F"/>
    <w:rsid w:val="41A5138A"/>
    <w:rsid w:val="41A82C28"/>
    <w:rsid w:val="41A90E7A"/>
    <w:rsid w:val="41A970CC"/>
    <w:rsid w:val="41AA2E44"/>
    <w:rsid w:val="41AC5018"/>
    <w:rsid w:val="41AE46E3"/>
    <w:rsid w:val="41AF045B"/>
    <w:rsid w:val="41B10A03"/>
    <w:rsid w:val="41B37891"/>
    <w:rsid w:val="41B45A71"/>
    <w:rsid w:val="41B4781F"/>
    <w:rsid w:val="41BA30C2"/>
    <w:rsid w:val="41BB6E00"/>
    <w:rsid w:val="41BD387A"/>
    <w:rsid w:val="41BD4926"/>
    <w:rsid w:val="41BD7202"/>
    <w:rsid w:val="41BE244C"/>
    <w:rsid w:val="41BF069E"/>
    <w:rsid w:val="41C05B83"/>
    <w:rsid w:val="41C061C4"/>
    <w:rsid w:val="41C07F72"/>
    <w:rsid w:val="41C23CEA"/>
    <w:rsid w:val="41C51A2C"/>
    <w:rsid w:val="41C53741"/>
    <w:rsid w:val="41C9151C"/>
    <w:rsid w:val="41CC6917"/>
    <w:rsid w:val="41CD0038"/>
    <w:rsid w:val="41CE268F"/>
    <w:rsid w:val="41D028AB"/>
    <w:rsid w:val="41D1217F"/>
    <w:rsid w:val="41D4160C"/>
    <w:rsid w:val="41D81760"/>
    <w:rsid w:val="41D83E0A"/>
    <w:rsid w:val="41D852BC"/>
    <w:rsid w:val="41DB1250"/>
    <w:rsid w:val="41DD6D76"/>
    <w:rsid w:val="41E0160C"/>
    <w:rsid w:val="41E2613A"/>
    <w:rsid w:val="41E41EB2"/>
    <w:rsid w:val="41E445B4"/>
    <w:rsid w:val="41E45249"/>
    <w:rsid w:val="41E55C2A"/>
    <w:rsid w:val="41E9396D"/>
    <w:rsid w:val="41E974C9"/>
    <w:rsid w:val="41EC6FB9"/>
    <w:rsid w:val="41ED7834"/>
    <w:rsid w:val="41F22153"/>
    <w:rsid w:val="41F52311"/>
    <w:rsid w:val="41F540C0"/>
    <w:rsid w:val="41F61BE6"/>
    <w:rsid w:val="41F82483"/>
    <w:rsid w:val="41F84EDC"/>
    <w:rsid w:val="41F8748F"/>
    <w:rsid w:val="41FA16D6"/>
    <w:rsid w:val="41FA7928"/>
    <w:rsid w:val="41FB71FC"/>
    <w:rsid w:val="41FC1F57"/>
    <w:rsid w:val="41FC3D74"/>
    <w:rsid w:val="41FE3818"/>
    <w:rsid w:val="41FF0A9A"/>
    <w:rsid w:val="41FF6CEC"/>
    <w:rsid w:val="420324D5"/>
    <w:rsid w:val="42042555"/>
    <w:rsid w:val="420662CD"/>
    <w:rsid w:val="42073DF3"/>
    <w:rsid w:val="42091919"/>
    <w:rsid w:val="42092309"/>
    <w:rsid w:val="42097B6B"/>
    <w:rsid w:val="420F08E9"/>
    <w:rsid w:val="420F2CA7"/>
    <w:rsid w:val="42100EF9"/>
    <w:rsid w:val="42116A20"/>
    <w:rsid w:val="421309EA"/>
    <w:rsid w:val="42132D54"/>
    <w:rsid w:val="421367AF"/>
    <w:rsid w:val="421557A0"/>
    <w:rsid w:val="42165DE4"/>
    <w:rsid w:val="421729DE"/>
    <w:rsid w:val="42177BD6"/>
    <w:rsid w:val="421813AE"/>
    <w:rsid w:val="421B164C"/>
    <w:rsid w:val="421B33FA"/>
    <w:rsid w:val="42254279"/>
    <w:rsid w:val="42261A4B"/>
    <w:rsid w:val="422728BD"/>
    <w:rsid w:val="42274495"/>
    <w:rsid w:val="422A57D8"/>
    <w:rsid w:val="422B4565"/>
    <w:rsid w:val="422C2522"/>
    <w:rsid w:val="422C694B"/>
    <w:rsid w:val="422E1028"/>
    <w:rsid w:val="422E137F"/>
    <w:rsid w:val="422F6EA6"/>
    <w:rsid w:val="42312C1E"/>
    <w:rsid w:val="42334885"/>
    <w:rsid w:val="4234420A"/>
    <w:rsid w:val="42360234"/>
    <w:rsid w:val="42360659"/>
    <w:rsid w:val="4236692B"/>
    <w:rsid w:val="423729B6"/>
    <w:rsid w:val="42373E75"/>
    <w:rsid w:val="423821FE"/>
    <w:rsid w:val="423948E8"/>
    <w:rsid w:val="423C2277"/>
    <w:rsid w:val="423D5A66"/>
    <w:rsid w:val="424132E7"/>
    <w:rsid w:val="42417305"/>
    <w:rsid w:val="424402BA"/>
    <w:rsid w:val="424741EF"/>
    <w:rsid w:val="42485F46"/>
    <w:rsid w:val="4249440B"/>
    <w:rsid w:val="42497F67"/>
    <w:rsid w:val="424B0183"/>
    <w:rsid w:val="424C6530"/>
    <w:rsid w:val="424E37D0"/>
    <w:rsid w:val="42500DFE"/>
    <w:rsid w:val="425036DE"/>
    <w:rsid w:val="4250579A"/>
    <w:rsid w:val="425132C0"/>
    <w:rsid w:val="42523DFF"/>
    <w:rsid w:val="4255690C"/>
    <w:rsid w:val="42563E10"/>
    <w:rsid w:val="42576B28"/>
    <w:rsid w:val="425C592F"/>
    <w:rsid w:val="425D1C65"/>
    <w:rsid w:val="42633843"/>
    <w:rsid w:val="426506F5"/>
    <w:rsid w:val="426614A1"/>
    <w:rsid w:val="42677EC5"/>
    <w:rsid w:val="426E5C20"/>
    <w:rsid w:val="42725666"/>
    <w:rsid w:val="42733236"/>
    <w:rsid w:val="42755200"/>
    <w:rsid w:val="42784485"/>
    <w:rsid w:val="42784CF1"/>
    <w:rsid w:val="42790A19"/>
    <w:rsid w:val="427A2817"/>
    <w:rsid w:val="427C2114"/>
    <w:rsid w:val="427C658F"/>
    <w:rsid w:val="427D40B5"/>
    <w:rsid w:val="427D6F5C"/>
    <w:rsid w:val="427E2307"/>
    <w:rsid w:val="427F1BDB"/>
    <w:rsid w:val="4281740F"/>
    <w:rsid w:val="42845A81"/>
    <w:rsid w:val="42855386"/>
    <w:rsid w:val="42876B0E"/>
    <w:rsid w:val="42894808"/>
    <w:rsid w:val="428C42F8"/>
    <w:rsid w:val="4290173E"/>
    <w:rsid w:val="4290203A"/>
    <w:rsid w:val="42905B96"/>
    <w:rsid w:val="4295453E"/>
    <w:rsid w:val="42975177"/>
    <w:rsid w:val="429B5450"/>
    <w:rsid w:val="429D6505"/>
    <w:rsid w:val="429E54E9"/>
    <w:rsid w:val="429F402B"/>
    <w:rsid w:val="42A16B6B"/>
    <w:rsid w:val="42A24401"/>
    <w:rsid w:val="42A81132"/>
    <w:rsid w:val="42A87384"/>
    <w:rsid w:val="42AB38E9"/>
    <w:rsid w:val="42AE0712"/>
    <w:rsid w:val="42B37AD7"/>
    <w:rsid w:val="42B47DF6"/>
    <w:rsid w:val="42B555FD"/>
    <w:rsid w:val="42B55CBC"/>
    <w:rsid w:val="42B717A5"/>
    <w:rsid w:val="42B86E9B"/>
    <w:rsid w:val="42B9463D"/>
    <w:rsid w:val="42BC2E2F"/>
    <w:rsid w:val="42BC6182"/>
    <w:rsid w:val="42BD2703"/>
    <w:rsid w:val="42BD3DE4"/>
    <w:rsid w:val="42BF022A"/>
    <w:rsid w:val="42BF13A8"/>
    <w:rsid w:val="42C41CE4"/>
    <w:rsid w:val="42C5616E"/>
    <w:rsid w:val="42C57F36"/>
    <w:rsid w:val="42C85330"/>
    <w:rsid w:val="42CA5742"/>
    <w:rsid w:val="42CC4011"/>
    <w:rsid w:val="42CD0B98"/>
    <w:rsid w:val="42CE4911"/>
    <w:rsid w:val="42CF2B62"/>
    <w:rsid w:val="42CF6863"/>
    <w:rsid w:val="42D02437"/>
    <w:rsid w:val="42D13D54"/>
    <w:rsid w:val="42D24401"/>
    <w:rsid w:val="42D2694F"/>
    <w:rsid w:val="42D45207"/>
    <w:rsid w:val="42D57A4D"/>
    <w:rsid w:val="42D924E6"/>
    <w:rsid w:val="42DA497E"/>
    <w:rsid w:val="42DA5B4A"/>
    <w:rsid w:val="42DE6CA5"/>
    <w:rsid w:val="42DF267A"/>
    <w:rsid w:val="42E12896"/>
    <w:rsid w:val="42E2739A"/>
    <w:rsid w:val="42E303BC"/>
    <w:rsid w:val="42E404BF"/>
    <w:rsid w:val="42E44449"/>
    <w:rsid w:val="42E45EE2"/>
    <w:rsid w:val="42E47C90"/>
    <w:rsid w:val="42E5626D"/>
    <w:rsid w:val="42E67EAC"/>
    <w:rsid w:val="42E87780"/>
    <w:rsid w:val="42EB74CC"/>
    <w:rsid w:val="42EC4206"/>
    <w:rsid w:val="42EC59EC"/>
    <w:rsid w:val="42EF6D61"/>
    <w:rsid w:val="42EF7550"/>
    <w:rsid w:val="42F04887"/>
    <w:rsid w:val="42F876AF"/>
    <w:rsid w:val="42F9198D"/>
    <w:rsid w:val="42FA5706"/>
    <w:rsid w:val="42FB0D2D"/>
    <w:rsid w:val="42FC76D0"/>
    <w:rsid w:val="42FE0282"/>
    <w:rsid w:val="42FE2D71"/>
    <w:rsid w:val="42FF63E5"/>
    <w:rsid w:val="43010842"/>
    <w:rsid w:val="43016A94"/>
    <w:rsid w:val="4303280C"/>
    <w:rsid w:val="430345BA"/>
    <w:rsid w:val="43047CC4"/>
    <w:rsid w:val="430622FC"/>
    <w:rsid w:val="43081BD1"/>
    <w:rsid w:val="430A574A"/>
    <w:rsid w:val="430A5AF2"/>
    <w:rsid w:val="430B7913"/>
    <w:rsid w:val="43104143"/>
    <w:rsid w:val="431139DF"/>
    <w:rsid w:val="43122A4F"/>
    <w:rsid w:val="431324CB"/>
    <w:rsid w:val="431337EC"/>
    <w:rsid w:val="43134C02"/>
    <w:rsid w:val="43144A19"/>
    <w:rsid w:val="431467C7"/>
    <w:rsid w:val="431542ED"/>
    <w:rsid w:val="431628F3"/>
    <w:rsid w:val="43170066"/>
    <w:rsid w:val="431A1904"/>
    <w:rsid w:val="4320516C"/>
    <w:rsid w:val="43222C8B"/>
    <w:rsid w:val="43244531"/>
    <w:rsid w:val="432602A9"/>
    <w:rsid w:val="432664FB"/>
    <w:rsid w:val="43271946"/>
    <w:rsid w:val="43284021"/>
    <w:rsid w:val="43285FDD"/>
    <w:rsid w:val="43291B47"/>
    <w:rsid w:val="432A5FEB"/>
    <w:rsid w:val="432B1D63"/>
    <w:rsid w:val="432E715D"/>
    <w:rsid w:val="432F1853"/>
    <w:rsid w:val="432F3601"/>
    <w:rsid w:val="432F53AF"/>
    <w:rsid w:val="433008A3"/>
    <w:rsid w:val="43301127"/>
    <w:rsid w:val="43302ED5"/>
    <w:rsid w:val="433230F1"/>
    <w:rsid w:val="43326EBF"/>
    <w:rsid w:val="43337E46"/>
    <w:rsid w:val="433429C6"/>
    <w:rsid w:val="43362BE2"/>
    <w:rsid w:val="43370708"/>
    <w:rsid w:val="433C46B1"/>
    <w:rsid w:val="433C5D1E"/>
    <w:rsid w:val="433E3844"/>
    <w:rsid w:val="43436B74"/>
    <w:rsid w:val="434370AD"/>
    <w:rsid w:val="4346094B"/>
    <w:rsid w:val="43476B9D"/>
    <w:rsid w:val="4348021F"/>
    <w:rsid w:val="43480943"/>
    <w:rsid w:val="434A25E2"/>
    <w:rsid w:val="434F15AD"/>
    <w:rsid w:val="43500F47"/>
    <w:rsid w:val="4351362D"/>
    <w:rsid w:val="43562A7C"/>
    <w:rsid w:val="43570DAA"/>
    <w:rsid w:val="4359242C"/>
    <w:rsid w:val="435A0E6C"/>
    <w:rsid w:val="435C016E"/>
    <w:rsid w:val="435C1F1C"/>
    <w:rsid w:val="435C668D"/>
    <w:rsid w:val="435D1CBC"/>
    <w:rsid w:val="435D672D"/>
    <w:rsid w:val="435E3EE6"/>
    <w:rsid w:val="436112E1"/>
    <w:rsid w:val="436125E9"/>
    <w:rsid w:val="436444D1"/>
    <w:rsid w:val="43664B49"/>
    <w:rsid w:val="43670FED"/>
    <w:rsid w:val="43675A04"/>
    <w:rsid w:val="436B215F"/>
    <w:rsid w:val="436D7078"/>
    <w:rsid w:val="436D7875"/>
    <w:rsid w:val="437270F3"/>
    <w:rsid w:val="43727992"/>
    <w:rsid w:val="43741014"/>
    <w:rsid w:val="43752EA3"/>
    <w:rsid w:val="43770B04"/>
    <w:rsid w:val="437C436D"/>
    <w:rsid w:val="437C611B"/>
    <w:rsid w:val="437E6337"/>
    <w:rsid w:val="437F1963"/>
    <w:rsid w:val="438032AF"/>
    <w:rsid w:val="43805C0B"/>
    <w:rsid w:val="438324EF"/>
    <w:rsid w:val="438374A9"/>
    <w:rsid w:val="438B2B40"/>
    <w:rsid w:val="438B3EA6"/>
    <w:rsid w:val="438C0A54"/>
    <w:rsid w:val="438F22F2"/>
    <w:rsid w:val="438F40A0"/>
    <w:rsid w:val="43903A09"/>
    <w:rsid w:val="43911BC6"/>
    <w:rsid w:val="4391606A"/>
    <w:rsid w:val="439334F1"/>
    <w:rsid w:val="439478BC"/>
    <w:rsid w:val="439671DC"/>
    <w:rsid w:val="43990038"/>
    <w:rsid w:val="439B47F3"/>
    <w:rsid w:val="439B7EFA"/>
    <w:rsid w:val="439C0680"/>
    <w:rsid w:val="439E2535"/>
    <w:rsid w:val="43A0005B"/>
    <w:rsid w:val="43A044FF"/>
    <w:rsid w:val="43A062AD"/>
    <w:rsid w:val="43A22025"/>
    <w:rsid w:val="43A27383"/>
    <w:rsid w:val="43A51B15"/>
    <w:rsid w:val="43A55454"/>
    <w:rsid w:val="43A63197"/>
    <w:rsid w:val="43AD4526"/>
    <w:rsid w:val="43AF5375"/>
    <w:rsid w:val="43B12268"/>
    <w:rsid w:val="43B21B3C"/>
    <w:rsid w:val="43B36BDA"/>
    <w:rsid w:val="43B41D58"/>
    <w:rsid w:val="43B43B06"/>
    <w:rsid w:val="43B50336"/>
    <w:rsid w:val="43B571B3"/>
    <w:rsid w:val="43B70A87"/>
    <w:rsid w:val="43B9111D"/>
    <w:rsid w:val="43BB30E7"/>
    <w:rsid w:val="43C006FD"/>
    <w:rsid w:val="43C024AB"/>
    <w:rsid w:val="43C24475"/>
    <w:rsid w:val="43C27FD1"/>
    <w:rsid w:val="43C401ED"/>
    <w:rsid w:val="43C875B2"/>
    <w:rsid w:val="43C95804"/>
    <w:rsid w:val="43CA280D"/>
    <w:rsid w:val="43CA50D8"/>
    <w:rsid w:val="43CB512D"/>
    <w:rsid w:val="43CD4BC8"/>
    <w:rsid w:val="43CF0940"/>
    <w:rsid w:val="43CF66A8"/>
    <w:rsid w:val="43CF6B92"/>
    <w:rsid w:val="43D23F8D"/>
    <w:rsid w:val="43D353AE"/>
    <w:rsid w:val="43D561DF"/>
    <w:rsid w:val="43D9356D"/>
    <w:rsid w:val="43DD12AF"/>
    <w:rsid w:val="43DE0B83"/>
    <w:rsid w:val="43DF0CFD"/>
    <w:rsid w:val="43E0474A"/>
    <w:rsid w:val="43E22422"/>
    <w:rsid w:val="43E70A6D"/>
    <w:rsid w:val="43ED5FF6"/>
    <w:rsid w:val="43EF4B3E"/>
    <w:rsid w:val="43F247C7"/>
    <w:rsid w:val="43F263DD"/>
    <w:rsid w:val="43F403A7"/>
    <w:rsid w:val="43F42155"/>
    <w:rsid w:val="43F43707"/>
    <w:rsid w:val="43F54F5F"/>
    <w:rsid w:val="43F60C8F"/>
    <w:rsid w:val="43F6411F"/>
    <w:rsid w:val="43FB1F87"/>
    <w:rsid w:val="43FB7987"/>
    <w:rsid w:val="43FC36AC"/>
    <w:rsid w:val="44000AFA"/>
    <w:rsid w:val="44005B0F"/>
    <w:rsid w:val="44006D4C"/>
    <w:rsid w:val="44020D16"/>
    <w:rsid w:val="44024872"/>
    <w:rsid w:val="4404683C"/>
    <w:rsid w:val="44054362"/>
    <w:rsid w:val="440700DA"/>
    <w:rsid w:val="440920A4"/>
    <w:rsid w:val="440B79EF"/>
    <w:rsid w:val="440D6D0B"/>
    <w:rsid w:val="440F0F41"/>
    <w:rsid w:val="44114AB5"/>
    <w:rsid w:val="441822E7"/>
    <w:rsid w:val="44191BBB"/>
    <w:rsid w:val="441E71D2"/>
    <w:rsid w:val="441F3676"/>
    <w:rsid w:val="4420119C"/>
    <w:rsid w:val="44202F4A"/>
    <w:rsid w:val="44224F14"/>
    <w:rsid w:val="4423303D"/>
    <w:rsid w:val="44240C8C"/>
    <w:rsid w:val="44254A04"/>
    <w:rsid w:val="442567B2"/>
    <w:rsid w:val="4427077C"/>
    <w:rsid w:val="442962A2"/>
    <w:rsid w:val="442A5B77"/>
    <w:rsid w:val="442B0C3B"/>
    <w:rsid w:val="442C18EF"/>
    <w:rsid w:val="442C2E1A"/>
    <w:rsid w:val="442C5D93"/>
    <w:rsid w:val="442E1B0B"/>
    <w:rsid w:val="442F084E"/>
    <w:rsid w:val="442F13DF"/>
    <w:rsid w:val="442F39F3"/>
    <w:rsid w:val="44307631"/>
    <w:rsid w:val="44315157"/>
    <w:rsid w:val="44330ECF"/>
    <w:rsid w:val="443417CC"/>
    <w:rsid w:val="44357FE6"/>
    <w:rsid w:val="44361FAA"/>
    <w:rsid w:val="4436451B"/>
    <w:rsid w:val="443B4F0B"/>
    <w:rsid w:val="443B7D84"/>
    <w:rsid w:val="443B7E95"/>
    <w:rsid w:val="443C4228"/>
    <w:rsid w:val="443F7874"/>
    <w:rsid w:val="44424068"/>
    <w:rsid w:val="44446C38"/>
    <w:rsid w:val="444529B0"/>
    <w:rsid w:val="44476729"/>
    <w:rsid w:val="44496945"/>
    <w:rsid w:val="444B446B"/>
    <w:rsid w:val="444C1F91"/>
    <w:rsid w:val="44511355"/>
    <w:rsid w:val="44531571"/>
    <w:rsid w:val="445350CD"/>
    <w:rsid w:val="445416BA"/>
    <w:rsid w:val="4454269D"/>
    <w:rsid w:val="44557097"/>
    <w:rsid w:val="44564BBE"/>
    <w:rsid w:val="44613C8E"/>
    <w:rsid w:val="44631020"/>
    <w:rsid w:val="4464215F"/>
    <w:rsid w:val="4464552C"/>
    <w:rsid w:val="44686F7B"/>
    <w:rsid w:val="446B68BB"/>
    <w:rsid w:val="446C618F"/>
    <w:rsid w:val="446D7400"/>
    <w:rsid w:val="446F7A2D"/>
    <w:rsid w:val="44703ED1"/>
    <w:rsid w:val="4473751E"/>
    <w:rsid w:val="4475773A"/>
    <w:rsid w:val="44765407"/>
    <w:rsid w:val="44784A74"/>
    <w:rsid w:val="44784B34"/>
    <w:rsid w:val="447A08AC"/>
    <w:rsid w:val="447A7E96"/>
    <w:rsid w:val="447C2876"/>
    <w:rsid w:val="447D6AFD"/>
    <w:rsid w:val="44800952"/>
    <w:rsid w:val="448528B4"/>
    <w:rsid w:val="44870170"/>
    <w:rsid w:val="4487121B"/>
    <w:rsid w:val="44872FC9"/>
    <w:rsid w:val="4488746D"/>
    <w:rsid w:val="448B0D0B"/>
    <w:rsid w:val="448B58BB"/>
    <w:rsid w:val="448C05DF"/>
    <w:rsid w:val="448C1F75"/>
    <w:rsid w:val="448C6831"/>
    <w:rsid w:val="448E07FB"/>
    <w:rsid w:val="448F34CE"/>
    <w:rsid w:val="449000D0"/>
    <w:rsid w:val="44953938"/>
    <w:rsid w:val="44973D85"/>
    <w:rsid w:val="44974FF2"/>
    <w:rsid w:val="44983428"/>
    <w:rsid w:val="44992558"/>
    <w:rsid w:val="449B0822"/>
    <w:rsid w:val="449F34A1"/>
    <w:rsid w:val="449F47B6"/>
    <w:rsid w:val="44A07623"/>
    <w:rsid w:val="44A21BB1"/>
    <w:rsid w:val="44A32AC2"/>
    <w:rsid w:val="44A43B7B"/>
    <w:rsid w:val="44A66F1C"/>
    <w:rsid w:val="44AD0C81"/>
    <w:rsid w:val="44B042E0"/>
    <w:rsid w:val="44B57B36"/>
    <w:rsid w:val="44B7553B"/>
    <w:rsid w:val="44B85878"/>
    <w:rsid w:val="44C10289"/>
    <w:rsid w:val="44C167B8"/>
    <w:rsid w:val="44C71617"/>
    <w:rsid w:val="44C75CC5"/>
    <w:rsid w:val="44C75D5F"/>
    <w:rsid w:val="44CA739B"/>
    <w:rsid w:val="44CB1108"/>
    <w:rsid w:val="44CD1E9C"/>
    <w:rsid w:val="44CD7B1C"/>
    <w:rsid w:val="44D161EA"/>
    <w:rsid w:val="44D34460"/>
    <w:rsid w:val="44D426B2"/>
    <w:rsid w:val="44D83825"/>
    <w:rsid w:val="44DC1567"/>
    <w:rsid w:val="44DC50C3"/>
    <w:rsid w:val="44DD0B46"/>
    <w:rsid w:val="44DF08D0"/>
    <w:rsid w:val="44DF2E05"/>
    <w:rsid w:val="44E33C06"/>
    <w:rsid w:val="44E4041B"/>
    <w:rsid w:val="44E421C9"/>
    <w:rsid w:val="44E73A68"/>
    <w:rsid w:val="44E81CBA"/>
    <w:rsid w:val="44EB7177"/>
    <w:rsid w:val="44EC107E"/>
    <w:rsid w:val="44ED4010"/>
    <w:rsid w:val="44EE3048"/>
    <w:rsid w:val="44EE4DF6"/>
    <w:rsid w:val="44F05012"/>
    <w:rsid w:val="44F06DC0"/>
    <w:rsid w:val="44F22AD9"/>
    <w:rsid w:val="44F3065E"/>
    <w:rsid w:val="44F52628"/>
    <w:rsid w:val="44F857C2"/>
    <w:rsid w:val="44F85C75"/>
    <w:rsid w:val="44FB6886"/>
    <w:rsid w:val="44FC39B7"/>
    <w:rsid w:val="44FC5765"/>
    <w:rsid w:val="44FF34A7"/>
    <w:rsid w:val="45007B27"/>
    <w:rsid w:val="45036AF3"/>
    <w:rsid w:val="4504461A"/>
    <w:rsid w:val="450474AD"/>
    <w:rsid w:val="45060392"/>
    <w:rsid w:val="4508235C"/>
    <w:rsid w:val="450A0BD9"/>
    <w:rsid w:val="450D1720"/>
    <w:rsid w:val="450D7972"/>
    <w:rsid w:val="450F36EA"/>
    <w:rsid w:val="45107462"/>
    <w:rsid w:val="45115463"/>
    <w:rsid w:val="4513485D"/>
    <w:rsid w:val="45195537"/>
    <w:rsid w:val="451A208F"/>
    <w:rsid w:val="451A3E3D"/>
    <w:rsid w:val="451A579C"/>
    <w:rsid w:val="451A5BEB"/>
    <w:rsid w:val="451C5E07"/>
    <w:rsid w:val="451E337D"/>
    <w:rsid w:val="451E56DB"/>
    <w:rsid w:val="45230F44"/>
    <w:rsid w:val="4525779B"/>
    <w:rsid w:val="4528655A"/>
    <w:rsid w:val="45294080"/>
    <w:rsid w:val="452B1BA6"/>
    <w:rsid w:val="452B7DF8"/>
    <w:rsid w:val="453018B3"/>
    <w:rsid w:val="45303661"/>
    <w:rsid w:val="45321187"/>
    <w:rsid w:val="45375A2B"/>
    <w:rsid w:val="453A003B"/>
    <w:rsid w:val="453F0F59"/>
    <w:rsid w:val="453F5652"/>
    <w:rsid w:val="4541586E"/>
    <w:rsid w:val="454168E5"/>
    <w:rsid w:val="4541761C"/>
    <w:rsid w:val="45430D6A"/>
    <w:rsid w:val="45440EBA"/>
    <w:rsid w:val="45441C71"/>
    <w:rsid w:val="45442C68"/>
    <w:rsid w:val="45444959"/>
    <w:rsid w:val="4545710C"/>
    <w:rsid w:val="45462E84"/>
    <w:rsid w:val="45482758"/>
    <w:rsid w:val="454B3FF6"/>
    <w:rsid w:val="454C73D3"/>
    <w:rsid w:val="454F1D39"/>
    <w:rsid w:val="455530C7"/>
    <w:rsid w:val="45554E75"/>
    <w:rsid w:val="45560921"/>
    <w:rsid w:val="45575091"/>
    <w:rsid w:val="45576E3F"/>
    <w:rsid w:val="455B266E"/>
    <w:rsid w:val="455E1F7C"/>
    <w:rsid w:val="455E24C9"/>
    <w:rsid w:val="45611010"/>
    <w:rsid w:val="45633A36"/>
    <w:rsid w:val="456442B5"/>
    <w:rsid w:val="45647319"/>
    <w:rsid w:val="4565155C"/>
    <w:rsid w:val="456A0921"/>
    <w:rsid w:val="456A6B72"/>
    <w:rsid w:val="456B28EB"/>
    <w:rsid w:val="456E4E81"/>
    <w:rsid w:val="456E5B41"/>
    <w:rsid w:val="456F23DB"/>
    <w:rsid w:val="4574179F"/>
    <w:rsid w:val="457572C5"/>
    <w:rsid w:val="45763769"/>
    <w:rsid w:val="4577128F"/>
    <w:rsid w:val="45777448"/>
    <w:rsid w:val="457B2B2E"/>
    <w:rsid w:val="457C2402"/>
    <w:rsid w:val="457C68A6"/>
    <w:rsid w:val="457E0857"/>
    <w:rsid w:val="457E42BB"/>
    <w:rsid w:val="457F25AC"/>
    <w:rsid w:val="45804B5E"/>
    <w:rsid w:val="4582034A"/>
    <w:rsid w:val="458319E2"/>
    <w:rsid w:val="45837C34"/>
    <w:rsid w:val="4585533A"/>
    <w:rsid w:val="45897B99"/>
    <w:rsid w:val="458A0FC3"/>
    <w:rsid w:val="458C4D3B"/>
    <w:rsid w:val="458E1ABF"/>
    <w:rsid w:val="458F65D9"/>
    <w:rsid w:val="45962A23"/>
    <w:rsid w:val="45991971"/>
    <w:rsid w:val="459B6D2C"/>
    <w:rsid w:val="459E681C"/>
    <w:rsid w:val="45A04342"/>
    <w:rsid w:val="45A2455E"/>
    <w:rsid w:val="45A33E32"/>
    <w:rsid w:val="45A55DFD"/>
    <w:rsid w:val="45A57BAB"/>
    <w:rsid w:val="45A71B75"/>
    <w:rsid w:val="45A755F8"/>
    <w:rsid w:val="45AA3F79"/>
    <w:rsid w:val="45AC0F39"/>
    <w:rsid w:val="45AF27D7"/>
    <w:rsid w:val="45B24076"/>
    <w:rsid w:val="45B61DB8"/>
    <w:rsid w:val="45B7168C"/>
    <w:rsid w:val="45B778DE"/>
    <w:rsid w:val="45B8657D"/>
    <w:rsid w:val="45B97915"/>
    <w:rsid w:val="45BB5620"/>
    <w:rsid w:val="45BC4EF4"/>
    <w:rsid w:val="45BE2A1A"/>
    <w:rsid w:val="45BF7093"/>
    <w:rsid w:val="45C02C36"/>
    <w:rsid w:val="45C142B9"/>
    <w:rsid w:val="45C877A2"/>
    <w:rsid w:val="45C950C2"/>
    <w:rsid w:val="45CA13BF"/>
    <w:rsid w:val="45CA3563"/>
    <w:rsid w:val="45CC3389"/>
    <w:rsid w:val="45CC5137"/>
    <w:rsid w:val="45CD0EAF"/>
    <w:rsid w:val="45CF69D6"/>
    <w:rsid w:val="45D3296A"/>
    <w:rsid w:val="45D33185"/>
    <w:rsid w:val="45D76A9C"/>
    <w:rsid w:val="45D97854"/>
    <w:rsid w:val="45DD5596"/>
    <w:rsid w:val="45DE130F"/>
    <w:rsid w:val="45DE4E6B"/>
    <w:rsid w:val="45DF26CC"/>
    <w:rsid w:val="45DF42EB"/>
    <w:rsid w:val="45DF42F9"/>
    <w:rsid w:val="45E22BAD"/>
    <w:rsid w:val="45E32481"/>
    <w:rsid w:val="45E4410A"/>
    <w:rsid w:val="45E5269D"/>
    <w:rsid w:val="45E631D5"/>
    <w:rsid w:val="45E701C3"/>
    <w:rsid w:val="45E76415"/>
    <w:rsid w:val="45E85CE9"/>
    <w:rsid w:val="45EA380F"/>
    <w:rsid w:val="45EC57D9"/>
    <w:rsid w:val="45ED50AE"/>
    <w:rsid w:val="45EF0E26"/>
    <w:rsid w:val="45F1269A"/>
    <w:rsid w:val="45F36B68"/>
    <w:rsid w:val="45F4468E"/>
    <w:rsid w:val="45F60406"/>
    <w:rsid w:val="45F6655B"/>
    <w:rsid w:val="45F83A10"/>
    <w:rsid w:val="45F8417E"/>
    <w:rsid w:val="45F91CA4"/>
    <w:rsid w:val="45F959CA"/>
    <w:rsid w:val="45F97EF6"/>
    <w:rsid w:val="45FB77CB"/>
    <w:rsid w:val="45FE30F0"/>
    <w:rsid w:val="46014AC2"/>
    <w:rsid w:val="46020B59"/>
    <w:rsid w:val="46024FFD"/>
    <w:rsid w:val="460447CF"/>
    <w:rsid w:val="4607345B"/>
    <w:rsid w:val="46081EE8"/>
    <w:rsid w:val="460A1D1C"/>
    <w:rsid w:val="460A5E25"/>
    <w:rsid w:val="460D1A6F"/>
    <w:rsid w:val="460D5750"/>
    <w:rsid w:val="460F14C8"/>
    <w:rsid w:val="46115240"/>
    <w:rsid w:val="46153952"/>
    <w:rsid w:val="46155307"/>
    <w:rsid w:val="46160AEE"/>
    <w:rsid w:val="46164604"/>
    <w:rsid w:val="461865CE"/>
    <w:rsid w:val="46195EA3"/>
    <w:rsid w:val="461A0599"/>
    <w:rsid w:val="461A2CBB"/>
    <w:rsid w:val="461D3BE5"/>
    <w:rsid w:val="461F14A9"/>
    <w:rsid w:val="46202D9A"/>
    <w:rsid w:val="46235D12"/>
    <w:rsid w:val="4629258A"/>
    <w:rsid w:val="462E5798"/>
    <w:rsid w:val="4630064A"/>
    <w:rsid w:val="46305253"/>
    <w:rsid w:val="463116B1"/>
    <w:rsid w:val="46313BA0"/>
    <w:rsid w:val="46320F47"/>
    <w:rsid w:val="46342CDD"/>
    <w:rsid w:val="46350142"/>
    <w:rsid w:val="46362EF9"/>
    <w:rsid w:val="463A4797"/>
    <w:rsid w:val="463E496A"/>
    <w:rsid w:val="463F3C9A"/>
    <w:rsid w:val="46401AF1"/>
    <w:rsid w:val="46441478"/>
    <w:rsid w:val="464473C4"/>
    <w:rsid w:val="4645313C"/>
    <w:rsid w:val="46454EEA"/>
    <w:rsid w:val="46476EB4"/>
    <w:rsid w:val="464861CE"/>
    <w:rsid w:val="464A0752"/>
    <w:rsid w:val="464C7736"/>
    <w:rsid w:val="464E0242"/>
    <w:rsid w:val="464E1FF0"/>
    <w:rsid w:val="464F25D7"/>
    <w:rsid w:val="464F7B16"/>
    <w:rsid w:val="46511AE0"/>
    <w:rsid w:val="46517D32"/>
    <w:rsid w:val="46526569"/>
    <w:rsid w:val="46537607"/>
    <w:rsid w:val="4654337F"/>
    <w:rsid w:val="46545FB4"/>
    <w:rsid w:val="46560EA5"/>
    <w:rsid w:val="4658104C"/>
    <w:rsid w:val="46582E6F"/>
    <w:rsid w:val="465D2233"/>
    <w:rsid w:val="46612515"/>
    <w:rsid w:val="46633E5E"/>
    <w:rsid w:val="466A27E6"/>
    <w:rsid w:val="466B0DF4"/>
    <w:rsid w:val="466D6B15"/>
    <w:rsid w:val="466E2692"/>
    <w:rsid w:val="466E61EE"/>
    <w:rsid w:val="467121DE"/>
    <w:rsid w:val="46717A8D"/>
    <w:rsid w:val="46735870"/>
    <w:rsid w:val="46737CA9"/>
    <w:rsid w:val="46740730"/>
    <w:rsid w:val="467632F5"/>
    <w:rsid w:val="4676729B"/>
    <w:rsid w:val="46767799"/>
    <w:rsid w:val="467A0F90"/>
    <w:rsid w:val="467F03FC"/>
    <w:rsid w:val="46804174"/>
    <w:rsid w:val="46810B28"/>
    <w:rsid w:val="468123C6"/>
    <w:rsid w:val="46820877"/>
    <w:rsid w:val="46827EEC"/>
    <w:rsid w:val="468477C0"/>
    <w:rsid w:val="46865586"/>
    <w:rsid w:val="468772B0"/>
    <w:rsid w:val="46893028"/>
    <w:rsid w:val="468974CC"/>
    <w:rsid w:val="468A0DE6"/>
    <w:rsid w:val="468C48C7"/>
    <w:rsid w:val="468E4AE3"/>
    <w:rsid w:val="468E6891"/>
    <w:rsid w:val="468F6C1A"/>
    <w:rsid w:val="46902609"/>
    <w:rsid w:val="46911EDD"/>
    <w:rsid w:val="46916381"/>
    <w:rsid w:val="46916E54"/>
    <w:rsid w:val="46925734"/>
    <w:rsid w:val="46932F3D"/>
    <w:rsid w:val="469367E2"/>
    <w:rsid w:val="46945A0F"/>
    <w:rsid w:val="46960E65"/>
    <w:rsid w:val="46963997"/>
    <w:rsid w:val="46971BE9"/>
    <w:rsid w:val="469814BD"/>
    <w:rsid w:val="469A3487"/>
    <w:rsid w:val="469A5235"/>
    <w:rsid w:val="469B2D5C"/>
    <w:rsid w:val="46A14816"/>
    <w:rsid w:val="46A240EA"/>
    <w:rsid w:val="46A41C10"/>
    <w:rsid w:val="46A460B4"/>
    <w:rsid w:val="46A936CA"/>
    <w:rsid w:val="46AF0FD5"/>
    <w:rsid w:val="46B053A1"/>
    <w:rsid w:val="46B1257F"/>
    <w:rsid w:val="46B34549"/>
    <w:rsid w:val="46B533C1"/>
    <w:rsid w:val="46B70BF7"/>
    <w:rsid w:val="46B856BC"/>
    <w:rsid w:val="46B9730C"/>
    <w:rsid w:val="46BB51AC"/>
    <w:rsid w:val="46BC33FE"/>
    <w:rsid w:val="46BC628E"/>
    <w:rsid w:val="46BF2EEE"/>
    <w:rsid w:val="46BF4C9C"/>
    <w:rsid w:val="46C113AE"/>
    <w:rsid w:val="46C40504"/>
    <w:rsid w:val="46C47EE3"/>
    <w:rsid w:val="46C56DBC"/>
    <w:rsid w:val="46C67DD9"/>
    <w:rsid w:val="46C745CC"/>
    <w:rsid w:val="46C94266"/>
    <w:rsid w:val="46CE3131"/>
    <w:rsid w:val="46CF5E87"/>
    <w:rsid w:val="46D02A05"/>
    <w:rsid w:val="46D361EE"/>
    <w:rsid w:val="46D60AB1"/>
    <w:rsid w:val="46D86895"/>
    <w:rsid w:val="46D93A89"/>
    <w:rsid w:val="46DA0645"/>
    <w:rsid w:val="46DC0F2A"/>
    <w:rsid w:val="46DE7680"/>
    <w:rsid w:val="46DF533E"/>
    <w:rsid w:val="46DF70EC"/>
    <w:rsid w:val="46E42955"/>
    <w:rsid w:val="46E446A9"/>
    <w:rsid w:val="46E6047B"/>
    <w:rsid w:val="46E75FA1"/>
    <w:rsid w:val="46E841F3"/>
    <w:rsid w:val="46EC63A6"/>
    <w:rsid w:val="46ED1809"/>
    <w:rsid w:val="46ED4E33"/>
    <w:rsid w:val="46EE37D3"/>
    <w:rsid w:val="46EE3897"/>
    <w:rsid w:val="46F00D70"/>
    <w:rsid w:val="46F06F25"/>
    <w:rsid w:val="46F26E20"/>
    <w:rsid w:val="46F30DEA"/>
    <w:rsid w:val="46F4472F"/>
    <w:rsid w:val="46F661E4"/>
    <w:rsid w:val="46FA1179"/>
    <w:rsid w:val="46FD7572"/>
    <w:rsid w:val="46FF153C"/>
    <w:rsid w:val="46FF32EA"/>
    <w:rsid w:val="470041B9"/>
    <w:rsid w:val="4703319D"/>
    <w:rsid w:val="47044DA5"/>
    <w:rsid w:val="47046B53"/>
    <w:rsid w:val="470703F1"/>
    <w:rsid w:val="47072195"/>
    <w:rsid w:val="47086643"/>
    <w:rsid w:val="470923BB"/>
    <w:rsid w:val="470D3C59"/>
    <w:rsid w:val="470E352E"/>
    <w:rsid w:val="470E79D1"/>
    <w:rsid w:val="471054F8"/>
    <w:rsid w:val="4711133C"/>
    <w:rsid w:val="47120309"/>
    <w:rsid w:val="4712301E"/>
    <w:rsid w:val="471274C2"/>
    <w:rsid w:val="47134F3B"/>
    <w:rsid w:val="47174AD8"/>
    <w:rsid w:val="471825FE"/>
    <w:rsid w:val="47182CC8"/>
    <w:rsid w:val="471A0124"/>
    <w:rsid w:val="471A6C25"/>
    <w:rsid w:val="471C3E9C"/>
    <w:rsid w:val="471E5E67"/>
    <w:rsid w:val="471F1BDF"/>
    <w:rsid w:val="472114B3"/>
    <w:rsid w:val="47223F30"/>
    <w:rsid w:val="47255E82"/>
    <w:rsid w:val="47257957"/>
    <w:rsid w:val="472C4F7A"/>
    <w:rsid w:val="472D7E58"/>
    <w:rsid w:val="47305B9A"/>
    <w:rsid w:val="473236C0"/>
    <w:rsid w:val="4734568A"/>
    <w:rsid w:val="47347438"/>
    <w:rsid w:val="47385407"/>
    <w:rsid w:val="47394A4E"/>
    <w:rsid w:val="473E081F"/>
    <w:rsid w:val="473F33F0"/>
    <w:rsid w:val="474305F6"/>
    <w:rsid w:val="474358CD"/>
    <w:rsid w:val="47437CE6"/>
    <w:rsid w:val="47444691"/>
    <w:rsid w:val="47456DDE"/>
    <w:rsid w:val="47460F19"/>
    <w:rsid w:val="474720F6"/>
    <w:rsid w:val="47482EE3"/>
    <w:rsid w:val="47490A0A"/>
    <w:rsid w:val="474B6530"/>
    <w:rsid w:val="474C39E8"/>
    <w:rsid w:val="474D22A8"/>
    <w:rsid w:val="474D4586"/>
    <w:rsid w:val="47523D62"/>
    <w:rsid w:val="475573AE"/>
    <w:rsid w:val="47562428"/>
    <w:rsid w:val="475D0075"/>
    <w:rsid w:val="475F1FDB"/>
    <w:rsid w:val="47605BC6"/>
    <w:rsid w:val="47633879"/>
    <w:rsid w:val="476475F1"/>
    <w:rsid w:val="47652852"/>
    <w:rsid w:val="47694C08"/>
    <w:rsid w:val="476A10AC"/>
    <w:rsid w:val="476A2E5A"/>
    <w:rsid w:val="476F4F18"/>
    <w:rsid w:val="477041E8"/>
    <w:rsid w:val="47727F60"/>
    <w:rsid w:val="477535AD"/>
    <w:rsid w:val="47775577"/>
    <w:rsid w:val="47775DDF"/>
    <w:rsid w:val="47777325"/>
    <w:rsid w:val="47781E40"/>
    <w:rsid w:val="47794E4B"/>
    <w:rsid w:val="477B5067"/>
    <w:rsid w:val="477C2B8D"/>
    <w:rsid w:val="477C493B"/>
    <w:rsid w:val="477D6972"/>
    <w:rsid w:val="477E1670"/>
    <w:rsid w:val="477E4B57"/>
    <w:rsid w:val="477F0A9D"/>
    <w:rsid w:val="47811FA4"/>
    <w:rsid w:val="478203CF"/>
    <w:rsid w:val="47833F1C"/>
    <w:rsid w:val="47836981"/>
    <w:rsid w:val="478373AF"/>
    <w:rsid w:val="478B1022"/>
    <w:rsid w:val="478F28C0"/>
    <w:rsid w:val="478F67EB"/>
    <w:rsid w:val="479003E6"/>
    <w:rsid w:val="47911556"/>
    <w:rsid w:val="47924322"/>
    <w:rsid w:val="479C4FDD"/>
    <w:rsid w:val="47A037F9"/>
    <w:rsid w:val="47A04ACD"/>
    <w:rsid w:val="47A10846"/>
    <w:rsid w:val="47A20030"/>
    <w:rsid w:val="47A23D34"/>
    <w:rsid w:val="47A311D0"/>
    <w:rsid w:val="47A3636C"/>
    <w:rsid w:val="47A479CC"/>
    <w:rsid w:val="47A53E92"/>
    <w:rsid w:val="47A81209"/>
    <w:rsid w:val="47A81BD4"/>
    <w:rsid w:val="47AB5220"/>
    <w:rsid w:val="47AB6C3D"/>
    <w:rsid w:val="47AF4D11"/>
    <w:rsid w:val="47B10A89"/>
    <w:rsid w:val="47B12E23"/>
    <w:rsid w:val="47B24801"/>
    <w:rsid w:val="47B42327"/>
    <w:rsid w:val="47B440D5"/>
    <w:rsid w:val="47B57E4D"/>
    <w:rsid w:val="47B75973"/>
    <w:rsid w:val="47B77A42"/>
    <w:rsid w:val="47B93D6C"/>
    <w:rsid w:val="47B9478D"/>
    <w:rsid w:val="47BB1907"/>
    <w:rsid w:val="47BC13A9"/>
    <w:rsid w:val="47C044F8"/>
    <w:rsid w:val="47C91DEC"/>
    <w:rsid w:val="47CE0924"/>
    <w:rsid w:val="47D115FE"/>
    <w:rsid w:val="47D20620"/>
    <w:rsid w:val="47D209FF"/>
    <w:rsid w:val="47D247C1"/>
    <w:rsid w:val="47D57F3B"/>
    <w:rsid w:val="47D604EF"/>
    <w:rsid w:val="47D6611B"/>
    <w:rsid w:val="47D72A0D"/>
    <w:rsid w:val="47D74267"/>
    <w:rsid w:val="47D91D8D"/>
    <w:rsid w:val="47DC187E"/>
    <w:rsid w:val="47DE1152"/>
    <w:rsid w:val="47E0136E"/>
    <w:rsid w:val="47E04ECA"/>
    <w:rsid w:val="47E10C42"/>
    <w:rsid w:val="47E250E6"/>
    <w:rsid w:val="47E30E5E"/>
    <w:rsid w:val="47E50732"/>
    <w:rsid w:val="47E744AA"/>
    <w:rsid w:val="47E929C7"/>
    <w:rsid w:val="47EA3F9B"/>
    <w:rsid w:val="47EA5D49"/>
    <w:rsid w:val="47EB386F"/>
    <w:rsid w:val="47ED2433"/>
    <w:rsid w:val="47ED3A8B"/>
    <w:rsid w:val="47ED5839"/>
    <w:rsid w:val="47EE451F"/>
    <w:rsid w:val="47F0015D"/>
    <w:rsid w:val="47F00E85"/>
    <w:rsid w:val="47F210A1"/>
    <w:rsid w:val="47F26E19"/>
    <w:rsid w:val="47F40975"/>
    <w:rsid w:val="47F646ED"/>
    <w:rsid w:val="47F829BB"/>
    <w:rsid w:val="47F866B8"/>
    <w:rsid w:val="47F941DE"/>
    <w:rsid w:val="47FC782A"/>
    <w:rsid w:val="47FE7A46"/>
    <w:rsid w:val="4800556C"/>
    <w:rsid w:val="48046405"/>
    <w:rsid w:val="48052B82"/>
    <w:rsid w:val="48054931"/>
    <w:rsid w:val="48061F84"/>
    <w:rsid w:val="48064CD8"/>
    <w:rsid w:val="480C3F11"/>
    <w:rsid w:val="480E45EC"/>
    <w:rsid w:val="480F1B5E"/>
    <w:rsid w:val="48100B60"/>
    <w:rsid w:val="48164D90"/>
    <w:rsid w:val="48180B08"/>
    <w:rsid w:val="481B05F8"/>
    <w:rsid w:val="481B3532"/>
    <w:rsid w:val="481D7ECC"/>
    <w:rsid w:val="481F6949"/>
    <w:rsid w:val="482079BC"/>
    <w:rsid w:val="48223734"/>
    <w:rsid w:val="482374AD"/>
    <w:rsid w:val="482400D6"/>
    <w:rsid w:val="48247721"/>
    <w:rsid w:val="48254FD3"/>
    <w:rsid w:val="4826308B"/>
    <w:rsid w:val="48270D4B"/>
    <w:rsid w:val="48280C73"/>
    <w:rsid w:val="48286871"/>
    <w:rsid w:val="4829517C"/>
    <w:rsid w:val="482A25E9"/>
    <w:rsid w:val="482A4397"/>
    <w:rsid w:val="482B6964"/>
    <w:rsid w:val="48307DEC"/>
    <w:rsid w:val="48315726"/>
    <w:rsid w:val="48337EFA"/>
    <w:rsid w:val="48376AB4"/>
    <w:rsid w:val="48391F39"/>
    <w:rsid w:val="483B0352"/>
    <w:rsid w:val="483B47F6"/>
    <w:rsid w:val="483D056E"/>
    <w:rsid w:val="483D45DA"/>
    <w:rsid w:val="4840005F"/>
    <w:rsid w:val="484336AB"/>
    <w:rsid w:val="48434FC9"/>
    <w:rsid w:val="484418FD"/>
    <w:rsid w:val="48457423"/>
    <w:rsid w:val="48476250"/>
    <w:rsid w:val="48483FF3"/>
    <w:rsid w:val="48487415"/>
    <w:rsid w:val="48496F13"/>
    <w:rsid w:val="484C07B1"/>
    <w:rsid w:val="484C255F"/>
    <w:rsid w:val="484D24D2"/>
    <w:rsid w:val="484E4529"/>
    <w:rsid w:val="484F02A2"/>
    <w:rsid w:val="484F2050"/>
    <w:rsid w:val="48515DC8"/>
    <w:rsid w:val="48537D92"/>
    <w:rsid w:val="485458B8"/>
    <w:rsid w:val="48592ECE"/>
    <w:rsid w:val="48594B98"/>
    <w:rsid w:val="485B6C01"/>
    <w:rsid w:val="485B6C46"/>
    <w:rsid w:val="485D3FBE"/>
    <w:rsid w:val="485D476D"/>
    <w:rsid w:val="485E04E5"/>
    <w:rsid w:val="485E2293"/>
    <w:rsid w:val="4860600B"/>
    <w:rsid w:val="48623B31"/>
    <w:rsid w:val="48662F21"/>
    <w:rsid w:val="486A6E89"/>
    <w:rsid w:val="486B1B3A"/>
    <w:rsid w:val="486B1EB6"/>
    <w:rsid w:val="48711FC6"/>
    <w:rsid w:val="4872475D"/>
    <w:rsid w:val="48735D3E"/>
    <w:rsid w:val="4873782B"/>
    <w:rsid w:val="487541E4"/>
    <w:rsid w:val="4876582E"/>
    <w:rsid w:val="487B1097"/>
    <w:rsid w:val="487D4E0F"/>
    <w:rsid w:val="487E53C2"/>
    <w:rsid w:val="487F59B9"/>
    <w:rsid w:val="4880045B"/>
    <w:rsid w:val="488066AD"/>
    <w:rsid w:val="4881754B"/>
    <w:rsid w:val="48877A3B"/>
    <w:rsid w:val="4888563D"/>
    <w:rsid w:val="48895562"/>
    <w:rsid w:val="488C32A4"/>
    <w:rsid w:val="488C5501"/>
    <w:rsid w:val="488E43C6"/>
    <w:rsid w:val="488F069E"/>
    <w:rsid w:val="489363E0"/>
    <w:rsid w:val="48951557"/>
    <w:rsid w:val="4896248C"/>
    <w:rsid w:val="489839F7"/>
    <w:rsid w:val="489A1407"/>
    <w:rsid w:val="489B65AD"/>
    <w:rsid w:val="489D100D"/>
    <w:rsid w:val="489F0DA6"/>
    <w:rsid w:val="489F2FD7"/>
    <w:rsid w:val="48A04659"/>
    <w:rsid w:val="48A06C37"/>
    <w:rsid w:val="48A4239B"/>
    <w:rsid w:val="48A65DE4"/>
    <w:rsid w:val="48AB58D0"/>
    <w:rsid w:val="48AD4E73"/>
    <w:rsid w:val="48AD6E5F"/>
    <w:rsid w:val="48B00D40"/>
    <w:rsid w:val="48B14AB8"/>
    <w:rsid w:val="48B3438D"/>
    <w:rsid w:val="48B87BF5"/>
    <w:rsid w:val="48BD520B"/>
    <w:rsid w:val="48BE0390"/>
    <w:rsid w:val="48BE68C8"/>
    <w:rsid w:val="48C22822"/>
    <w:rsid w:val="48C52312"/>
    <w:rsid w:val="48C7608A"/>
    <w:rsid w:val="48CA3587"/>
    <w:rsid w:val="48CB3DCC"/>
    <w:rsid w:val="48CB5B7A"/>
    <w:rsid w:val="48CC18F2"/>
    <w:rsid w:val="48CE7418"/>
    <w:rsid w:val="48D013E2"/>
    <w:rsid w:val="48D04C93"/>
    <w:rsid w:val="48D97A4A"/>
    <w:rsid w:val="48DA400F"/>
    <w:rsid w:val="48DB38E3"/>
    <w:rsid w:val="48DC7D87"/>
    <w:rsid w:val="48DD3AFF"/>
    <w:rsid w:val="48E1539E"/>
    <w:rsid w:val="48E24C72"/>
    <w:rsid w:val="48E40097"/>
    <w:rsid w:val="48E409EA"/>
    <w:rsid w:val="48E52AAE"/>
    <w:rsid w:val="48E63E09"/>
    <w:rsid w:val="48E64762"/>
    <w:rsid w:val="48E67DE4"/>
    <w:rsid w:val="48EA334C"/>
    <w:rsid w:val="48EB7FCA"/>
    <w:rsid w:val="48EE315D"/>
    <w:rsid w:val="48EE6DB8"/>
    <w:rsid w:val="48F06C8F"/>
    <w:rsid w:val="48F21359"/>
    <w:rsid w:val="48F31A46"/>
    <w:rsid w:val="48F36E7F"/>
    <w:rsid w:val="48F3729B"/>
    <w:rsid w:val="48F50E49"/>
    <w:rsid w:val="48F549A5"/>
    <w:rsid w:val="48F74BC1"/>
    <w:rsid w:val="48FC1C38"/>
    <w:rsid w:val="48FF1386"/>
    <w:rsid w:val="48FF5824"/>
    <w:rsid w:val="48FF6CB3"/>
    <w:rsid w:val="4901159C"/>
    <w:rsid w:val="490966A2"/>
    <w:rsid w:val="490B6E55"/>
    <w:rsid w:val="490C764F"/>
    <w:rsid w:val="49105C83"/>
    <w:rsid w:val="49155047"/>
    <w:rsid w:val="491868E5"/>
    <w:rsid w:val="491A265E"/>
    <w:rsid w:val="491B335F"/>
    <w:rsid w:val="491B44DC"/>
    <w:rsid w:val="491C3233"/>
    <w:rsid w:val="491C63D6"/>
    <w:rsid w:val="491D214E"/>
    <w:rsid w:val="491D5CAA"/>
    <w:rsid w:val="49206844"/>
    <w:rsid w:val="492360B3"/>
    <w:rsid w:val="492471C9"/>
    <w:rsid w:val="49263B08"/>
    <w:rsid w:val="49265F2E"/>
    <w:rsid w:val="49271743"/>
    <w:rsid w:val="492756F8"/>
    <w:rsid w:val="49290AF3"/>
    <w:rsid w:val="4929464F"/>
    <w:rsid w:val="49296D45"/>
    <w:rsid w:val="492B6619"/>
    <w:rsid w:val="492C093E"/>
    <w:rsid w:val="492D2391"/>
    <w:rsid w:val="492E435B"/>
    <w:rsid w:val="49301E81"/>
    <w:rsid w:val="49303C2F"/>
    <w:rsid w:val="49310C32"/>
    <w:rsid w:val="493168D5"/>
    <w:rsid w:val="49316F70"/>
    <w:rsid w:val="49320D4E"/>
    <w:rsid w:val="49325995"/>
    <w:rsid w:val="49374FBE"/>
    <w:rsid w:val="493C0B62"/>
    <w:rsid w:val="4941408E"/>
    <w:rsid w:val="49423962"/>
    <w:rsid w:val="49424D05"/>
    <w:rsid w:val="49431BB4"/>
    <w:rsid w:val="4944592C"/>
    <w:rsid w:val="494476DB"/>
    <w:rsid w:val="49463453"/>
    <w:rsid w:val="4947762D"/>
    <w:rsid w:val="49496E34"/>
    <w:rsid w:val="49541FD2"/>
    <w:rsid w:val="4954445C"/>
    <w:rsid w:val="49553535"/>
    <w:rsid w:val="495711BC"/>
    <w:rsid w:val="4957740E"/>
    <w:rsid w:val="495913D8"/>
    <w:rsid w:val="495A5150"/>
    <w:rsid w:val="495A6EFE"/>
    <w:rsid w:val="495C2C76"/>
    <w:rsid w:val="495D7988"/>
    <w:rsid w:val="495F4514"/>
    <w:rsid w:val="496304FF"/>
    <w:rsid w:val="496438D9"/>
    <w:rsid w:val="496717FC"/>
    <w:rsid w:val="49675177"/>
    <w:rsid w:val="4968161B"/>
    <w:rsid w:val="496833C9"/>
    <w:rsid w:val="496947E1"/>
    <w:rsid w:val="496B2EB9"/>
    <w:rsid w:val="496D4E83"/>
    <w:rsid w:val="49731D6E"/>
    <w:rsid w:val="49753D38"/>
    <w:rsid w:val="4977360C"/>
    <w:rsid w:val="49795539"/>
    <w:rsid w:val="498126DD"/>
    <w:rsid w:val="49831FB1"/>
    <w:rsid w:val="49842468"/>
    <w:rsid w:val="4984324F"/>
    <w:rsid w:val="49877552"/>
    <w:rsid w:val="498B2E59"/>
    <w:rsid w:val="499046CE"/>
    <w:rsid w:val="49906437"/>
    <w:rsid w:val="49942F2B"/>
    <w:rsid w:val="49956188"/>
    <w:rsid w:val="499A360F"/>
    <w:rsid w:val="499C3073"/>
    <w:rsid w:val="499C5552"/>
    <w:rsid w:val="499E6DEB"/>
    <w:rsid w:val="499F0A6C"/>
    <w:rsid w:val="49A07007"/>
    <w:rsid w:val="49A14B2D"/>
    <w:rsid w:val="49A62143"/>
    <w:rsid w:val="49A81A17"/>
    <w:rsid w:val="49A87C69"/>
    <w:rsid w:val="49A979D2"/>
    <w:rsid w:val="49AB59AC"/>
    <w:rsid w:val="49AD2AFC"/>
    <w:rsid w:val="49B11428"/>
    <w:rsid w:val="49B20A69"/>
    <w:rsid w:val="49B26D3A"/>
    <w:rsid w:val="49B27B2C"/>
    <w:rsid w:val="49B303BC"/>
    <w:rsid w:val="49B32366"/>
    <w:rsid w:val="49B46D37"/>
    <w:rsid w:val="49B51BE9"/>
    <w:rsid w:val="49BC1967"/>
    <w:rsid w:val="49BC3715"/>
    <w:rsid w:val="49BC54C3"/>
    <w:rsid w:val="49BE2A0A"/>
    <w:rsid w:val="49BE52E9"/>
    <w:rsid w:val="49C03205"/>
    <w:rsid w:val="49C11094"/>
    <w:rsid w:val="49C216D2"/>
    <w:rsid w:val="49C27C4A"/>
    <w:rsid w:val="49C425C9"/>
    <w:rsid w:val="49C44304"/>
    <w:rsid w:val="49C5690D"/>
    <w:rsid w:val="49C641CC"/>
    <w:rsid w:val="49C8030C"/>
    <w:rsid w:val="49C86C2C"/>
    <w:rsid w:val="49CB3958"/>
    <w:rsid w:val="49CC7DFC"/>
    <w:rsid w:val="49CD29D6"/>
    <w:rsid w:val="49CE2073"/>
    <w:rsid w:val="49CF3448"/>
    <w:rsid w:val="49CF37DD"/>
    <w:rsid w:val="49CF51F6"/>
    <w:rsid w:val="49D00F6E"/>
    <w:rsid w:val="49D15412"/>
    <w:rsid w:val="49D36098"/>
    <w:rsid w:val="49D46CB0"/>
    <w:rsid w:val="49D547D7"/>
    <w:rsid w:val="49D80A75"/>
    <w:rsid w:val="49D92519"/>
    <w:rsid w:val="49D96075"/>
    <w:rsid w:val="49D97E23"/>
    <w:rsid w:val="49DA3B9B"/>
    <w:rsid w:val="49DB1DED"/>
    <w:rsid w:val="49DE18DD"/>
    <w:rsid w:val="49E07403"/>
    <w:rsid w:val="49E1317B"/>
    <w:rsid w:val="49E14F29"/>
    <w:rsid w:val="49E16794"/>
    <w:rsid w:val="49E544E0"/>
    <w:rsid w:val="49E62540"/>
    <w:rsid w:val="49E77364"/>
    <w:rsid w:val="49E862B8"/>
    <w:rsid w:val="49EC0159"/>
    <w:rsid w:val="49F41101"/>
    <w:rsid w:val="49F42EAF"/>
    <w:rsid w:val="49F43EFB"/>
    <w:rsid w:val="49F44C5D"/>
    <w:rsid w:val="49F509D5"/>
    <w:rsid w:val="49F92586"/>
    <w:rsid w:val="49F954BB"/>
    <w:rsid w:val="49FA4868"/>
    <w:rsid w:val="49FA5FEB"/>
    <w:rsid w:val="49FB423D"/>
    <w:rsid w:val="49FC515A"/>
    <w:rsid w:val="49FD6207"/>
    <w:rsid w:val="49FE3D2D"/>
    <w:rsid w:val="49FE5ADB"/>
    <w:rsid w:val="4A003601"/>
    <w:rsid w:val="4A012A03"/>
    <w:rsid w:val="4A02381D"/>
    <w:rsid w:val="4A0310D5"/>
    <w:rsid w:val="4A037596"/>
    <w:rsid w:val="4A040D5F"/>
    <w:rsid w:val="4A0550BC"/>
    <w:rsid w:val="4A080F4F"/>
    <w:rsid w:val="4A0829C7"/>
    <w:rsid w:val="4A084BAC"/>
    <w:rsid w:val="4A0D3F70"/>
    <w:rsid w:val="4A0F76E1"/>
    <w:rsid w:val="4A12620F"/>
    <w:rsid w:val="4A162E25"/>
    <w:rsid w:val="4A1C2A49"/>
    <w:rsid w:val="4A1C41B3"/>
    <w:rsid w:val="4A1E617D"/>
    <w:rsid w:val="4A205A52"/>
    <w:rsid w:val="4A225C6E"/>
    <w:rsid w:val="4A2319E6"/>
    <w:rsid w:val="4A2472FD"/>
    <w:rsid w:val="4A2512BA"/>
    <w:rsid w:val="4A25750C"/>
    <w:rsid w:val="4A266DE0"/>
    <w:rsid w:val="4A273284"/>
    <w:rsid w:val="4A286FFC"/>
    <w:rsid w:val="4A29004F"/>
    <w:rsid w:val="4A292E59"/>
    <w:rsid w:val="4A2A3144"/>
    <w:rsid w:val="4A2A68D0"/>
    <w:rsid w:val="4A2F2139"/>
    <w:rsid w:val="4A2F3EE7"/>
    <w:rsid w:val="4A3239D7"/>
    <w:rsid w:val="4A332BFD"/>
    <w:rsid w:val="4A370FED"/>
    <w:rsid w:val="4A372D9B"/>
    <w:rsid w:val="4A3A68E8"/>
    <w:rsid w:val="4A3D71C2"/>
    <w:rsid w:val="4A3E05CE"/>
    <w:rsid w:val="4A3F3EE5"/>
    <w:rsid w:val="4A3F7426"/>
    <w:rsid w:val="4A437992"/>
    <w:rsid w:val="4A442B1E"/>
    <w:rsid w:val="4A450EF1"/>
    <w:rsid w:val="4A4623A7"/>
    <w:rsid w:val="4A4762DD"/>
    <w:rsid w:val="4A4E6A63"/>
    <w:rsid w:val="4A4F27DB"/>
    <w:rsid w:val="4A4F62A8"/>
    <w:rsid w:val="4A4F6337"/>
    <w:rsid w:val="4A541B9F"/>
    <w:rsid w:val="4A547DF1"/>
    <w:rsid w:val="4A556518"/>
    <w:rsid w:val="4A5751EC"/>
    <w:rsid w:val="4A5D5169"/>
    <w:rsid w:val="4A5E657A"/>
    <w:rsid w:val="4A5F42DF"/>
    <w:rsid w:val="4A6012D7"/>
    <w:rsid w:val="4A60723A"/>
    <w:rsid w:val="4A62250E"/>
    <w:rsid w:val="4A6364B8"/>
    <w:rsid w:val="4A647FF2"/>
    <w:rsid w:val="4A6718D3"/>
    <w:rsid w:val="4A6A4F1F"/>
    <w:rsid w:val="4A6D4A0F"/>
    <w:rsid w:val="4A6D6C6D"/>
    <w:rsid w:val="4A6E2C61"/>
    <w:rsid w:val="4A6F69D9"/>
    <w:rsid w:val="4A755582"/>
    <w:rsid w:val="4A76198B"/>
    <w:rsid w:val="4A77763C"/>
    <w:rsid w:val="4A78588E"/>
    <w:rsid w:val="4A7A7858"/>
    <w:rsid w:val="4A7E749E"/>
    <w:rsid w:val="4A816D87"/>
    <w:rsid w:val="4A877604"/>
    <w:rsid w:val="4A877774"/>
    <w:rsid w:val="4A897A9B"/>
    <w:rsid w:val="4A8B21A6"/>
    <w:rsid w:val="4A8E50B1"/>
    <w:rsid w:val="4A91694F"/>
    <w:rsid w:val="4A920BB5"/>
    <w:rsid w:val="4A931A68"/>
    <w:rsid w:val="4A933558"/>
    <w:rsid w:val="4A9401EE"/>
    <w:rsid w:val="4A963F66"/>
    <w:rsid w:val="4A981A8C"/>
    <w:rsid w:val="4A9D70A2"/>
    <w:rsid w:val="4AA03036"/>
    <w:rsid w:val="4AA246B9"/>
    <w:rsid w:val="4AA620E4"/>
    <w:rsid w:val="4AA777F9"/>
    <w:rsid w:val="4AA77F21"/>
    <w:rsid w:val="4AAA5C63"/>
    <w:rsid w:val="4AAC19DB"/>
    <w:rsid w:val="4AAC3789"/>
    <w:rsid w:val="4AB12B4E"/>
    <w:rsid w:val="4AB4263E"/>
    <w:rsid w:val="4AB443EC"/>
    <w:rsid w:val="4AB83EDC"/>
    <w:rsid w:val="4AB8462B"/>
    <w:rsid w:val="4AB95273"/>
    <w:rsid w:val="4ABE526B"/>
    <w:rsid w:val="4AC13ECD"/>
    <w:rsid w:val="4AC22FAD"/>
    <w:rsid w:val="4AC30EA4"/>
    <w:rsid w:val="4AC477B5"/>
    <w:rsid w:val="4AC62A9D"/>
    <w:rsid w:val="4AC97E97"/>
    <w:rsid w:val="4ACA3C0F"/>
    <w:rsid w:val="4ACB00B3"/>
    <w:rsid w:val="4ACB251D"/>
    <w:rsid w:val="4ACE54AE"/>
    <w:rsid w:val="4AD00929"/>
    <w:rsid w:val="4AD17653"/>
    <w:rsid w:val="4AD25D9C"/>
    <w:rsid w:val="4AD66A58"/>
    <w:rsid w:val="4ADB406F"/>
    <w:rsid w:val="4ADD3943"/>
    <w:rsid w:val="4ADF590D"/>
    <w:rsid w:val="4ADF76BB"/>
    <w:rsid w:val="4AE01685"/>
    <w:rsid w:val="4AE271AB"/>
    <w:rsid w:val="4AE52E00"/>
    <w:rsid w:val="4AE533C6"/>
    <w:rsid w:val="4AE90539"/>
    <w:rsid w:val="4AEC1DD8"/>
    <w:rsid w:val="4AEC627C"/>
    <w:rsid w:val="4AED35BE"/>
    <w:rsid w:val="4AEE163E"/>
    <w:rsid w:val="4AEE355C"/>
    <w:rsid w:val="4AEE5B50"/>
    <w:rsid w:val="4AF018C8"/>
    <w:rsid w:val="4AF15640"/>
    <w:rsid w:val="4AF173EE"/>
    <w:rsid w:val="4AF51BEA"/>
    <w:rsid w:val="4AF56EDE"/>
    <w:rsid w:val="4AF73F53"/>
    <w:rsid w:val="4AF84C20"/>
    <w:rsid w:val="4AFA62A3"/>
    <w:rsid w:val="4AFC5264"/>
    <w:rsid w:val="4AFD5D93"/>
    <w:rsid w:val="4AFF2A2E"/>
    <w:rsid w:val="4AFF5F31"/>
    <w:rsid w:val="4AFF7D5D"/>
    <w:rsid w:val="4B02784D"/>
    <w:rsid w:val="4B032553"/>
    <w:rsid w:val="4B0435C5"/>
    <w:rsid w:val="4B052E99"/>
    <w:rsid w:val="4B0610EB"/>
    <w:rsid w:val="4B0A12D3"/>
    <w:rsid w:val="4B0C4228"/>
    <w:rsid w:val="4B0D30A6"/>
    <w:rsid w:val="4B0D7E5B"/>
    <w:rsid w:val="4B0E7FA0"/>
    <w:rsid w:val="4B104B11"/>
    <w:rsid w:val="4B11098D"/>
    <w:rsid w:val="4B117A90"/>
    <w:rsid w:val="4B1355B6"/>
    <w:rsid w:val="4B15132F"/>
    <w:rsid w:val="4B157580"/>
    <w:rsid w:val="4B176112"/>
    <w:rsid w:val="4B187071"/>
    <w:rsid w:val="4B1A6B6F"/>
    <w:rsid w:val="4B1B13EE"/>
    <w:rsid w:val="4B1D4687"/>
    <w:rsid w:val="4B1D6435"/>
    <w:rsid w:val="4B1F16AE"/>
    <w:rsid w:val="4B1F1850"/>
    <w:rsid w:val="4B202CE0"/>
    <w:rsid w:val="4B223A4B"/>
    <w:rsid w:val="4B2257F9"/>
    <w:rsid w:val="4B225EDD"/>
    <w:rsid w:val="4B244232"/>
    <w:rsid w:val="4B245A16"/>
    <w:rsid w:val="4B257098"/>
    <w:rsid w:val="4B261723"/>
    <w:rsid w:val="4B2A00A4"/>
    <w:rsid w:val="4B2B0B52"/>
    <w:rsid w:val="4B2D2BAA"/>
    <w:rsid w:val="4B321EE0"/>
    <w:rsid w:val="4B335E33"/>
    <w:rsid w:val="4B337A07"/>
    <w:rsid w:val="4B375749"/>
    <w:rsid w:val="4B391168"/>
    <w:rsid w:val="4B3A0D95"/>
    <w:rsid w:val="4B3B2B55"/>
    <w:rsid w:val="4B3E6269"/>
    <w:rsid w:val="4B3F0159"/>
    <w:rsid w:val="4B4022CA"/>
    <w:rsid w:val="4B40491C"/>
    <w:rsid w:val="4B412124"/>
    <w:rsid w:val="4B427B68"/>
    <w:rsid w:val="4B46773A"/>
    <w:rsid w:val="4B4957AE"/>
    <w:rsid w:val="4B4B6897"/>
    <w:rsid w:val="4B4C2EF5"/>
    <w:rsid w:val="4B4D265B"/>
    <w:rsid w:val="4B4E65EF"/>
    <w:rsid w:val="4B551300"/>
    <w:rsid w:val="4B561E38"/>
    <w:rsid w:val="4B5A1437"/>
    <w:rsid w:val="4B5C0D0B"/>
    <w:rsid w:val="4B5D0F31"/>
    <w:rsid w:val="4B5D2CD5"/>
    <w:rsid w:val="4B5D4A84"/>
    <w:rsid w:val="4B5F25AA"/>
    <w:rsid w:val="4B5F6A4E"/>
    <w:rsid w:val="4B600C9F"/>
    <w:rsid w:val="4B616322"/>
    <w:rsid w:val="4B63653E"/>
    <w:rsid w:val="4B637D79"/>
    <w:rsid w:val="4B642252"/>
    <w:rsid w:val="4B683B54"/>
    <w:rsid w:val="4B692966"/>
    <w:rsid w:val="4B6B0F07"/>
    <w:rsid w:val="4B6B71A0"/>
    <w:rsid w:val="4B6C4CC7"/>
    <w:rsid w:val="4B700C5B"/>
    <w:rsid w:val="4B773D97"/>
    <w:rsid w:val="4B7B4D7B"/>
    <w:rsid w:val="4B7C7600"/>
    <w:rsid w:val="4B810772"/>
    <w:rsid w:val="4B840262"/>
    <w:rsid w:val="4B8457A2"/>
    <w:rsid w:val="4B866DAB"/>
    <w:rsid w:val="4B8736E2"/>
    <w:rsid w:val="4B887D52"/>
    <w:rsid w:val="4B892032"/>
    <w:rsid w:val="4B8B15F1"/>
    <w:rsid w:val="4B8D5A8A"/>
    <w:rsid w:val="4B8F7333"/>
    <w:rsid w:val="4B901608"/>
    <w:rsid w:val="4B92472D"/>
    <w:rsid w:val="4B944949"/>
    <w:rsid w:val="4B95246F"/>
    <w:rsid w:val="4B963A09"/>
    <w:rsid w:val="4B9745A8"/>
    <w:rsid w:val="4B993E6F"/>
    <w:rsid w:val="4B997BA3"/>
    <w:rsid w:val="4B9D00C6"/>
    <w:rsid w:val="4B9F32EE"/>
    <w:rsid w:val="4B9F6645"/>
    <w:rsid w:val="4BA12BC2"/>
    <w:rsid w:val="4BA16A96"/>
    <w:rsid w:val="4BA278E6"/>
    <w:rsid w:val="4BA32BF6"/>
    <w:rsid w:val="4BA32DDE"/>
    <w:rsid w:val="4BA803F5"/>
    <w:rsid w:val="4BAD1567"/>
    <w:rsid w:val="4BAD5A0B"/>
    <w:rsid w:val="4BAD77B9"/>
    <w:rsid w:val="4BAD7C0A"/>
    <w:rsid w:val="4BB22C33"/>
    <w:rsid w:val="4BB24DCF"/>
    <w:rsid w:val="4BB5041C"/>
    <w:rsid w:val="4BB57ADD"/>
    <w:rsid w:val="4BB723E6"/>
    <w:rsid w:val="4BB943B0"/>
    <w:rsid w:val="4BB96EE7"/>
    <w:rsid w:val="4BBA4717"/>
    <w:rsid w:val="4BBC17AA"/>
    <w:rsid w:val="4BBD5522"/>
    <w:rsid w:val="4BBD64EA"/>
    <w:rsid w:val="4BBF129A"/>
    <w:rsid w:val="4BBF74EC"/>
    <w:rsid w:val="4BC36FDC"/>
    <w:rsid w:val="4BC6087B"/>
    <w:rsid w:val="4BC712B4"/>
    <w:rsid w:val="4BC845F3"/>
    <w:rsid w:val="4BC90492"/>
    <w:rsid w:val="4BC93EC7"/>
    <w:rsid w:val="4BCD7E5B"/>
    <w:rsid w:val="4BCF3BD3"/>
    <w:rsid w:val="4BCF5981"/>
    <w:rsid w:val="4BD15DF6"/>
    <w:rsid w:val="4BD36CB5"/>
    <w:rsid w:val="4BD411EA"/>
    <w:rsid w:val="4BD702A6"/>
    <w:rsid w:val="4BD72A88"/>
    <w:rsid w:val="4BD74836"/>
    <w:rsid w:val="4BD835FD"/>
    <w:rsid w:val="4BD905AE"/>
    <w:rsid w:val="4BDB1A2C"/>
    <w:rsid w:val="4BDE0179"/>
    <w:rsid w:val="4BDE7972"/>
    <w:rsid w:val="4BDF0074"/>
    <w:rsid w:val="4BE07B8E"/>
    <w:rsid w:val="4BE11211"/>
    <w:rsid w:val="4BE3142D"/>
    <w:rsid w:val="4BE331DB"/>
    <w:rsid w:val="4BE56F53"/>
    <w:rsid w:val="4BE9528C"/>
    <w:rsid w:val="4BEC7610"/>
    <w:rsid w:val="4BED4059"/>
    <w:rsid w:val="4BEF10FE"/>
    <w:rsid w:val="4BF278C2"/>
    <w:rsid w:val="4BF502BA"/>
    <w:rsid w:val="4BF54CBC"/>
    <w:rsid w:val="4BF61DE9"/>
    <w:rsid w:val="4BFC7DC7"/>
    <w:rsid w:val="4BFE1DC3"/>
    <w:rsid w:val="4C043151"/>
    <w:rsid w:val="4C0513A3"/>
    <w:rsid w:val="4C07090C"/>
    <w:rsid w:val="4C0726E6"/>
    <w:rsid w:val="4C082C41"/>
    <w:rsid w:val="4C0849EF"/>
    <w:rsid w:val="4C093134"/>
    <w:rsid w:val="4C0A4C0B"/>
    <w:rsid w:val="4C0C0983"/>
    <w:rsid w:val="4C0F5D7E"/>
    <w:rsid w:val="4C1130F8"/>
    <w:rsid w:val="4C1300CD"/>
    <w:rsid w:val="4C136DB7"/>
    <w:rsid w:val="4C155E52"/>
    <w:rsid w:val="4C157C1F"/>
    <w:rsid w:val="4C1635B0"/>
    <w:rsid w:val="4C1710D6"/>
    <w:rsid w:val="4C196BFC"/>
    <w:rsid w:val="4C1A4723"/>
    <w:rsid w:val="4C1B0BC7"/>
    <w:rsid w:val="4C204B15"/>
    <w:rsid w:val="4C207F8B"/>
    <w:rsid w:val="4C235CCD"/>
    <w:rsid w:val="4C24126A"/>
    <w:rsid w:val="4C25234A"/>
    <w:rsid w:val="4C2555A1"/>
    <w:rsid w:val="4C261319"/>
    <w:rsid w:val="4C26756B"/>
    <w:rsid w:val="4C2841B0"/>
    <w:rsid w:val="4C285091"/>
    <w:rsid w:val="4C294AB3"/>
    <w:rsid w:val="4C295DB9"/>
    <w:rsid w:val="4C2F01CE"/>
    <w:rsid w:val="4C2F4672"/>
    <w:rsid w:val="4C303F46"/>
    <w:rsid w:val="4C3169EA"/>
    <w:rsid w:val="4C365A00"/>
    <w:rsid w:val="4C3752D5"/>
    <w:rsid w:val="4C392DFB"/>
    <w:rsid w:val="4C3B4DC5"/>
    <w:rsid w:val="4C3C28EB"/>
    <w:rsid w:val="4C3D43F7"/>
    <w:rsid w:val="4C423185"/>
    <w:rsid w:val="4C4243A5"/>
    <w:rsid w:val="4C43011D"/>
    <w:rsid w:val="4C4579F1"/>
    <w:rsid w:val="4C490540"/>
    <w:rsid w:val="4C4A14AC"/>
    <w:rsid w:val="4C51283A"/>
    <w:rsid w:val="4C520360"/>
    <w:rsid w:val="4C52210E"/>
    <w:rsid w:val="4C5365B2"/>
    <w:rsid w:val="4C542F09"/>
    <w:rsid w:val="4C5639AD"/>
    <w:rsid w:val="4C583BC9"/>
    <w:rsid w:val="4C5900BC"/>
    <w:rsid w:val="4C5916EF"/>
    <w:rsid w:val="4C5919D9"/>
    <w:rsid w:val="4C5C4D3B"/>
    <w:rsid w:val="4C5E2A9E"/>
    <w:rsid w:val="4C602A7D"/>
    <w:rsid w:val="4C650094"/>
    <w:rsid w:val="4C677C17"/>
    <w:rsid w:val="4C686B75"/>
    <w:rsid w:val="4C6D0CF6"/>
    <w:rsid w:val="4C6E594D"/>
    <w:rsid w:val="4C733BD5"/>
    <w:rsid w:val="4C7402D7"/>
    <w:rsid w:val="4C787DC7"/>
    <w:rsid w:val="4C7B1FC6"/>
    <w:rsid w:val="4C7D71E6"/>
    <w:rsid w:val="4C870434"/>
    <w:rsid w:val="4C883D82"/>
    <w:rsid w:val="4C8A74C0"/>
    <w:rsid w:val="4C91592D"/>
    <w:rsid w:val="4C92075D"/>
    <w:rsid w:val="4C924E2D"/>
    <w:rsid w:val="4C944F10"/>
    <w:rsid w:val="4C991AEB"/>
    <w:rsid w:val="4C993E74"/>
    <w:rsid w:val="4C994B5B"/>
    <w:rsid w:val="4C995F8F"/>
    <w:rsid w:val="4C9A4CB1"/>
    <w:rsid w:val="4C9B5537"/>
    <w:rsid w:val="4C9B5863"/>
    <w:rsid w:val="4C9C466D"/>
    <w:rsid w:val="4C9D1F42"/>
    <w:rsid w:val="4C9D5A7F"/>
    <w:rsid w:val="4CA23096"/>
    <w:rsid w:val="4CA46E0E"/>
    <w:rsid w:val="4CA50490"/>
    <w:rsid w:val="4CA54934"/>
    <w:rsid w:val="4CA6284D"/>
    <w:rsid w:val="4CA74208"/>
    <w:rsid w:val="4CA90BB3"/>
    <w:rsid w:val="4CA92473"/>
    <w:rsid w:val="4CA94424"/>
    <w:rsid w:val="4CAA3CF8"/>
    <w:rsid w:val="4CAC5CC3"/>
    <w:rsid w:val="4CAD5597"/>
    <w:rsid w:val="4CB132D9"/>
    <w:rsid w:val="4CB22BAD"/>
    <w:rsid w:val="4CB608EF"/>
    <w:rsid w:val="4CB67CC2"/>
    <w:rsid w:val="4CB67D70"/>
    <w:rsid w:val="4CB701C3"/>
    <w:rsid w:val="4CB86415"/>
    <w:rsid w:val="4CB9218D"/>
    <w:rsid w:val="4CBC3CCA"/>
    <w:rsid w:val="4CBD494A"/>
    <w:rsid w:val="4CBF4695"/>
    <w:rsid w:val="4CC403EC"/>
    <w:rsid w:val="4CC50B32"/>
    <w:rsid w:val="4CC56D84"/>
    <w:rsid w:val="4CC6195C"/>
    <w:rsid w:val="4CC76658"/>
    <w:rsid w:val="4CC823D1"/>
    <w:rsid w:val="4CC90623"/>
    <w:rsid w:val="4CCA7316"/>
    <w:rsid w:val="4CCB4560"/>
    <w:rsid w:val="4CCC4DCD"/>
    <w:rsid w:val="4CCD443F"/>
    <w:rsid w:val="4CCE3E8B"/>
    <w:rsid w:val="4CD14126"/>
    <w:rsid w:val="4CD15729"/>
    <w:rsid w:val="4CD55219"/>
    <w:rsid w:val="4CDB65A8"/>
    <w:rsid w:val="4CDD5E7C"/>
    <w:rsid w:val="4CDE03E2"/>
    <w:rsid w:val="4CDE39A2"/>
    <w:rsid w:val="4CE16EA4"/>
    <w:rsid w:val="4CE865CF"/>
    <w:rsid w:val="4CE94821"/>
    <w:rsid w:val="4CEA0599"/>
    <w:rsid w:val="4CEC60BF"/>
    <w:rsid w:val="4CEE0089"/>
    <w:rsid w:val="4CEE4986"/>
    <w:rsid w:val="4CEF0F46"/>
    <w:rsid w:val="4CF03E01"/>
    <w:rsid w:val="4CF05642"/>
    <w:rsid w:val="4CF124D7"/>
    <w:rsid w:val="4CF136D5"/>
    <w:rsid w:val="4CF35FE5"/>
    <w:rsid w:val="4CF55AEC"/>
    <w:rsid w:val="4CF65190"/>
    <w:rsid w:val="4CF66F3E"/>
    <w:rsid w:val="4CF84A64"/>
    <w:rsid w:val="4CFB09F8"/>
    <w:rsid w:val="4CFB4554"/>
    <w:rsid w:val="4CFB5E07"/>
    <w:rsid w:val="4CFE5DF2"/>
    <w:rsid w:val="4D004273"/>
    <w:rsid w:val="4D01650C"/>
    <w:rsid w:val="4D0466A6"/>
    <w:rsid w:val="4D055F1A"/>
    <w:rsid w:val="4D07536F"/>
    <w:rsid w:val="4D07739D"/>
    <w:rsid w:val="4D0774C9"/>
    <w:rsid w:val="4D096C71"/>
    <w:rsid w:val="4D0A6609"/>
    <w:rsid w:val="4D0D2639"/>
    <w:rsid w:val="4D1554D9"/>
    <w:rsid w:val="4D15740A"/>
    <w:rsid w:val="4D16138E"/>
    <w:rsid w:val="4D16313C"/>
    <w:rsid w:val="4D1675E0"/>
    <w:rsid w:val="4D170530"/>
    <w:rsid w:val="4D181B86"/>
    <w:rsid w:val="4D185106"/>
    <w:rsid w:val="4D186EB4"/>
    <w:rsid w:val="4D1A0E7E"/>
    <w:rsid w:val="4D1A1305"/>
    <w:rsid w:val="4D1B0752"/>
    <w:rsid w:val="4D1E1E4B"/>
    <w:rsid w:val="4D1E4B11"/>
    <w:rsid w:val="4D203FBB"/>
    <w:rsid w:val="4D225F85"/>
    <w:rsid w:val="4D227A97"/>
    <w:rsid w:val="4D2515D1"/>
    <w:rsid w:val="4D27359B"/>
    <w:rsid w:val="4D275349"/>
    <w:rsid w:val="4D294E8D"/>
    <w:rsid w:val="4D297313"/>
    <w:rsid w:val="4D2B308B"/>
    <w:rsid w:val="4D2C2AA8"/>
    <w:rsid w:val="4D3006A2"/>
    <w:rsid w:val="4D33390E"/>
    <w:rsid w:val="4D357A66"/>
    <w:rsid w:val="4D364BEE"/>
    <w:rsid w:val="4D396552"/>
    <w:rsid w:val="4D3D2DBF"/>
    <w:rsid w:val="4D3F2693"/>
    <w:rsid w:val="4D40640B"/>
    <w:rsid w:val="4D4203D5"/>
    <w:rsid w:val="4D422183"/>
    <w:rsid w:val="4D423F31"/>
    <w:rsid w:val="4D453A21"/>
    <w:rsid w:val="4D4642C1"/>
    <w:rsid w:val="4D470322"/>
    <w:rsid w:val="4D482874"/>
    <w:rsid w:val="4D491763"/>
    <w:rsid w:val="4D493511"/>
    <w:rsid w:val="4D4B17C6"/>
    <w:rsid w:val="4D530006"/>
    <w:rsid w:val="4D5325E2"/>
    <w:rsid w:val="4D5408C8"/>
    <w:rsid w:val="4D553C64"/>
    <w:rsid w:val="4D573E80"/>
    <w:rsid w:val="4D583E78"/>
    <w:rsid w:val="4D5F2D35"/>
    <w:rsid w:val="4D5F4AE3"/>
    <w:rsid w:val="4D607A39"/>
    <w:rsid w:val="4D61085B"/>
    <w:rsid w:val="4D6245D3"/>
    <w:rsid w:val="4D695962"/>
    <w:rsid w:val="4D6C4BAD"/>
    <w:rsid w:val="4D6D713B"/>
    <w:rsid w:val="4D6E2F78"/>
    <w:rsid w:val="4D6E4D26"/>
    <w:rsid w:val="4D6F1F52"/>
    <w:rsid w:val="4D720CBA"/>
    <w:rsid w:val="4D761E2D"/>
    <w:rsid w:val="4D775CBF"/>
    <w:rsid w:val="4D7762D0"/>
    <w:rsid w:val="4D7871AF"/>
    <w:rsid w:val="4D7A191D"/>
    <w:rsid w:val="4D7A3369"/>
    <w:rsid w:val="4D7B5A62"/>
    <w:rsid w:val="4D7C38E7"/>
    <w:rsid w:val="4D7C5695"/>
    <w:rsid w:val="4D7D31BB"/>
    <w:rsid w:val="4D7E625F"/>
    <w:rsid w:val="4D7E6575"/>
    <w:rsid w:val="4D804966"/>
    <w:rsid w:val="4D88228C"/>
    <w:rsid w:val="4D896004"/>
    <w:rsid w:val="4D8C1650"/>
    <w:rsid w:val="4D8C33FE"/>
    <w:rsid w:val="4D8D4622"/>
    <w:rsid w:val="4D902EEE"/>
    <w:rsid w:val="4D926C66"/>
    <w:rsid w:val="4D93478D"/>
    <w:rsid w:val="4D937532"/>
    <w:rsid w:val="4D96420E"/>
    <w:rsid w:val="4D981DA3"/>
    <w:rsid w:val="4D9A3D6D"/>
    <w:rsid w:val="4D9B1224"/>
    <w:rsid w:val="4D9C7768"/>
    <w:rsid w:val="4D9D5085"/>
    <w:rsid w:val="4D9F3831"/>
    <w:rsid w:val="4D9F43E8"/>
    <w:rsid w:val="4DA10F2C"/>
    <w:rsid w:val="4DA30E74"/>
    <w:rsid w:val="4DA44F56"/>
    <w:rsid w:val="4DA4699A"/>
    <w:rsid w:val="4DA70238"/>
    <w:rsid w:val="4DA8648A"/>
    <w:rsid w:val="4DA90ADA"/>
    <w:rsid w:val="4DA92202"/>
    <w:rsid w:val="4DAA5E09"/>
    <w:rsid w:val="4DAB1AD6"/>
    <w:rsid w:val="4DAC0C96"/>
    <w:rsid w:val="4DAD1CF2"/>
    <w:rsid w:val="4DB36BDD"/>
    <w:rsid w:val="4DB447D1"/>
    <w:rsid w:val="4DB56DF9"/>
    <w:rsid w:val="4DB74893"/>
    <w:rsid w:val="4DB766CD"/>
    <w:rsid w:val="4DB841F3"/>
    <w:rsid w:val="4DBA7C73"/>
    <w:rsid w:val="4DBA7F6B"/>
    <w:rsid w:val="4DBC0187"/>
    <w:rsid w:val="4DBF26D1"/>
    <w:rsid w:val="4DC112FA"/>
    <w:rsid w:val="4DC15DBF"/>
    <w:rsid w:val="4DC3717B"/>
    <w:rsid w:val="4DC4528E"/>
    <w:rsid w:val="4DC50327"/>
    <w:rsid w:val="4DC66910"/>
    <w:rsid w:val="4DC94652"/>
    <w:rsid w:val="4DC96400"/>
    <w:rsid w:val="4DCB03CA"/>
    <w:rsid w:val="4DCB3F26"/>
    <w:rsid w:val="4DCC3EE8"/>
    <w:rsid w:val="4DCD4142"/>
    <w:rsid w:val="4DCE1C69"/>
    <w:rsid w:val="4DCE278A"/>
    <w:rsid w:val="4DCE3A17"/>
    <w:rsid w:val="4DD03C33"/>
    <w:rsid w:val="4DD3102D"/>
    <w:rsid w:val="4DD4244E"/>
    <w:rsid w:val="4DD51CC9"/>
    <w:rsid w:val="4DD82555"/>
    <w:rsid w:val="4DD92AE7"/>
    <w:rsid w:val="4DDC6134"/>
    <w:rsid w:val="4DE0558A"/>
    <w:rsid w:val="4DE1374A"/>
    <w:rsid w:val="4DE17BEE"/>
    <w:rsid w:val="4DE33966"/>
    <w:rsid w:val="4DE4323A"/>
    <w:rsid w:val="4DE84AD8"/>
    <w:rsid w:val="4DEB6377"/>
    <w:rsid w:val="4DEC34D2"/>
    <w:rsid w:val="4DEC376A"/>
    <w:rsid w:val="4DF1080B"/>
    <w:rsid w:val="4DF25957"/>
    <w:rsid w:val="4DF26AA6"/>
    <w:rsid w:val="4DF358C2"/>
    <w:rsid w:val="4DF418B5"/>
    <w:rsid w:val="4DF5447B"/>
    <w:rsid w:val="4DF55447"/>
    <w:rsid w:val="4DFB0D80"/>
    <w:rsid w:val="4DFC5F4D"/>
    <w:rsid w:val="4E002804"/>
    <w:rsid w:val="4E035BB0"/>
    <w:rsid w:val="4E041E15"/>
    <w:rsid w:val="4E043249"/>
    <w:rsid w:val="4E056678"/>
    <w:rsid w:val="4E094A4F"/>
    <w:rsid w:val="4E0C3AF7"/>
    <w:rsid w:val="4E0D09E3"/>
    <w:rsid w:val="4E127DA7"/>
    <w:rsid w:val="4E143B1F"/>
    <w:rsid w:val="4E157897"/>
    <w:rsid w:val="4E17235B"/>
    <w:rsid w:val="4E17648E"/>
    <w:rsid w:val="4E1A6C5C"/>
    <w:rsid w:val="4E1B35C4"/>
    <w:rsid w:val="4E1C0C26"/>
    <w:rsid w:val="4E1C29D4"/>
    <w:rsid w:val="4E1C3097"/>
    <w:rsid w:val="4E1F0554"/>
    <w:rsid w:val="4E200716"/>
    <w:rsid w:val="4E257ADB"/>
    <w:rsid w:val="4E261AA5"/>
    <w:rsid w:val="4E263A7A"/>
    <w:rsid w:val="4E2709D4"/>
    <w:rsid w:val="4E2E4224"/>
    <w:rsid w:val="4E301D0E"/>
    <w:rsid w:val="4E304D1A"/>
    <w:rsid w:val="4E3150E2"/>
    <w:rsid w:val="4E323FA5"/>
    <w:rsid w:val="4E350BB5"/>
    <w:rsid w:val="4E35193A"/>
    <w:rsid w:val="4E353158"/>
    <w:rsid w:val="4E354A9E"/>
    <w:rsid w:val="4E361CE8"/>
    <w:rsid w:val="4E385918"/>
    <w:rsid w:val="4E393586"/>
    <w:rsid w:val="4E395334"/>
    <w:rsid w:val="4E3A10AC"/>
    <w:rsid w:val="4E3B5550"/>
    <w:rsid w:val="4E3B5B69"/>
    <w:rsid w:val="4E3B72FE"/>
    <w:rsid w:val="4E3C5889"/>
    <w:rsid w:val="4E3E06F2"/>
    <w:rsid w:val="4E3E37EC"/>
    <w:rsid w:val="4E402B66"/>
    <w:rsid w:val="4E41243B"/>
    <w:rsid w:val="4E417D93"/>
    <w:rsid w:val="4E434405"/>
    <w:rsid w:val="4E446BEC"/>
    <w:rsid w:val="4E45017D"/>
    <w:rsid w:val="4E451F2B"/>
    <w:rsid w:val="4E4915CE"/>
    <w:rsid w:val="4E4B32B9"/>
    <w:rsid w:val="4E4C150B"/>
    <w:rsid w:val="4E4D5542"/>
    <w:rsid w:val="4E4D7C9E"/>
    <w:rsid w:val="4E5403C0"/>
    <w:rsid w:val="4E54216E"/>
    <w:rsid w:val="4E5657AD"/>
    <w:rsid w:val="4E591146"/>
    <w:rsid w:val="4E5B4F82"/>
    <w:rsid w:val="4E5B5B21"/>
    <w:rsid w:val="4E5C54C6"/>
    <w:rsid w:val="4E5E4D9B"/>
    <w:rsid w:val="4E5E6F3B"/>
    <w:rsid w:val="4E6323B1"/>
    <w:rsid w:val="4E64070B"/>
    <w:rsid w:val="4E683EB1"/>
    <w:rsid w:val="4E6A7BE3"/>
    <w:rsid w:val="4E6B71D6"/>
    <w:rsid w:val="4E6C5709"/>
    <w:rsid w:val="4E6D1482"/>
    <w:rsid w:val="4E6E6020"/>
    <w:rsid w:val="4E704ACE"/>
    <w:rsid w:val="4E712D20"/>
    <w:rsid w:val="4E740A62"/>
    <w:rsid w:val="4E742810"/>
    <w:rsid w:val="4E751E50"/>
    <w:rsid w:val="4E760336"/>
    <w:rsid w:val="4E766588"/>
    <w:rsid w:val="4E772300"/>
    <w:rsid w:val="4E807407"/>
    <w:rsid w:val="4E830CA5"/>
    <w:rsid w:val="4E832A53"/>
    <w:rsid w:val="4E8567CB"/>
    <w:rsid w:val="4E872543"/>
    <w:rsid w:val="4E8A08DC"/>
    <w:rsid w:val="4E8B77FA"/>
    <w:rsid w:val="4E8C5DAC"/>
    <w:rsid w:val="4E8C7B5A"/>
    <w:rsid w:val="4E916F1E"/>
    <w:rsid w:val="4E922C96"/>
    <w:rsid w:val="4E930520"/>
    <w:rsid w:val="4E9407BC"/>
    <w:rsid w:val="4E964534"/>
    <w:rsid w:val="4E9702AC"/>
    <w:rsid w:val="4E9764FE"/>
    <w:rsid w:val="4E984750"/>
    <w:rsid w:val="4E9A063F"/>
    <w:rsid w:val="4E9B5FEF"/>
    <w:rsid w:val="4E9C3B15"/>
    <w:rsid w:val="4E9C58C3"/>
    <w:rsid w:val="4E9E45D0"/>
    <w:rsid w:val="4E9E77F7"/>
    <w:rsid w:val="4E9E788D"/>
    <w:rsid w:val="4E9F706E"/>
    <w:rsid w:val="4EA015F8"/>
    <w:rsid w:val="4EA2737D"/>
    <w:rsid w:val="4EA34EA3"/>
    <w:rsid w:val="4EA56E6D"/>
    <w:rsid w:val="4EA7751E"/>
    <w:rsid w:val="4EA8070C"/>
    <w:rsid w:val="4EA824BA"/>
    <w:rsid w:val="4EA948AD"/>
    <w:rsid w:val="4EAA7FE0"/>
    <w:rsid w:val="4EB06665"/>
    <w:rsid w:val="4EB1136E"/>
    <w:rsid w:val="4EB175C0"/>
    <w:rsid w:val="4EB250E6"/>
    <w:rsid w:val="4EB40E5E"/>
    <w:rsid w:val="4EB55980"/>
    <w:rsid w:val="4EB726FD"/>
    <w:rsid w:val="4EB8094F"/>
    <w:rsid w:val="4EB945D7"/>
    <w:rsid w:val="4EBB043F"/>
    <w:rsid w:val="4EBB0A95"/>
    <w:rsid w:val="4EC07803"/>
    <w:rsid w:val="4EC15329"/>
    <w:rsid w:val="4EC2357B"/>
    <w:rsid w:val="4EC2494C"/>
    <w:rsid w:val="4EC27A09"/>
    <w:rsid w:val="4EC310A1"/>
    <w:rsid w:val="4EC45545"/>
    <w:rsid w:val="4EC6784C"/>
    <w:rsid w:val="4EC72940"/>
    <w:rsid w:val="4EC76DE4"/>
    <w:rsid w:val="4EC8490A"/>
    <w:rsid w:val="4EC970BC"/>
    <w:rsid w:val="4ECA2430"/>
    <w:rsid w:val="4ECC43FA"/>
    <w:rsid w:val="4ED00D27"/>
    <w:rsid w:val="4ED32599"/>
    <w:rsid w:val="4ED4505D"/>
    <w:rsid w:val="4ED80FF1"/>
    <w:rsid w:val="4EDB288F"/>
    <w:rsid w:val="4EDB63EB"/>
    <w:rsid w:val="4EDD6607"/>
    <w:rsid w:val="4EDD74E8"/>
    <w:rsid w:val="4EDF4BC9"/>
    <w:rsid w:val="4EDF611A"/>
    <w:rsid w:val="4EE150E7"/>
    <w:rsid w:val="4EE2777A"/>
    <w:rsid w:val="4EE46FAF"/>
    <w:rsid w:val="4EE5726A"/>
    <w:rsid w:val="4EE71234"/>
    <w:rsid w:val="4EE7471F"/>
    <w:rsid w:val="4EE94887"/>
    <w:rsid w:val="4EE94FAC"/>
    <w:rsid w:val="4EE96D5A"/>
    <w:rsid w:val="4EEA0D24"/>
    <w:rsid w:val="4EEA4880"/>
    <w:rsid w:val="4EEC684A"/>
    <w:rsid w:val="4EEF633A"/>
    <w:rsid w:val="4EF13E61"/>
    <w:rsid w:val="4EF15C0F"/>
    <w:rsid w:val="4EF16DED"/>
    <w:rsid w:val="4EF179BD"/>
    <w:rsid w:val="4EF31987"/>
    <w:rsid w:val="4EF43951"/>
    <w:rsid w:val="4EF456FF"/>
    <w:rsid w:val="4EF63225"/>
    <w:rsid w:val="4EF66343"/>
    <w:rsid w:val="4EF8133E"/>
    <w:rsid w:val="4EF83441"/>
    <w:rsid w:val="4EF8746D"/>
    <w:rsid w:val="4EFB3317"/>
    <w:rsid w:val="4EFB41B1"/>
    <w:rsid w:val="4EFB6A8D"/>
    <w:rsid w:val="4EFD0A57"/>
    <w:rsid w:val="4EFF5B7A"/>
    <w:rsid w:val="4F0040A4"/>
    <w:rsid w:val="4F024807"/>
    <w:rsid w:val="4F027ACE"/>
    <w:rsid w:val="4F027D72"/>
    <w:rsid w:val="4F027E1C"/>
    <w:rsid w:val="4F0516BA"/>
    <w:rsid w:val="4F05790C"/>
    <w:rsid w:val="4F075432"/>
    <w:rsid w:val="4F082F58"/>
    <w:rsid w:val="4F0A4F22"/>
    <w:rsid w:val="4F0D65C6"/>
    <w:rsid w:val="4F0E2627"/>
    <w:rsid w:val="4F0F70E9"/>
    <w:rsid w:val="4F12716D"/>
    <w:rsid w:val="4F1278D3"/>
    <w:rsid w:val="4F130479"/>
    <w:rsid w:val="4F1338C8"/>
    <w:rsid w:val="4F155DA1"/>
    <w:rsid w:val="4F1638C7"/>
    <w:rsid w:val="4F165675"/>
    <w:rsid w:val="4F183BE6"/>
    <w:rsid w:val="4F18763F"/>
    <w:rsid w:val="4F1A33B7"/>
    <w:rsid w:val="4F1D6A04"/>
    <w:rsid w:val="4F1E452A"/>
    <w:rsid w:val="4F1F09CE"/>
    <w:rsid w:val="4F22735C"/>
    <w:rsid w:val="4F245FE4"/>
    <w:rsid w:val="4F253B0A"/>
    <w:rsid w:val="4F2747B0"/>
    <w:rsid w:val="4F277882"/>
    <w:rsid w:val="4F290B6C"/>
    <w:rsid w:val="4F290E4B"/>
    <w:rsid w:val="4F2935FA"/>
    <w:rsid w:val="4F2C30EB"/>
    <w:rsid w:val="4F2F145C"/>
    <w:rsid w:val="4F3124AF"/>
    <w:rsid w:val="4F334479"/>
    <w:rsid w:val="4F337FD9"/>
    <w:rsid w:val="4F3527AE"/>
    <w:rsid w:val="4F3A5808"/>
    <w:rsid w:val="4F3B1580"/>
    <w:rsid w:val="4F3B50DC"/>
    <w:rsid w:val="4F3C2AD4"/>
    <w:rsid w:val="4F3E020B"/>
    <w:rsid w:val="4F3F1822"/>
    <w:rsid w:val="4F413D75"/>
    <w:rsid w:val="4F42290E"/>
    <w:rsid w:val="4F48076A"/>
    <w:rsid w:val="4F495A4B"/>
    <w:rsid w:val="4F4B17C3"/>
    <w:rsid w:val="4F4C553B"/>
    <w:rsid w:val="4F4E12B3"/>
    <w:rsid w:val="4F4E4E0F"/>
    <w:rsid w:val="4F4E52A1"/>
    <w:rsid w:val="4F506DD9"/>
    <w:rsid w:val="4F514250"/>
    <w:rsid w:val="4F5148FF"/>
    <w:rsid w:val="4F5252CE"/>
    <w:rsid w:val="4F583EE0"/>
    <w:rsid w:val="4F59348C"/>
    <w:rsid w:val="4F5A11FE"/>
    <w:rsid w:val="4F5A491C"/>
    <w:rsid w:val="4F5D14F6"/>
    <w:rsid w:val="4F5D5052"/>
    <w:rsid w:val="4F5F701C"/>
    <w:rsid w:val="4F611C1E"/>
    <w:rsid w:val="4F652907"/>
    <w:rsid w:val="4F663636"/>
    <w:rsid w:val="4F676C83"/>
    <w:rsid w:val="4F6B3C13"/>
    <w:rsid w:val="4F6C5EFF"/>
    <w:rsid w:val="4F701229"/>
    <w:rsid w:val="4F711713"/>
    <w:rsid w:val="4F712E54"/>
    <w:rsid w:val="4F727179"/>
    <w:rsid w:val="4F740A98"/>
    <w:rsid w:val="4F74239C"/>
    <w:rsid w:val="4F7615CB"/>
    <w:rsid w:val="4F7A20A8"/>
    <w:rsid w:val="4F7A3E56"/>
    <w:rsid w:val="4F7C7BCE"/>
    <w:rsid w:val="4F8151E4"/>
    <w:rsid w:val="4F823409"/>
    <w:rsid w:val="4F840831"/>
    <w:rsid w:val="4F846A83"/>
    <w:rsid w:val="4F860A4D"/>
    <w:rsid w:val="4F8F3E46"/>
    <w:rsid w:val="4F90367A"/>
    <w:rsid w:val="4F912F4E"/>
    <w:rsid w:val="4F9273F2"/>
    <w:rsid w:val="4F936CC6"/>
    <w:rsid w:val="4F94647A"/>
    <w:rsid w:val="4F964BD7"/>
    <w:rsid w:val="4F9A7223"/>
    <w:rsid w:val="4F9D7B44"/>
    <w:rsid w:val="4FA80603"/>
    <w:rsid w:val="4FA964E9"/>
    <w:rsid w:val="4FAB48D9"/>
    <w:rsid w:val="4FAC6581"/>
    <w:rsid w:val="4FAD5FDA"/>
    <w:rsid w:val="4FAE1D52"/>
    <w:rsid w:val="4FB10AD3"/>
    <w:rsid w:val="4FB37368"/>
    <w:rsid w:val="4FB42A47"/>
    <w:rsid w:val="4FB70C06"/>
    <w:rsid w:val="4FB715EB"/>
    <w:rsid w:val="4FBB7FCB"/>
    <w:rsid w:val="4FBC446F"/>
    <w:rsid w:val="4FBD3D43"/>
    <w:rsid w:val="4FBE01E7"/>
    <w:rsid w:val="4FBF3F5F"/>
    <w:rsid w:val="4FC357FD"/>
    <w:rsid w:val="4FC60E49"/>
    <w:rsid w:val="4FC652ED"/>
    <w:rsid w:val="4FC82E13"/>
    <w:rsid w:val="4FC95BF3"/>
    <w:rsid w:val="4FCB2904"/>
    <w:rsid w:val="4FCC21D8"/>
    <w:rsid w:val="4FD00C22"/>
    <w:rsid w:val="4FD03A76"/>
    <w:rsid w:val="4FD215F5"/>
    <w:rsid w:val="4FDC039B"/>
    <w:rsid w:val="4FDD43E5"/>
    <w:rsid w:val="4FDD76AE"/>
    <w:rsid w:val="4FDE2637"/>
    <w:rsid w:val="4FDF5D53"/>
    <w:rsid w:val="4FE37F63"/>
    <w:rsid w:val="4FE4651D"/>
    <w:rsid w:val="4FE63299"/>
    <w:rsid w:val="4FED4628"/>
    <w:rsid w:val="4FF27E90"/>
    <w:rsid w:val="4FF43C08"/>
    <w:rsid w:val="4FF4485A"/>
    <w:rsid w:val="4FF569A4"/>
    <w:rsid w:val="4FF57980"/>
    <w:rsid w:val="4FF754A7"/>
    <w:rsid w:val="4FF86222"/>
    <w:rsid w:val="4FF93038"/>
    <w:rsid w:val="4FFA4F97"/>
    <w:rsid w:val="4FFB24F9"/>
    <w:rsid w:val="4FFC2ABD"/>
    <w:rsid w:val="4FFF120E"/>
    <w:rsid w:val="50002C9D"/>
    <w:rsid w:val="50011E81"/>
    <w:rsid w:val="50016325"/>
    <w:rsid w:val="5003098E"/>
    <w:rsid w:val="500325F7"/>
    <w:rsid w:val="50033F45"/>
    <w:rsid w:val="50054574"/>
    <w:rsid w:val="5006393C"/>
    <w:rsid w:val="500876B4"/>
    <w:rsid w:val="500951DA"/>
    <w:rsid w:val="50095BEE"/>
    <w:rsid w:val="500A3750"/>
    <w:rsid w:val="500A39D9"/>
    <w:rsid w:val="500B4CDF"/>
    <w:rsid w:val="500B51F2"/>
    <w:rsid w:val="500B71A4"/>
    <w:rsid w:val="500E459E"/>
    <w:rsid w:val="5010654B"/>
    <w:rsid w:val="50121A94"/>
    <w:rsid w:val="50125E3D"/>
    <w:rsid w:val="501716A5"/>
    <w:rsid w:val="5017280E"/>
    <w:rsid w:val="5019541D"/>
    <w:rsid w:val="501A40DC"/>
    <w:rsid w:val="501B72A6"/>
    <w:rsid w:val="501C6CBB"/>
    <w:rsid w:val="50213118"/>
    <w:rsid w:val="5023004A"/>
    <w:rsid w:val="502344EE"/>
    <w:rsid w:val="502528B3"/>
    <w:rsid w:val="50267B3A"/>
    <w:rsid w:val="502913D8"/>
    <w:rsid w:val="50292A81"/>
    <w:rsid w:val="5029616D"/>
    <w:rsid w:val="502A3A06"/>
    <w:rsid w:val="502B33A2"/>
    <w:rsid w:val="502B5150"/>
    <w:rsid w:val="502E69EF"/>
    <w:rsid w:val="502F4C40"/>
    <w:rsid w:val="50302767"/>
    <w:rsid w:val="503032A9"/>
    <w:rsid w:val="5032028D"/>
    <w:rsid w:val="5032409D"/>
    <w:rsid w:val="50324731"/>
    <w:rsid w:val="503264DF"/>
    <w:rsid w:val="50344E97"/>
    <w:rsid w:val="50357D7D"/>
    <w:rsid w:val="50373AF5"/>
    <w:rsid w:val="503867CE"/>
    <w:rsid w:val="503B1837"/>
    <w:rsid w:val="503B2F77"/>
    <w:rsid w:val="503C735D"/>
    <w:rsid w:val="503E02C1"/>
    <w:rsid w:val="503E2640"/>
    <w:rsid w:val="503E4E84"/>
    <w:rsid w:val="503F0BFC"/>
    <w:rsid w:val="503F29AA"/>
    <w:rsid w:val="503F6404"/>
    <w:rsid w:val="504357E6"/>
    <w:rsid w:val="50466B5E"/>
    <w:rsid w:val="504B146F"/>
    <w:rsid w:val="50506965"/>
    <w:rsid w:val="50533347"/>
    <w:rsid w:val="505428F9"/>
    <w:rsid w:val="505446A7"/>
    <w:rsid w:val="50566671"/>
    <w:rsid w:val="50575289"/>
    <w:rsid w:val="50591CBD"/>
    <w:rsid w:val="505A15A9"/>
    <w:rsid w:val="5062199F"/>
    <w:rsid w:val="5065520B"/>
    <w:rsid w:val="50661E70"/>
    <w:rsid w:val="506643DA"/>
    <w:rsid w:val="50680152"/>
    <w:rsid w:val="50681F00"/>
    <w:rsid w:val="50686656"/>
    <w:rsid w:val="50690566"/>
    <w:rsid w:val="50697A27"/>
    <w:rsid w:val="506B4730"/>
    <w:rsid w:val="506B7771"/>
    <w:rsid w:val="506B7C43"/>
    <w:rsid w:val="506D5769"/>
    <w:rsid w:val="506F328F"/>
    <w:rsid w:val="50702323"/>
    <w:rsid w:val="50722FD6"/>
    <w:rsid w:val="50724B2D"/>
    <w:rsid w:val="50746077"/>
    <w:rsid w:val="50760AC1"/>
    <w:rsid w:val="50770396"/>
    <w:rsid w:val="50772144"/>
    <w:rsid w:val="5079410E"/>
    <w:rsid w:val="507A1C34"/>
    <w:rsid w:val="507A34AD"/>
    <w:rsid w:val="507A6580"/>
    <w:rsid w:val="507B60D8"/>
    <w:rsid w:val="507D3D9C"/>
    <w:rsid w:val="507E34D2"/>
    <w:rsid w:val="507E7976"/>
    <w:rsid w:val="50812FC2"/>
    <w:rsid w:val="50825FA5"/>
    <w:rsid w:val="508420A6"/>
    <w:rsid w:val="50854E71"/>
    <w:rsid w:val="5086682B"/>
    <w:rsid w:val="5088002F"/>
    <w:rsid w:val="508D1967"/>
    <w:rsid w:val="508F0E90"/>
    <w:rsid w:val="50900BBC"/>
    <w:rsid w:val="50901457"/>
    <w:rsid w:val="50913377"/>
    <w:rsid w:val="50940112"/>
    <w:rsid w:val="509461CB"/>
    <w:rsid w:val="50947199"/>
    <w:rsid w:val="509B4084"/>
    <w:rsid w:val="509C604E"/>
    <w:rsid w:val="509C7DFC"/>
    <w:rsid w:val="509D6D4D"/>
    <w:rsid w:val="509E5922"/>
    <w:rsid w:val="50A13664"/>
    <w:rsid w:val="50A70C7B"/>
    <w:rsid w:val="50AA312A"/>
    <w:rsid w:val="50AB003F"/>
    <w:rsid w:val="50AC44E3"/>
    <w:rsid w:val="50AC62D8"/>
    <w:rsid w:val="50AD2009"/>
    <w:rsid w:val="50AD387F"/>
    <w:rsid w:val="50AF6900"/>
    <w:rsid w:val="50B05655"/>
    <w:rsid w:val="50B415EA"/>
    <w:rsid w:val="50BB4EA3"/>
    <w:rsid w:val="50BD049E"/>
    <w:rsid w:val="50C555A5"/>
    <w:rsid w:val="50C7131D"/>
    <w:rsid w:val="50C77758"/>
    <w:rsid w:val="50C86974"/>
    <w:rsid w:val="50CA6717"/>
    <w:rsid w:val="50CC6933"/>
    <w:rsid w:val="50CD6BF7"/>
    <w:rsid w:val="50CE348B"/>
    <w:rsid w:val="50CF01D2"/>
    <w:rsid w:val="50D1080A"/>
    <w:rsid w:val="50D2381E"/>
    <w:rsid w:val="50D35CFB"/>
    <w:rsid w:val="50D41344"/>
    <w:rsid w:val="50D476A7"/>
    <w:rsid w:val="50D6330E"/>
    <w:rsid w:val="50D70E34"/>
    <w:rsid w:val="50D71373"/>
    <w:rsid w:val="50D91050"/>
    <w:rsid w:val="50D92DFE"/>
    <w:rsid w:val="50DB26D2"/>
    <w:rsid w:val="50E172E3"/>
    <w:rsid w:val="50E27F05"/>
    <w:rsid w:val="50E517A3"/>
    <w:rsid w:val="50E641D0"/>
    <w:rsid w:val="50E75601"/>
    <w:rsid w:val="50E81293"/>
    <w:rsid w:val="50E83041"/>
    <w:rsid w:val="50E97F21"/>
    <w:rsid w:val="50EA500B"/>
    <w:rsid w:val="50EC2B32"/>
    <w:rsid w:val="50ED0658"/>
    <w:rsid w:val="50ED2406"/>
    <w:rsid w:val="50ED3F31"/>
    <w:rsid w:val="50EE4AFC"/>
    <w:rsid w:val="50EF43D0"/>
    <w:rsid w:val="50F02F69"/>
    <w:rsid w:val="50F1639A"/>
    <w:rsid w:val="50F32112"/>
    <w:rsid w:val="50F33EC0"/>
    <w:rsid w:val="50F360E5"/>
    <w:rsid w:val="50F6575E"/>
    <w:rsid w:val="50F73284"/>
    <w:rsid w:val="50FC6397"/>
    <w:rsid w:val="50FD4D3F"/>
    <w:rsid w:val="5100038B"/>
    <w:rsid w:val="5100482F"/>
    <w:rsid w:val="51031C29"/>
    <w:rsid w:val="51044B29"/>
    <w:rsid w:val="51064216"/>
    <w:rsid w:val="510936E3"/>
    <w:rsid w:val="510A2FB8"/>
    <w:rsid w:val="510E659B"/>
    <w:rsid w:val="510F337D"/>
    <w:rsid w:val="510F4A72"/>
    <w:rsid w:val="510F659C"/>
    <w:rsid w:val="510F6820"/>
    <w:rsid w:val="51114346"/>
    <w:rsid w:val="511730A2"/>
    <w:rsid w:val="511931FB"/>
    <w:rsid w:val="511A43D2"/>
    <w:rsid w:val="511B51C5"/>
    <w:rsid w:val="511B6F73"/>
    <w:rsid w:val="511D3A50"/>
    <w:rsid w:val="512012DC"/>
    <w:rsid w:val="512027DB"/>
    <w:rsid w:val="51204589"/>
    <w:rsid w:val="51214051"/>
    <w:rsid w:val="51220301"/>
    <w:rsid w:val="51223C5D"/>
    <w:rsid w:val="5124673D"/>
    <w:rsid w:val="51254295"/>
    <w:rsid w:val="512A18AC"/>
    <w:rsid w:val="512F2A1E"/>
    <w:rsid w:val="51323088"/>
    <w:rsid w:val="51324101"/>
    <w:rsid w:val="513242BC"/>
    <w:rsid w:val="51324FD6"/>
    <w:rsid w:val="51340035"/>
    <w:rsid w:val="51346287"/>
    <w:rsid w:val="51355098"/>
    <w:rsid w:val="51363DAD"/>
    <w:rsid w:val="51383FC9"/>
    <w:rsid w:val="5139389D"/>
    <w:rsid w:val="513B13C3"/>
    <w:rsid w:val="513B7615"/>
    <w:rsid w:val="513E2C61"/>
    <w:rsid w:val="514069D9"/>
    <w:rsid w:val="5141363B"/>
    <w:rsid w:val="51450494"/>
    <w:rsid w:val="5147420C"/>
    <w:rsid w:val="514C09E6"/>
    <w:rsid w:val="514C537E"/>
    <w:rsid w:val="514E77CC"/>
    <w:rsid w:val="514F30C0"/>
    <w:rsid w:val="51522156"/>
    <w:rsid w:val="51532BB1"/>
    <w:rsid w:val="5153670D"/>
    <w:rsid w:val="51541AB1"/>
    <w:rsid w:val="51542485"/>
    <w:rsid w:val="515727CF"/>
    <w:rsid w:val="51576E03"/>
    <w:rsid w:val="515801C7"/>
    <w:rsid w:val="51581F75"/>
    <w:rsid w:val="51595CED"/>
    <w:rsid w:val="515A3F3F"/>
    <w:rsid w:val="51622DF4"/>
    <w:rsid w:val="5164435F"/>
    <w:rsid w:val="516721B8"/>
    <w:rsid w:val="516758E8"/>
    <w:rsid w:val="51695F30"/>
    <w:rsid w:val="516A7EFA"/>
    <w:rsid w:val="516B0717"/>
    <w:rsid w:val="516E1E1B"/>
    <w:rsid w:val="51711289"/>
    <w:rsid w:val="5171484F"/>
    <w:rsid w:val="517537C1"/>
    <w:rsid w:val="51764AF1"/>
    <w:rsid w:val="51767504"/>
    <w:rsid w:val="51777A1C"/>
    <w:rsid w:val="517A1653"/>
    <w:rsid w:val="517A638F"/>
    <w:rsid w:val="517B3FF3"/>
    <w:rsid w:val="517B5C63"/>
    <w:rsid w:val="517D5E7F"/>
    <w:rsid w:val="517F5754"/>
    <w:rsid w:val="51856AE2"/>
    <w:rsid w:val="51864D34"/>
    <w:rsid w:val="51883D8E"/>
    <w:rsid w:val="518965D2"/>
    <w:rsid w:val="518E1E3B"/>
    <w:rsid w:val="518E3BE9"/>
    <w:rsid w:val="518F7959"/>
    <w:rsid w:val="519117EB"/>
    <w:rsid w:val="519136D9"/>
    <w:rsid w:val="51932FAD"/>
    <w:rsid w:val="51962A9D"/>
    <w:rsid w:val="5196484B"/>
    <w:rsid w:val="51966BC8"/>
    <w:rsid w:val="51976F41"/>
    <w:rsid w:val="519805C3"/>
    <w:rsid w:val="51986815"/>
    <w:rsid w:val="519A3513"/>
    <w:rsid w:val="519C4558"/>
    <w:rsid w:val="51A0391C"/>
    <w:rsid w:val="51A46F68"/>
    <w:rsid w:val="51A72EFC"/>
    <w:rsid w:val="51A94280"/>
    <w:rsid w:val="51A95109"/>
    <w:rsid w:val="51AD75D2"/>
    <w:rsid w:val="51B03B5F"/>
    <w:rsid w:val="51B11685"/>
    <w:rsid w:val="51B33440"/>
    <w:rsid w:val="51B353FD"/>
    <w:rsid w:val="51B573C7"/>
    <w:rsid w:val="51B64EEE"/>
    <w:rsid w:val="51B7485D"/>
    <w:rsid w:val="51BA49DE"/>
    <w:rsid w:val="51BB2504"/>
    <w:rsid w:val="51BF438F"/>
    <w:rsid w:val="51C27D36"/>
    <w:rsid w:val="51C413B8"/>
    <w:rsid w:val="51C4760A"/>
    <w:rsid w:val="51C67AF3"/>
    <w:rsid w:val="51C70EA9"/>
    <w:rsid w:val="51C969CF"/>
    <w:rsid w:val="51D11D27"/>
    <w:rsid w:val="51D22043"/>
    <w:rsid w:val="51D231BB"/>
    <w:rsid w:val="51D27F79"/>
    <w:rsid w:val="51D3784E"/>
    <w:rsid w:val="51D51818"/>
    <w:rsid w:val="51D73698"/>
    <w:rsid w:val="51D81308"/>
    <w:rsid w:val="51DB105C"/>
    <w:rsid w:val="51DB6702"/>
    <w:rsid w:val="51DB7210"/>
    <w:rsid w:val="51DC2BA6"/>
    <w:rsid w:val="51E043F4"/>
    <w:rsid w:val="51E101BC"/>
    <w:rsid w:val="51E11F6A"/>
    <w:rsid w:val="51E23F34"/>
    <w:rsid w:val="51E25083"/>
    <w:rsid w:val="51E27A91"/>
    <w:rsid w:val="51E41A5B"/>
    <w:rsid w:val="51E46623"/>
    <w:rsid w:val="51E47CAD"/>
    <w:rsid w:val="51E56289"/>
    <w:rsid w:val="51E7154B"/>
    <w:rsid w:val="51E91878"/>
    <w:rsid w:val="51E952C3"/>
    <w:rsid w:val="51EA234D"/>
    <w:rsid w:val="51EF4698"/>
    <w:rsid w:val="51F06651"/>
    <w:rsid w:val="51F52ACD"/>
    <w:rsid w:val="51F55A16"/>
    <w:rsid w:val="51F76E23"/>
    <w:rsid w:val="51F83758"/>
    <w:rsid w:val="51F97A85"/>
    <w:rsid w:val="51FA74D0"/>
    <w:rsid w:val="51FB0B52"/>
    <w:rsid w:val="51FD2B1C"/>
    <w:rsid w:val="51FD48CA"/>
    <w:rsid w:val="51FF0643"/>
    <w:rsid w:val="51FF4AE6"/>
    <w:rsid w:val="51FF6894"/>
    <w:rsid w:val="52032787"/>
    <w:rsid w:val="52045C59"/>
    <w:rsid w:val="520619D1"/>
    <w:rsid w:val="52075792"/>
    <w:rsid w:val="52081B54"/>
    <w:rsid w:val="52081BED"/>
    <w:rsid w:val="52093658"/>
    <w:rsid w:val="52097713"/>
    <w:rsid w:val="520B348B"/>
    <w:rsid w:val="520C1272"/>
    <w:rsid w:val="520D09EA"/>
    <w:rsid w:val="52132340"/>
    <w:rsid w:val="521501B5"/>
    <w:rsid w:val="52175619"/>
    <w:rsid w:val="52190A09"/>
    <w:rsid w:val="521A1920"/>
    <w:rsid w:val="521A36CE"/>
    <w:rsid w:val="521F6F37"/>
    <w:rsid w:val="522202F1"/>
    <w:rsid w:val="52224331"/>
    <w:rsid w:val="52271947"/>
    <w:rsid w:val="5227753E"/>
    <w:rsid w:val="522D1FC0"/>
    <w:rsid w:val="522E0F28"/>
    <w:rsid w:val="52367E0C"/>
    <w:rsid w:val="52391DA6"/>
    <w:rsid w:val="52392697"/>
    <w:rsid w:val="523A78CD"/>
    <w:rsid w:val="523B2BB4"/>
    <w:rsid w:val="523C1897"/>
    <w:rsid w:val="523D0094"/>
    <w:rsid w:val="523E560F"/>
    <w:rsid w:val="523F1098"/>
    <w:rsid w:val="523F3135"/>
    <w:rsid w:val="52403CEA"/>
    <w:rsid w:val="52412A09"/>
    <w:rsid w:val="52421D16"/>
    <w:rsid w:val="52466271"/>
    <w:rsid w:val="52472FB7"/>
    <w:rsid w:val="5248159A"/>
    <w:rsid w:val="52481FEA"/>
    <w:rsid w:val="524B1B79"/>
    <w:rsid w:val="524B7D2C"/>
    <w:rsid w:val="524D13AE"/>
    <w:rsid w:val="524D7600"/>
    <w:rsid w:val="524F15CA"/>
    <w:rsid w:val="525057AA"/>
    <w:rsid w:val="525070F0"/>
    <w:rsid w:val="5251037B"/>
    <w:rsid w:val="5253273C"/>
    <w:rsid w:val="52546633"/>
    <w:rsid w:val="52550D5F"/>
    <w:rsid w:val="52554706"/>
    <w:rsid w:val="52557EDD"/>
    <w:rsid w:val="525A3ACB"/>
    <w:rsid w:val="525A5D81"/>
    <w:rsid w:val="525C5A95"/>
    <w:rsid w:val="525C7843"/>
    <w:rsid w:val="525E7A5F"/>
    <w:rsid w:val="52602C06"/>
    <w:rsid w:val="526130AB"/>
    <w:rsid w:val="5262232D"/>
    <w:rsid w:val="52635075"/>
    <w:rsid w:val="52636542"/>
    <w:rsid w:val="52651253"/>
    <w:rsid w:val="52680501"/>
    <w:rsid w:val="52691F60"/>
    <w:rsid w:val="526D1A50"/>
    <w:rsid w:val="526D3CDE"/>
    <w:rsid w:val="526D3D56"/>
    <w:rsid w:val="526D4CD2"/>
    <w:rsid w:val="526F3A1A"/>
    <w:rsid w:val="527032EE"/>
    <w:rsid w:val="527458E8"/>
    <w:rsid w:val="52770B21"/>
    <w:rsid w:val="527728CF"/>
    <w:rsid w:val="527821A3"/>
    <w:rsid w:val="527C6137"/>
    <w:rsid w:val="527C7EE5"/>
    <w:rsid w:val="527D42BC"/>
    <w:rsid w:val="527E021F"/>
    <w:rsid w:val="527E5157"/>
    <w:rsid w:val="527F3531"/>
    <w:rsid w:val="5281374D"/>
    <w:rsid w:val="528154FB"/>
    <w:rsid w:val="528374C6"/>
    <w:rsid w:val="5287579B"/>
    <w:rsid w:val="5288688A"/>
    <w:rsid w:val="52892B81"/>
    <w:rsid w:val="528938E7"/>
    <w:rsid w:val="528A14CF"/>
    <w:rsid w:val="528F6BDC"/>
    <w:rsid w:val="52902DFA"/>
    <w:rsid w:val="5291586A"/>
    <w:rsid w:val="5297584D"/>
    <w:rsid w:val="52984729"/>
    <w:rsid w:val="52992845"/>
    <w:rsid w:val="5299285F"/>
    <w:rsid w:val="529A65BD"/>
    <w:rsid w:val="529C0587"/>
    <w:rsid w:val="529E1C09"/>
    <w:rsid w:val="529F5982"/>
    <w:rsid w:val="529F6ACF"/>
    <w:rsid w:val="52A336C4"/>
    <w:rsid w:val="52A511EA"/>
    <w:rsid w:val="52A52E97"/>
    <w:rsid w:val="52A631B4"/>
    <w:rsid w:val="52A6597E"/>
    <w:rsid w:val="52A77A34"/>
    <w:rsid w:val="52AA2CA4"/>
    <w:rsid w:val="52AD4542"/>
    <w:rsid w:val="52AD5CF4"/>
    <w:rsid w:val="52AD62F0"/>
    <w:rsid w:val="52B06B82"/>
    <w:rsid w:val="52B13FA8"/>
    <w:rsid w:val="52B14033"/>
    <w:rsid w:val="52B23907"/>
    <w:rsid w:val="52B42038"/>
    <w:rsid w:val="52B458D1"/>
    <w:rsid w:val="52B753C1"/>
    <w:rsid w:val="52B7716F"/>
    <w:rsid w:val="52BB6C5F"/>
    <w:rsid w:val="52BE22AC"/>
    <w:rsid w:val="52BF7DD2"/>
    <w:rsid w:val="52C33D66"/>
    <w:rsid w:val="52C35B14"/>
    <w:rsid w:val="52C378C2"/>
    <w:rsid w:val="52C8137C"/>
    <w:rsid w:val="52C97C12"/>
    <w:rsid w:val="52CA07B0"/>
    <w:rsid w:val="52CA1B96"/>
    <w:rsid w:val="52CA29FF"/>
    <w:rsid w:val="52CB1154"/>
    <w:rsid w:val="52CC2C1B"/>
    <w:rsid w:val="52D03D8D"/>
    <w:rsid w:val="52D41ACF"/>
    <w:rsid w:val="52D43A59"/>
    <w:rsid w:val="52D7336D"/>
    <w:rsid w:val="52D733C5"/>
    <w:rsid w:val="52DA5105"/>
    <w:rsid w:val="52E02222"/>
    <w:rsid w:val="52E15F9A"/>
    <w:rsid w:val="52E35DDE"/>
    <w:rsid w:val="52E361B6"/>
    <w:rsid w:val="52E55A8A"/>
    <w:rsid w:val="52E635B0"/>
    <w:rsid w:val="52EB0BC7"/>
    <w:rsid w:val="52EB51AE"/>
    <w:rsid w:val="52EE56CF"/>
    <w:rsid w:val="52EE7DCB"/>
    <w:rsid w:val="52F20089"/>
    <w:rsid w:val="52F61A46"/>
    <w:rsid w:val="52F70D40"/>
    <w:rsid w:val="52F757BE"/>
    <w:rsid w:val="52F76FB3"/>
    <w:rsid w:val="53000B16"/>
    <w:rsid w:val="5300130C"/>
    <w:rsid w:val="530028C4"/>
    <w:rsid w:val="53004672"/>
    <w:rsid w:val="53012F45"/>
    <w:rsid w:val="5302488E"/>
    <w:rsid w:val="53032F5F"/>
    <w:rsid w:val="530346C8"/>
    <w:rsid w:val="53042F77"/>
    <w:rsid w:val="53083527"/>
    <w:rsid w:val="530D3308"/>
    <w:rsid w:val="530F48B5"/>
    <w:rsid w:val="530F6FAB"/>
    <w:rsid w:val="5311062D"/>
    <w:rsid w:val="53114AD1"/>
    <w:rsid w:val="53135ADF"/>
    <w:rsid w:val="53174FCC"/>
    <w:rsid w:val="53177C0E"/>
    <w:rsid w:val="53193986"/>
    <w:rsid w:val="53196D40"/>
    <w:rsid w:val="531B048E"/>
    <w:rsid w:val="531B2676"/>
    <w:rsid w:val="531B4049"/>
    <w:rsid w:val="531B6581"/>
    <w:rsid w:val="53204D14"/>
    <w:rsid w:val="53207EF7"/>
    <w:rsid w:val="53236556"/>
    <w:rsid w:val="5325057D"/>
    <w:rsid w:val="532760A3"/>
    <w:rsid w:val="53283BC9"/>
    <w:rsid w:val="532C0A2A"/>
    <w:rsid w:val="532E7431"/>
    <w:rsid w:val="53312A7E"/>
    <w:rsid w:val="533245B5"/>
    <w:rsid w:val="5334256E"/>
    <w:rsid w:val="5334431C"/>
    <w:rsid w:val="53352D96"/>
    <w:rsid w:val="53363C07"/>
    <w:rsid w:val="53363CF5"/>
    <w:rsid w:val="533C25EA"/>
    <w:rsid w:val="533D7674"/>
    <w:rsid w:val="533F163E"/>
    <w:rsid w:val="534053B7"/>
    <w:rsid w:val="53405875"/>
    <w:rsid w:val="53424C8B"/>
    <w:rsid w:val="53426A39"/>
    <w:rsid w:val="53434D12"/>
    <w:rsid w:val="5349426B"/>
    <w:rsid w:val="534E3B36"/>
    <w:rsid w:val="534E61E1"/>
    <w:rsid w:val="534F1156"/>
    <w:rsid w:val="53513120"/>
    <w:rsid w:val="53530C46"/>
    <w:rsid w:val="535350EA"/>
    <w:rsid w:val="5354676C"/>
    <w:rsid w:val="5355134B"/>
    <w:rsid w:val="53575126"/>
    <w:rsid w:val="535B3F9E"/>
    <w:rsid w:val="535D3873"/>
    <w:rsid w:val="535D7D17"/>
    <w:rsid w:val="536746F1"/>
    <w:rsid w:val="53696431"/>
    <w:rsid w:val="536A41E2"/>
    <w:rsid w:val="536C7F5A"/>
    <w:rsid w:val="536F483D"/>
    <w:rsid w:val="53715570"/>
    <w:rsid w:val="5371731E"/>
    <w:rsid w:val="53722452"/>
    <w:rsid w:val="53775BA0"/>
    <w:rsid w:val="53794425"/>
    <w:rsid w:val="537B2CB3"/>
    <w:rsid w:val="537B63EF"/>
    <w:rsid w:val="537B70F2"/>
    <w:rsid w:val="537C0D51"/>
    <w:rsid w:val="537D1A12"/>
    <w:rsid w:val="537D2167"/>
    <w:rsid w:val="537F6521"/>
    <w:rsid w:val="538057B3"/>
    <w:rsid w:val="53807561"/>
    <w:rsid w:val="538232D9"/>
    <w:rsid w:val="5382777D"/>
    <w:rsid w:val="53852DC9"/>
    <w:rsid w:val="53894668"/>
    <w:rsid w:val="538E6122"/>
    <w:rsid w:val="538F3C48"/>
    <w:rsid w:val="53915C12"/>
    <w:rsid w:val="53937294"/>
    <w:rsid w:val="539450C8"/>
    <w:rsid w:val="53946809"/>
    <w:rsid w:val="53954C5E"/>
    <w:rsid w:val="539574B0"/>
    <w:rsid w:val="53966D85"/>
    <w:rsid w:val="53987211"/>
    <w:rsid w:val="539B25ED"/>
    <w:rsid w:val="539D45B7"/>
    <w:rsid w:val="539D6365"/>
    <w:rsid w:val="539F032F"/>
    <w:rsid w:val="539F20DD"/>
    <w:rsid w:val="53A21514"/>
    <w:rsid w:val="53A2397B"/>
    <w:rsid w:val="53A30A90"/>
    <w:rsid w:val="53A44BEF"/>
    <w:rsid w:val="53A5604D"/>
    <w:rsid w:val="53AD4299"/>
    <w:rsid w:val="53AE0572"/>
    <w:rsid w:val="53AE40CE"/>
    <w:rsid w:val="53AF7E46"/>
    <w:rsid w:val="53B041AE"/>
    <w:rsid w:val="53B31AE1"/>
    <w:rsid w:val="53B35B89"/>
    <w:rsid w:val="53B37937"/>
    <w:rsid w:val="53B446B2"/>
    <w:rsid w:val="53B65679"/>
    <w:rsid w:val="53B844C3"/>
    <w:rsid w:val="53BB13D1"/>
    <w:rsid w:val="53BB4A3D"/>
    <w:rsid w:val="53BD6A07"/>
    <w:rsid w:val="53BF0089"/>
    <w:rsid w:val="53BF756D"/>
    <w:rsid w:val="53C03E02"/>
    <w:rsid w:val="53C07FC2"/>
    <w:rsid w:val="53C1183E"/>
    <w:rsid w:val="53C41B44"/>
    <w:rsid w:val="53C438F2"/>
    <w:rsid w:val="53C5694D"/>
    <w:rsid w:val="53C658BC"/>
    <w:rsid w:val="53C733E2"/>
    <w:rsid w:val="53CB1124"/>
    <w:rsid w:val="53CC7635"/>
    <w:rsid w:val="53CE5317"/>
    <w:rsid w:val="53CF4766"/>
    <w:rsid w:val="53D2346C"/>
    <w:rsid w:val="53D46225"/>
    <w:rsid w:val="53D5383A"/>
    <w:rsid w:val="53D53D51"/>
    <w:rsid w:val="53D8739D"/>
    <w:rsid w:val="53D94C95"/>
    <w:rsid w:val="53DA1367"/>
    <w:rsid w:val="53DE7EB1"/>
    <w:rsid w:val="53DF24DA"/>
    <w:rsid w:val="53E06252"/>
    <w:rsid w:val="53E31F77"/>
    <w:rsid w:val="53E5132F"/>
    <w:rsid w:val="53E61ABA"/>
    <w:rsid w:val="53E775E0"/>
    <w:rsid w:val="53E835A2"/>
    <w:rsid w:val="53E96D15"/>
    <w:rsid w:val="53E977FC"/>
    <w:rsid w:val="53EE0073"/>
    <w:rsid w:val="53EE4E13"/>
    <w:rsid w:val="53EF0F1D"/>
    <w:rsid w:val="53F00B8B"/>
    <w:rsid w:val="53F32429"/>
    <w:rsid w:val="53F8359B"/>
    <w:rsid w:val="53F94527"/>
    <w:rsid w:val="53FA0EE2"/>
    <w:rsid w:val="53FC752F"/>
    <w:rsid w:val="54063F0A"/>
    <w:rsid w:val="54085ED4"/>
    <w:rsid w:val="540B32CF"/>
    <w:rsid w:val="540C0A08"/>
    <w:rsid w:val="54102FDB"/>
    <w:rsid w:val="54136627"/>
    <w:rsid w:val="541505F1"/>
    <w:rsid w:val="54164A93"/>
    <w:rsid w:val="54177AB0"/>
    <w:rsid w:val="54181E8F"/>
    <w:rsid w:val="541859EC"/>
    <w:rsid w:val="541A3860"/>
    <w:rsid w:val="541A5C08"/>
    <w:rsid w:val="541C54DC"/>
    <w:rsid w:val="541E4DB2"/>
    <w:rsid w:val="541F6D7A"/>
    <w:rsid w:val="54212AF2"/>
    <w:rsid w:val="54224ABC"/>
    <w:rsid w:val="542328CE"/>
    <w:rsid w:val="5423406C"/>
    <w:rsid w:val="54240834"/>
    <w:rsid w:val="542603BD"/>
    <w:rsid w:val="54260581"/>
    <w:rsid w:val="54273E81"/>
    <w:rsid w:val="54280325"/>
    <w:rsid w:val="54290122"/>
    <w:rsid w:val="54295E4B"/>
    <w:rsid w:val="54297BF9"/>
    <w:rsid w:val="542C1497"/>
    <w:rsid w:val="543640C4"/>
    <w:rsid w:val="543761FC"/>
    <w:rsid w:val="54386CB0"/>
    <w:rsid w:val="54396E8B"/>
    <w:rsid w:val="543A1843"/>
    <w:rsid w:val="543A1E06"/>
    <w:rsid w:val="543A3BB4"/>
    <w:rsid w:val="543D1359"/>
    <w:rsid w:val="54414F42"/>
    <w:rsid w:val="54434FD7"/>
    <w:rsid w:val="54436F0C"/>
    <w:rsid w:val="544607AB"/>
    <w:rsid w:val="544651F9"/>
    <w:rsid w:val="54482775"/>
    <w:rsid w:val="54486516"/>
    <w:rsid w:val="544868DE"/>
    <w:rsid w:val="544900FE"/>
    <w:rsid w:val="54492049"/>
    <w:rsid w:val="54493DF7"/>
    <w:rsid w:val="544B1F74"/>
    <w:rsid w:val="544F3B03"/>
    <w:rsid w:val="54500C03"/>
    <w:rsid w:val="5451424B"/>
    <w:rsid w:val="54520EFE"/>
    <w:rsid w:val="5452125E"/>
    <w:rsid w:val="54525A12"/>
    <w:rsid w:val="5452714F"/>
    <w:rsid w:val="54574493"/>
    <w:rsid w:val="545A0CF3"/>
    <w:rsid w:val="545B76B8"/>
    <w:rsid w:val="545E787D"/>
    <w:rsid w:val="545F186C"/>
    <w:rsid w:val="54646E83"/>
    <w:rsid w:val="54651176"/>
    <w:rsid w:val="546832F7"/>
    <w:rsid w:val="54684BC5"/>
    <w:rsid w:val="54685C27"/>
    <w:rsid w:val="546940A2"/>
    <w:rsid w:val="54697358"/>
    <w:rsid w:val="546B0211"/>
    <w:rsid w:val="546D21DB"/>
    <w:rsid w:val="546E0DCC"/>
    <w:rsid w:val="5470465A"/>
    <w:rsid w:val="54705828"/>
    <w:rsid w:val="54716984"/>
    <w:rsid w:val="5472334E"/>
    <w:rsid w:val="547370C6"/>
    <w:rsid w:val="54754BEC"/>
    <w:rsid w:val="54790B80"/>
    <w:rsid w:val="547A66A6"/>
    <w:rsid w:val="547D15FE"/>
    <w:rsid w:val="547D183A"/>
    <w:rsid w:val="548337AD"/>
    <w:rsid w:val="54852E78"/>
    <w:rsid w:val="54854942"/>
    <w:rsid w:val="548840F7"/>
    <w:rsid w:val="548F2152"/>
    <w:rsid w:val="549239F0"/>
    <w:rsid w:val="5492579E"/>
    <w:rsid w:val="5495528E"/>
    <w:rsid w:val="54971006"/>
    <w:rsid w:val="54972DB4"/>
    <w:rsid w:val="54994CF6"/>
    <w:rsid w:val="549A0AF6"/>
    <w:rsid w:val="549C661D"/>
    <w:rsid w:val="549D3EDA"/>
    <w:rsid w:val="549E4143"/>
    <w:rsid w:val="549F610D"/>
    <w:rsid w:val="549F7427"/>
    <w:rsid w:val="54A0435F"/>
    <w:rsid w:val="54A2689B"/>
    <w:rsid w:val="54A379AB"/>
    <w:rsid w:val="54A454D1"/>
    <w:rsid w:val="54A63492"/>
    <w:rsid w:val="54A6749B"/>
    <w:rsid w:val="54A83213"/>
    <w:rsid w:val="54A8526C"/>
    <w:rsid w:val="54A86D6F"/>
    <w:rsid w:val="54A92AE8"/>
    <w:rsid w:val="54AB6860"/>
    <w:rsid w:val="54AD25D8"/>
    <w:rsid w:val="54AF1627"/>
    <w:rsid w:val="54B0031A"/>
    <w:rsid w:val="54B03E76"/>
    <w:rsid w:val="54B43966"/>
    <w:rsid w:val="54B90F7D"/>
    <w:rsid w:val="54B94CA2"/>
    <w:rsid w:val="54B95421"/>
    <w:rsid w:val="54BE47E5"/>
    <w:rsid w:val="54C142D5"/>
    <w:rsid w:val="54C161D4"/>
    <w:rsid w:val="54C5114B"/>
    <w:rsid w:val="54C618EB"/>
    <w:rsid w:val="54C6369A"/>
    <w:rsid w:val="54CC0AEA"/>
    <w:rsid w:val="54CD1733"/>
    <w:rsid w:val="54CF254E"/>
    <w:rsid w:val="54D222B5"/>
    <w:rsid w:val="54D23DEC"/>
    <w:rsid w:val="54D264E2"/>
    <w:rsid w:val="54D45DB6"/>
    <w:rsid w:val="54D6501D"/>
    <w:rsid w:val="54D71379"/>
    <w:rsid w:val="54D745DB"/>
    <w:rsid w:val="54DA0EF3"/>
    <w:rsid w:val="54DF6509"/>
    <w:rsid w:val="54E171D9"/>
    <w:rsid w:val="54E372AE"/>
    <w:rsid w:val="54E43E85"/>
    <w:rsid w:val="54E809BF"/>
    <w:rsid w:val="54E83610"/>
    <w:rsid w:val="54EA0F6C"/>
    <w:rsid w:val="54EB3100"/>
    <w:rsid w:val="54EF2BF0"/>
    <w:rsid w:val="54EF43AE"/>
    <w:rsid w:val="54F04A30"/>
    <w:rsid w:val="54F2448F"/>
    <w:rsid w:val="54F31921"/>
    <w:rsid w:val="54F614E1"/>
    <w:rsid w:val="54F621D1"/>
    <w:rsid w:val="54F93A6F"/>
    <w:rsid w:val="54FC355F"/>
    <w:rsid w:val="54FC5522"/>
    <w:rsid w:val="54FD69B2"/>
    <w:rsid w:val="54FE2E33"/>
    <w:rsid w:val="55012924"/>
    <w:rsid w:val="55012C9D"/>
    <w:rsid w:val="550368F4"/>
    <w:rsid w:val="55043CB4"/>
    <w:rsid w:val="55045144"/>
    <w:rsid w:val="5507618C"/>
    <w:rsid w:val="550B72FE"/>
    <w:rsid w:val="550D36B6"/>
    <w:rsid w:val="550D5F4F"/>
    <w:rsid w:val="550F0324"/>
    <w:rsid w:val="550F0DC7"/>
    <w:rsid w:val="55104779"/>
    <w:rsid w:val="55112CDB"/>
    <w:rsid w:val="551148E5"/>
    <w:rsid w:val="55116410"/>
    <w:rsid w:val="5511700B"/>
    <w:rsid w:val="5512068D"/>
    <w:rsid w:val="55124B31"/>
    <w:rsid w:val="551322A2"/>
    <w:rsid w:val="55142657"/>
    <w:rsid w:val="5516017D"/>
    <w:rsid w:val="551615FE"/>
    <w:rsid w:val="551663CF"/>
    <w:rsid w:val="55195EBF"/>
    <w:rsid w:val="551B39E5"/>
    <w:rsid w:val="551C775D"/>
    <w:rsid w:val="551D3AB9"/>
    <w:rsid w:val="551D41AF"/>
    <w:rsid w:val="551E7032"/>
    <w:rsid w:val="55212802"/>
    <w:rsid w:val="5523158C"/>
    <w:rsid w:val="55236D3E"/>
    <w:rsid w:val="552438F8"/>
    <w:rsid w:val="552503C0"/>
    <w:rsid w:val="55264138"/>
    <w:rsid w:val="5527238A"/>
    <w:rsid w:val="55275EE5"/>
    <w:rsid w:val="552E00F5"/>
    <w:rsid w:val="552F123F"/>
    <w:rsid w:val="552F7491"/>
    <w:rsid w:val="55306D65"/>
    <w:rsid w:val="55314FB7"/>
    <w:rsid w:val="55320D2F"/>
    <w:rsid w:val="55345D50"/>
    <w:rsid w:val="55351E20"/>
    <w:rsid w:val="553625CD"/>
    <w:rsid w:val="55374E0D"/>
    <w:rsid w:val="553A3D83"/>
    <w:rsid w:val="553B5E36"/>
    <w:rsid w:val="553C0CF0"/>
    <w:rsid w:val="553E76D4"/>
    <w:rsid w:val="5540344C"/>
    <w:rsid w:val="554051FA"/>
    <w:rsid w:val="5545537D"/>
    <w:rsid w:val="55494FB9"/>
    <w:rsid w:val="554967A4"/>
    <w:rsid w:val="554A42CB"/>
    <w:rsid w:val="554C1DF1"/>
    <w:rsid w:val="554D6705"/>
    <w:rsid w:val="554F7B33"/>
    <w:rsid w:val="5551200A"/>
    <w:rsid w:val="55515659"/>
    <w:rsid w:val="555273D7"/>
    <w:rsid w:val="555551A6"/>
    <w:rsid w:val="55560EC1"/>
    <w:rsid w:val="55564A1D"/>
    <w:rsid w:val="555667CB"/>
    <w:rsid w:val="55591B89"/>
    <w:rsid w:val="5559450E"/>
    <w:rsid w:val="555962BC"/>
    <w:rsid w:val="555A701E"/>
    <w:rsid w:val="555C5C8D"/>
    <w:rsid w:val="555D56E4"/>
    <w:rsid w:val="55627866"/>
    <w:rsid w:val="55630EE8"/>
    <w:rsid w:val="55653867"/>
    <w:rsid w:val="55654C60"/>
    <w:rsid w:val="55690BF5"/>
    <w:rsid w:val="556A499A"/>
    <w:rsid w:val="556B7614"/>
    <w:rsid w:val="556E1BAD"/>
    <w:rsid w:val="556E5844"/>
    <w:rsid w:val="556F788D"/>
    <w:rsid w:val="55713605"/>
    <w:rsid w:val="55717AA9"/>
    <w:rsid w:val="55723A62"/>
    <w:rsid w:val="55741347"/>
    <w:rsid w:val="55747C16"/>
    <w:rsid w:val="55761405"/>
    <w:rsid w:val="557773FB"/>
    <w:rsid w:val="557C32F9"/>
    <w:rsid w:val="557D644E"/>
    <w:rsid w:val="557E3F74"/>
    <w:rsid w:val="557E5D22"/>
    <w:rsid w:val="5581058A"/>
    <w:rsid w:val="55823A64"/>
    <w:rsid w:val="558275C0"/>
    <w:rsid w:val="55832665"/>
    <w:rsid w:val="5584321C"/>
    <w:rsid w:val="55853555"/>
    <w:rsid w:val="55863ACB"/>
    <w:rsid w:val="5587107B"/>
    <w:rsid w:val="55877123"/>
    <w:rsid w:val="55894A97"/>
    <w:rsid w:val="558C61FC"/>
    <w:rsid w:val="558D0DCD"/>
    <w:rsid w:val="55926C87"/>
    <w:rsid w:val="55931A27"/>
    <w:rsid w:val="55932EA4"/>
    <w:rsid w:val="5596306C"/>
    <w:rsid w:val="55983288"/>
    <w:rsid w:val="559865A1"/>
    <w:rsid w:val="55986DE4"/>
    <w:rsid w:val="55997370"/>
    <w:rsid w:val="559A23C6"/>
    <w:rsid w:val="559A612C"/>
    <w:rsid w:val="559B2D78"/>
    <w:rsid w:val="559B44E9"/>
    <w:rsid w:val="559D089E"/>
    <w:rsid w:val="55A007F9"/>
    <w:rsid w:val="55A21A11"/>
    <w:rsid w:val="55A26969"/>
    <w:rsid w:val="55A51501"/>
    <w:rsid w:val="55A559A5"/>
    <w:rsid w:val="55A737AD"/>
    <w:rsid w:val="55A7437E"/>
    <w:rsid w:val="55A96FFE"/>
    <w:rsid w:val="55A97243"/>
    <w:rsid w:val="55AA4D69"/>
    <w:rsid w:val="55AA6B17"/>
    <w:rsid w:val="55AC0AE1"/>
    <w:rsid w:val="55AC288F"/>
    <w:rsid w:val="55AD03B6"/>
    <w:rsid w:val="55AF05D2"/>
    <w:rsid w:val="55B10746"/>
    <w:rsid w:val="55B1434A"/>
    <w:rsid w:val="55B15612"/>
    <w:rsid w:val="55B17EA6"/>
    <w:rsid w:val="55B47996"/>
    <w:rsid w:val="55B55D4B"/>
    <w:rsid w:val="55B81234"/>
    <w:rsid w:val="55C0458D"/>
    <w:rsid w:val="55C0633B"/>
    <w:rsid w:val="55C20305"/>
    <w:rsid w:val="55C776C9"/>
    <w:rsid w:val="55C91693"/>
    <w:rsid w:val="55CA71B9"/>
    <w:rsid w:val="55CE2806"/>
    <w:rsid w:val="55CE5769"/>
    <w:rsid w:val="55CF3F22"/>
    <w:rsid w:val="55D10548"/>
    <w:rsid w:val="55D342C0"/>
    <w:rsid w:val="55D41DE6"/>
    <w:rsid w:val="55D475BA"/>
    <w:rsid w:val="55D840D0"/>
    <w:rsid w:val="55D911AB"/>
    <w:rsid w:val="55DB3175"/>
    <w:rsid w:val="55DF0EB7"/>
    <w:rsid w:val="55DF2C65"/>
    <w:rsid w:val="55E0078B"/>
    <w:rsid w:val="55E262B1"/>
    <w:rsid w:val="55E30CB3"/>
    <w:rsid w:val="55E42029"/>
    <w:rsid w:val="55E942D0"/>
    <w:rsid w:val="55E95892"/>
    <w:rsid w:val="55E97640"/>
    <w:rsid w:val="55EA251B"/>
    <w:rsid w:val="55EC3435"/>
    <w:rsid w:val="55EE5599"/>
    <w:rsid w:val="55F07EB9"/>
    <w:rsid w:val="55F253AA"/>
    <w:rsid w:val="55F34962"/>
    <w:rsid w:val="55F36710"/>
    <w:rsid w:val="55F61D5C"/>
    <w:rsid w:val="55F75F1F"/>
    <w:rsid w:val="55F83D27"/>
    <w:rsid w:val="55FA184D"/>
    <w:rsid w:val="55FA3B3C"/>
    <w:rsid w:val="55FB55C5"/>
    <w:rsid w:val="55FB7373"/>
    <w:rsid w:val="55FD30EB"/>
    <w:rsid w:val="5600257F"/>
    <w:rsid w:val="560426CB"/>
    <w:rsid w:val="56044479"/>
    <w:rsid w:val="5605705C"/>
    <w:rsid w:val="56071CAF"/>
    <w:rsid w:val="560726C2"/>
    <w:rsid w:val="560732C8"/>
    <w:rsid w:val="56091C97"/>
    <w:rsid w:val="56097CE2"/>
    <w:rsid w:val="560A5808"/>
    <w:rsid w:val="560C0B22"/>
    <w:rsid w:val="560C332E"/>
    <w:rsid w:val="560E70A6"/>
    <w:rsid w:val="56160709"/>
    <w:rsid w:val="56160E37"/>
    <w:rsid w:val="56181553"/>
    <w:rsid w:val="56186810"/>
    <w:rsid w:val="561A782E"/>
    <w:rsid w:val="561B7A15"/>
    <w:rsid w:val="561E401D"/>
    <w:rsid w:val="5621327D"/>
    <w:rsid w:val="56220DA3"/>
    <w:rsid w:val="56251A9B"/>
    <w:rsid w:val="562528DD"/>
    <w:rsid w:val="5627460C"/>
    <w:rsid w:val="562C577E"/>
    <w:rsid w:val="562D0EF4"/>
    <w:rsid w:val="5630526E"/>
    <w:rsid w:val="56306A8D"/>
    <w:rsid w:val="563103E9"/>
    <w:rsid w:val="563167DC"/>
    <w:rsid w:val="5632548A"/>
    <w:rsid w:val="56336B0D"/>
    <w:rsid w:val="5634515D"/>
    <w:rsid w:val="56350AD7"/>
    <w:rsid w:val="563549C4"/>
    <w:rsid w:val="56356D29"/>
    <w:rsid w:val="56365AA5"/>
    <w:rsid w:val="563866AF"/>
    <w:rsid w:val="563C1E65"/>
    <w:rsid w:val="563D3E2F"/>
    <w:rsid w:val="563E7AE6"/>
    <w:rsid w:val="56446F6C"/>
    <w:rsid w:val="56462CE4"/>
    <w:rsid w:val="56484A62"/>
    <w:rsid w:val="56486A5C"/>
    <w:rsid w:val="56494582"/>
    <w:rsid w:val="564C5E20"/>
    <w:rsid w:val="564C7BCE"/>
    <w:rsid w:val="564E1B99"/>
    <w:rsid w:val="564E7DEA"/>
    <w:rsid w:val="56505911"/>
    <w:rsid w:val="56521689"/>
    <w:rsid w:val="56530F5D"/>
    <w:rsid w:val="56551179"/>
    <w:rsid w:val="56576C9F"/>
    <w:rsid w:val="56582A17"/>
    <w:rsid w:val="565A678F"/>
    <w:rsid w:val="565B1A48"/>
    <w:rsid w:val="565B69BB"/>
    <w:rsid w:val="565D002E"/>
    <w:rsid w:val="565E4DBB"/>
    <w:rsid w:val="565E57F8"/>
    <w:rsid w:val="566029D6"/>
    <w:rsid w:val="566118CC"/>
    <w:rsid w:val="566273F2"/>
    <w:rsid w:val="566413BC"/>
    <w:rsid w:val="56642682"/>
    <w:rsid w:val="56644F18"/>
    <w:rsid w:val="56680EAC"/>
    <w:rsid w:val="566943FC"/>
    <w:rsid w:val="566B44F9"/>
    <w:rsid w:val="566D3E5D"/>
    <w:rsid w:val="566E3FE9"/>
    <w:rsid w:val="56701B0F"/>
    <w:rsid w:val="56703FA6"/>
    <w:rsid w:val="56707D61"/>
    <w:rsid w:val="56710A58"/>
    <w:rsid w:val="567168E2"/>
    <w:rsid w:val="567425EF"/>
    <w:rsid w:val="567710EF"/>
    <w:rsid w:val="56785D5C"/>
    <w:rsid w:val="56794E67"/>
    <w:rsid w:val="567E1B89"/>
    <w:rsid w:val="567E247E"/>
    <w:rsid w:val="567E6272"/>
    <w:rsid w:val="567F61F6"/>
    <w:rsid w:val="5684380C"/>
    <w:rsid w:val="56843DD2"/>
    <w:rsid w:val="56861FA7"/>
    <w:rsid w:val="56872257"/>
    <w:rsid w:val="568850AA"/>
    <w:rsid w:val="568A30CF"/>
    <w:rsid w:val="568A6A87"/>
    <w:rsid w:val="568B06F7"/>
    <w:rsid w:val="568B4B9B"/>
    <w:rsid w:val="568B6949"/>
    <w:rsid w:val="568D446F"/>
    <w:rsid w:val="568E01E7"/>
    <w:rsid w:val="568E5C3E"/>
    <w:rsid w:val="56903F5F"/>
    <w:rsid w:val="56906545"/>
    <w:rsid w:val="56927CD7"/>
    <w:rsid w:val="56967B7B"/>
    <w:rsid w:val="569A3030"/>
    <w:rsid w:val="569C2904"/>
    <w:rsid w:val="569C7E2B"/>
    <w:rsid w:val="569F41A2"/>
    <w:rsid w:val="56A04739"/>
    <w:rsid w:val="56A1616C"/>
    <w:rsid w:val="56A2227C"/>
    <w:rsid w:val="56A4570F"/>
    <w:rsid w:val="56A563E6"/>
    <w:rsid w:val="56A8690E"/>
    <w:rsid w:val="56AA3DFF"/>
    <w:rsid w:val="56AB2B47"/>
    <w:rsid w:val="56AC6220"/>
    <w:rsid w:val="56AD2D63"/>
    <w:rsid w:val="56AD68BF"/>
    <w:rsid w:val="56AE2637"/>
    <w:rsid w:val="56B00020"/>
    <w:rsid w:val="56B0015D"/>
    <w:rsid w:val="56B01C19"/>
    <w:rsid w:val="56B04601"/>
    <w:rsid w:val="56B04895"/>
    <w:rsid w:val="56B20379"/>
    <w:rsid w:val="56B37999"/>
    <w:rsid w:val="56B37C4E"/>
    <w:rsid w:val="56B539C6"/>
    <w:rsid w:val="56B7773E"/>
    <w:rsid w:val="56B97893"/>
    <w:rsid w:val="56BB0D2A"/>
    <w:rsid w:val="56BC0DE5"/>
    <w:rsid w:val="56BC2FA6"/>
    <w:rsid w:val="56BE6D1E"/>
    <w:rsid w:val="56CA55D7"/>
    <w:rsid w:val="56CB31E9"/>
    <w:rsid w:val="56D06A51"/>
    <w:rsid w:val="56D21B7B"/>
    <w:rsid w:val="56D227CA"/>
    <w:rsid w:val="56D4209E"/>
    <w:rsid w:val="56D73191"/>
    <w:rsid w:val="56D93B58"/>
    <w:rsid w:val="56DE2BF4"/>
    <w:rsid w:val="56E147BB"/>
    <w:rsid w:val="56E542AB"/>
    <w:rsid w:val="56E60023"/>
    <w:rsid w:val="56E61DD1"/>
    <w:rsid w:val="56E63150"/>
    <w:rsid w:val="56E83D9B"/>
    <w:rsid w:val="56E85B49"/>
    <w:rsid w:val="56E9366F"/>
    <w:rsid w:val="56EA7B13"/>
    <w:rsid w:val="56EB73E7"/>
    <w:rsid w:val="56EE0C86"/>
    <w:rsid w:val="56EF6ED8"/>
    <w:rsid w:val="56F00EA2"/>
    <w:rsid w:val="56F049FE"/>
    <w:rsid w:val="56F3629C"/>
    <w:rsid w:val="56F50266"/>
    <w:rsid w:val="56F75059"/>
    <w:rsid w:val="56FB4CB8"/>
    <w:rsid w:val="56FC33A3"/>
    <w:rsid w:val="56FE536D"/>
    <w:rsid w:val="57002533"/>
    <w:rsid w:val="57003D3C"/>
    <w:rsid w:val="5705494D"/>
    <w:rsid w:val="57060A6B"/>
    <w:rsid w:val="57064221"/>
    <w:rsid w:val="570653E1"/>
    <w:rsid w:val="5709481B"/>
    <w:rsid w:val="570E771B"/>
    <w:rsid w:val="570F1328"/>
    <w:rsid w:val="570F4F7D"/>
    <w:rsid w:val="571046EE"/>
    <w:rsid w:val="5710688D"/>
    <w:rsid w:val="571132F2"/>
    <w:rsid w:val="571406EC"/>
    <w:rsid w:val="571526B6"/>
    <w:rsid w:val="571903F8"/>
    <w:rsid w:val="5719147B"/>
    <w:rsid w:val="571C3A45"/>
    <w:rsid w:val="571C6718"/>
    <w:rsid w:val="571E156B"/>
    <w:rsid w:val="571F7013"/>
    <w:rsid w:val="57203535"/>
    <w:rsid w:val="57206EF9"/>
    <w:rsid w:val="57211164"/>
    <w:rsid w:val="57233025"/>
    <w:rsid w:val="572A6162"/>
    <w:rsid w:val="572E4B7E"/>
    <w:rsid w:val="572E74B9"/>
    <w:rsid w:val="572F6536"/>
    <w:rsid w:val="57323268"/>
    <w:rsid w:val="57327818"/>
    <w:rsid w:val="573338E1"/>
    <w:rsid w:val="573448C8"/>
    <w:rsid w:val="5737087F"/>
    <w:rsid w:val="5737262D"/>
    <w:rsid w:val="57387C5F"/>
    <w:rsid w:val="573945F7"/>
    <w:rsid w:val="573B211D"/>
    <w:rsid w:val="573C5E95"/>
    <w:rsid w:val="57405985"/>
    <w:rsid w:val="57430FD1"/>
    <w:rsid w:val="5747738E"/>
    <w:rsid w:val="574B60D8"/>
    <w:rsid w:val="574F5BC8"/>
    <w:rsid w:val="57504512"/>
    <w:rsid w:val="575046D6"/>
    <w:rsid w:val="575118D0"/>
    <w:rsid w:val="57511940"/>
    <w:rsid w:val="57521D36"/>
    <w:rsid w:val="57546DC1"/>
    <w:rsid w:val="57572CCF"/>
    <w:rsid w:val="57580F21"/>
    <w:rsid w:val="575925A3"/>
    <w:rsid w:val="57597E07"/>
    <w:rsid w:val="575B456D"/>
    <w:rsid w:val="575C02E5"/>
    <w:rsid w:val="57601B83"/>
    <w:rsid w:val="57607DD5"/>
    <w:rsid w:val="576276B7"/>
    <w:rsid w:val="57627703"/>
    <w:rsid w:val="57635426"/>
    <w:rsid w:val="576378C6"/>
    <w:rsid w:val="57645AC5"/>
    <w:rsid w:val="57646A15"/>
    <w:rsid w:val="57684EDC"/>
    <w:rsid w:val="57686C8A"/>
    <w:rsid w:val="577168F6"/>
    <w:rsid w:val="577218B7"/>
    <w:rsid w:val="57730E9A"/>
    <w:rsid w:val="5776215B"/>
    <w:rsid w:val="577675F9"/>
    <w:rsid w:val="577949F3"/>
    <w:rsid w:val="577D2735"/>
    <w:rsid w:val="577E64AD"/>
    <w:rsid w:val="57802226"/>
    <w:rsid w:val="57810B57"/>
    <w:rsid w:val="5781620E"/>
    <w:rsid w:val="578507C0"/>
    <w:rsid w:val="57877110"/>
    <w:rsid w:val="578A4E52"/>
    <w:rsid w:val="578B019D"/>
    <w:rsid w:val="578D049F"/>
    <w:rsid w:val="57911D3D"/>
    <w:rsid w:val="579201F3"/>
    <w:rsid w:val="57931F59"/>
    <w:rsid w:val="5794182D"/>
    <w:rsid w:val="57945CD1"/>
    <w:rsid w:val="57953E1C"/>
    <w:rsid w:val="57961A49"/>
    <w:rsid w:val="579932E7"/>
    <w:rsid w:val="579D4B86"/>
    <w:rsid w:val="579E26AC"/>
    <w:rsid w:val="57A00167"/>
    <w:rsid w:val="57A15F65"/>
    <w:rsid w:val="57A2219C"/>
    <w:rsid w:val="57A53A3A"/>
    <w:rsid w:val="57A66A42"/>
    <w:rsid w:val="57A67AF9"/>
    <w:rsid w:val="57A8352A"/>
    <w:rsid w:val="57AA1051"/>
    <w:rsid w:val="57AD1917"/>
    <w:rsid w:val="57AF2EE7"/>
    <w:rsid w:val="57B376F8"/>
    <w:rsid w:val="57B44EC0"/>
    <w:rsid w:val="57B63E99"/>
    <w:rsid w:val="57BA0B3F"/>
    <w:rsid w:val="57BA127A"/>
    <w:rsid w:val="57BC2B32"/>
    <w:rsid w:val="57BD0D84"/>
    <w:rsid w:val="57BD5228"/>
    <w:rsid w:val="57BD6FD6"/>
    <w:rsid w:val="57BE0E51"/>
    <w:rsid w:val="57BE5D7F"/>
    <w:rsid w:val="57BE6431"/>
    <w:rsid w:val="57BE68AA"/>
    <w:rsid w:val="57BF2D4E"/>
    <w:rsid w:val="57C2639A"/>
    <w:rsid w:val="57C33EC0"/>
    <w:rsid w:val="57C40364"/>
    <w:rsid w:val="57C540DC"/>
    <w:rsid w:val="57C71C02"/>
    <w:rsid w:val="57C83143"/>
    <w:rsid w:val="57C9597B"/>
    <w:rsid w:val="57CA34A1"/>
    <w:rsid w:val="57CA6046"/>
    <w:rsid w:val="57CC462D"/>
    <w:rsid w:val="57CC4A0D"/>
    <w:rsid w:val="57CE2F91"/>
    <w:rsid w:val="57D03135"/>
    <w:rsid w:val="57D11007"/>
    <w:rsid w:val="57D15936"/>
    <w:rsid w:val="57D165DD"/>
    <w:rsid w:val="57D369BC"/>
    <w:rsid w:val="57D36B15"/>
    <w:rsid w:val="57D615DD"/>
    <w:rsid w:val="57D810AF"/>
    <w:rsid w:val="57DA2877"/>
    <w:rsid w:val="57DC2A49"/>
    <w:rsid w:val="57E07C89"/>
    <w:rsid w:val="57E30BED"/>
    <w:rsid w:val="57E3356E"/>
    <w:rsid w:val="57E44562"/>
    <w:rsid w:val="57E74053"/>
    <w:rsid w:val="57E80126"/>
    <w:rsid w:val="57E91B79"/>
    <w:rsid w:val="57E91E84"/>
    <w:rsid w:val="57EC1D94"/>
    <w:rsid w:val="57EC3417"/>
    <w:rsid w:val="57EF4A8F"/>
    <w:rsid w:val="57F51477"/>
    <w:rsid w:val="57F515A6"/>
    <w:rsid w:val="57F66044"/>
    <w:rsid w:val="57F67076"/>
    <w:rsid w:val="57F7435A"/>
    <w:rsid w:val="57F8000E"/>
    <w:rsid w:val="57FC0820"/>
    <w:rsid w:val="57FD73D2"/>
    <w:rsid w:val="57FF010C"/>
    <w:rsid w:val="57FF139C"/>
    <w:rsid w:val="58040325"/>
    <w:rsid w:val="58044C05"/>
    <w:rsid w:val="580469B3"/>
    <w:rsid w:val="5806097D"/>
    <w:rsid w:val="58061A6F"/>
    <w:rsid w:val="580746F5"/>
    <w:rsid w:val="5809221B"/>
    <w:rsid w:val="58093FC9"/>
    <w:rsid w:val="580B4A27"/>
    <w:rsid w:val="580C394F"/>
    <w:rsid w:val="580C3AB9"/>
    <w:rsid w:val="580C5867"/>
    <w:rsid w:val="58100C54"/>
    <w:rsid w:val="58117D1B"/>
    <w:rsid w:val="58164938"/>
    <w:rsid w:val="581806B0"/>
    <w:rsid w:val="5818420C"/>
    <w:rsid w:val="581A4428"/>
    <w:rsid w:val="581B5AAA"/>
    <w:rsid w:val="581D1822"/>
    <w:rsid w:val="581E495A"/>
    <w:rsid w:val="581F559B"/>
    <w:rsid w:val="58207669"/>
    <w:rsid w:val="58247055"/>
    <w:rsid w:val="582639A9"/>
    <w:rsid w:val="582708F3"/>
    <w:rsid w:val="582726A1"/>
    <w:rsid w:val="5829466B"/>
    <w:rsid w:val="58296419"/>
    <w:rsid w:val="582B2191"/>
    <w:rsid w:val="582C415B"/>
    <w:rsid w:val="582D0E61"/>
    <w:rsid w:val="582D57D1"/>
    <w:rsid w:val="582F1556"/>
    <w:rsid w:val="58312279"/>
    <w:rsid w:val="58350A83"/>
    <w:rsid w:val="58353010"/>
    <w:rsid w:val="583848AE"/>
    <w:rsid w:val="583A6878"/>
    <w:rsid w:val="583C31B4"/>
    <w:rsid w:val="583F021F"/>
    <w:rsid w:val="583F3E8F"/>
    <w:rsid w:val="583F6DA0"/>
    <w:rsid w:val="583F79EB"/>
    <w:rsid w:val="584032A3"/>
    <w:rsid w:val="58403763"/>
    <w:rsid w:val="58421BF7"/>
    <w:rsid w:val="584274DB"/>
    <w:rsid w:val="58445001"/>
    <w:rsid w:val="58466FCB"/>
    <w:rsid w:val="584A64CD"/>
    <w:rsid w:val="584B45E2"/>
    <w:rsid w:val="58502ABA"/>
    <w:rsid w:val="58507DDB"/>
    <w:rsid w:val="58523BC2"/>
    <w:rsid w:val="5853793A"/>
    <w:rsid w:val="58557C07"/>
    <w:rsid w:val="585711D8"/>
    <w:rsid w:val="58584F50"/>
    <w:rsid w:val="585F111F"/>
    <w:rsid w:val="585F62DF"/>
    <w:rsid w:val="58600C6F"/>
    <w:rsid w:val="5862495B"/>
    <w:rsid w:val="58627B7D"/>
    <w:rsid w:val="5863277C"/>
    <w:rsid w:val="5863503A"/>
    <w:rsid w:val="58643EBA"/>
    <w:rsid w:val="58644352"/>
    <w:rsid w:val="58646EBC"/>
    <w:rsid w:val="58654F91"/>
    <w:rsid w:val="58692CBA"/>
    <w:rsid w:val="58694E18"/>
    <w:rsid w:val="586B2497"/>
    <w:rsid w:val="586B4C84"/>
    <w:rsid w:val="586B6A32"/>
    <w:rsid w:val="586C4558"/>
    <w:rsid w:val="586E02D0"/>
    <w:rsid w:val="5870229A"/>
    <w:rsid w:val="58704048"/>
    <w:rsid w:val="58714FC8"/>
    <w:rsid w:val="58727DC0"/>
    <w:rsid w:val="58770836"/>
    <w:rsid w:val="58783407"/>
    <w:rsid w:val="58791752"/>
    <w:rsid w:val="587A4EC7"/>
    <w:rsid w:val="587A6C75"/>
    <w:rsid w:val="587B78FE"/>
    <w:rsid w:val="587E6C78"/>
    <w:rsid w:val="587F072F"/>
    <w:rsid w:val="587F428B"/>
    <w:rsid w:val="587F6039"/>
    <w:rsid w:val="5880733A"/>
    <w:rsid w:val="58816256"/>
    <w:rsid w:val="588418A2"/>
    <w:rsid w:val="58884B84"/>
    <w:rsid w:val="588C013C"/>
    <w:rsid w:val="588C5C9B"/>
    <w:rsid w:val="588C69A8"/>
    <w:rsid w:val="588C6B1E"/>
    <w:rsid w:val="588D4BFA"/>
    <w:rsid w:val="58931AE5"/>
    <w:rsid w:val="58977827"/>
    <w:rsid w:val="5898534D"/>
    <w:rsid w:val="589870FB"/>
    <w:rsid w:val="589A5609"/>
    <w:rsid w:val="589C6BEB"/>
    <w:rsid w:val="589D0BB5"/>
    <w:rsid w:val="589F0489"/>
    <w:rsid w:val="589F492D"/>
    <w:rsid w:val="589F5E76"/>
    <w:rsid w:val="589F6A37"/>
    <w:rsid w:val="58A06022"/>
    <w:rsid w:val="58A166B7"/>
    <w:rsid w:val="58A4109F"/>
    <w:rsid w:val="58A41F44"/>
    <w:rsid w:val="58A61818"/>
    <w:rsid w:val="58A67A6A"/>
    <w:rsid w:val="58A82691"/>
    <w:rsid w:val="58AB5E83"/>
    <w:rsid w:val="58AD0DF8"/>
    <w:rsid w:val="58AE2DC2"/>
    <w:rsid w:val="58AE4B70"/>
    <w:rsid w:val="58B008E9"/>
    <w:rsid w:val="58B06B3A"/>
    <w:rsid w:val="58B303D9"/>
    <w:rsid w:val="58B32E3A"/>
    <w:rsid w:val="58B51F19"/>
    <w:rsid w:val="58B54151"/>
    <w:rsid w:val="58B67C3B"/>
    <w:rsid w:val="58B8154B"/>
    <w:rsid w:val="58B830D4"/>
    <w:rsid w:val="58BA1767"/>
    <w:rsid w:val="58BA3515"/>
    <w:rsid w:val="58BA52C3"/>
    <w:rsid w:val="58BD34CA"/>
    <w:rsid w:val="58BE3005"/>
    <w:rsid w:val="58BF11BC"/>
    <w:rsid w:val="58BF6D7E"/>
    <w:rsid w:val="58C06C50"/>
    <w:rsid w:val="58C16652"/>
    <w:rsid w:val="58C4066D"/>
    <w:rsid w:val="58C6010C"/>
    <w:rsid w:val="58C779E0"/>
    <w:rsid w:val="58CB413F"/>
    <w:rsid w:val="58CD149A"/>
    <w:rsid w:val="58CD3249"/>
    <w:rsid w:val="58CD5BED"/>
    <w:rsid w:val="58CE0D6F"/>
    <w:rsid w:val="58CF60B2"/>
    <w:rsid w:val="58CF6576"/>
    <w:rsid w:val="58D12EEE"/>
    <w:rsid w:val="58D1771E"/>
    <w:rsid w:val="58D41407"/>
    <w:rsid w:val="58DC348C"/>
    <w:rsid w:val="58DD25BE"/>
    <w:rsid w:val="58DF2304"/>
    <w:rsid w:val="58DF2F7C"/>
    <w:rsid w:val="58E223C6"/>
    <w:rsid w:val="58E32A6C"/>
    <w:rsid w:val="58E34AAF"/>
    <w:rsid w:val="58E34F27"/>
    <w:rsid w:val="58E467E4"/>
    <w:rsid w:val="58EB7C76"/>
    <w:rsid w:val="58EC5D11"/>
    <w:rsid w:val="58EF660C"/>
    <w:rsid w:val="58F05189"/>
    <w:rsid w:val="58F20F01"/>
    <w:rsid w:val="58F24A5D"/>
    <w:rsid w:val="58F307D5"/>
    <w:rsid w:val="58F509F1"/>
    <w:rsid w:val="58F5279F"/>
    <w:rsid w:val="58F52D66"/>
    <w:rsid w:val="58F72073"/>
    <w:rsid w:val="58F9403E"/>
    <w:rsid w:val="59040DBD"/>
    <w:rsid w:val="590429E2"/>
    <w:rsid w:val="590723E4"/>
    <w:rsid w:val="59085CEB"/>
    <w:rsid w:val="59097FF9"/>
    <w:rsid w:val="590B3D71"/>
    <w:rsid w:val="590D5D3B"/>
    <w:rsid w:val="591064E5"/>
    <w:rsid w:val="59126EAD"/>
    <w:rsid w:val="59142684"/>
    <w:rsid w:val="59143DC5"/>
    <w:rsid w:val="59153B14"/>
    <w:rsid w:val="59154BEF"/>
    <w:rsid w:val="591E5852"/>
    <w:rsid w:val="592137F8"/>
    <w:rsid w:val="59227859"/>
    <w:rsid w:val="59282B75"/>
    <w:rsid w:val="59284923"/>
    <w:rsid w:val="592B7F6F"/>
    <w:rsid w:val="592E78CE"/>
    <w:rsid w:val="592F45B5"/>
    <w:rsid w:val="59301A29"/>
    <w:rsid w:val="593212FE"/>
    <w:rsid w:val="59325B16"/>
    <w:rsid w:val="5934151A"/>
    <w:rsid w:val="593432C8"/>
    <w:rsid w:val="59350DEE"/>
    <w:rsid w:val="59352B9C"/>
    <w:rsid w:val="593530FD"/>
    <w:rsid w:val="59367040"/>
    <w:rsid w:val="593B28A8"/>
    <w:rsid w:val="593C2BA3"/>
    <w:rsid w:val="593C715A"/>
    <w:rsid w:val="593E4146"/>
    <w:rsid w:val="593E565E"/>
    <w:rsid w:val="593F3A1A"/>
    <w:rsid w:val="594006C5"/>
    <w:rsid w:val="594013EC"/>
    <w:rsid w:val="5942138D"/>
    <w:rsid w:val="5943175D"/>
    <w:rsid w:val="594352B9"/>
    <w:rsid w:val="59462FFB"/>
    <w:rsid w:val="59480B21"/>
    <w:rsid w:val="594869A2"/>
    <w:rsid w:val="59486D73"/>
    <w:rsid w:val="594A2A9B"/>
    <w:rsid w:val="594D25DB"/>
    <w:rsid w:val="59505C28"/>
    <w:rsid w:val="59527BF2"/>
    <w:rsid w:val="595317A4"/>
    <w:rsid w:val="595F22C1"/>
    <w:rsid w:val="59617E35"/>
    <w:rsid w:val="596516D3"/>
    <w:rsid w:val="59667064"/>
    <w:rsid w:val="596671F9"/>
    <w:rsid w:val="5967369D"/>
    <w:rsid w:val="59682F71"/>
    <w:rsid w:val="59696A4A"/>
    <w:rsid w:val="596A347D"/>
    <w:rsid w:val="596A4F3B"/>
    <w:rsid w:val="596A75AC"/>
    <w:rsid w:val="596C0CB3"/>
    <w:rsid w:val="596C2A61"/>
    <w:rsid w:val="596D0588"/>
    <w:rsid w:val="596D4A2C"/>
    <w:rsid w:val="596F60AE"/>
    <w:rsid w:val="597265D0"/>
    <w:rsid w:val="59741916"/>
    <w:rsid w:val="59742BBD"/>
    <w:rsid w:val="59771D33"/>
    <w:rsid w:val="597903A1"/>
    <w:rsid w:val="5979095E"/>
    <w:rsid w:val="597B4402"/>
    <w:rsid w:val="597B513F"/>
    <w:rsid w:val="597E2795"/>
    <w:rsid w:val="597E47CE"/>
    <w:rsid w:val="59851D75"/>
    <w:rsid w:val="59861649"/>
    <w:rsid w:val="59876129"/>
    <w:rsid w:val="598A113A"/>
    <w:rsid w:val="598B6C60"/>
    <w:rsid w:val="598C4EB2"/>
    <w:rsid w:val="598D0C2A"/>
    <w:rsid w:val="598D29D8"/>
    <w:rsid w:val="598E4D65"/>
    <w:rsid w:val="59926240"/>
    <w:rsid w:val="59927FEE"/>
    <w:rsid w:val="59945B14"/>
    <w:rsid w:val="59947126"/>
    <w:rsid w:val="59956FD4"/>
    <w:rsid w:val="5996188C"/>
    <w:rsid w:val="59965D30"/>
    <w:rsid w:val="5997006D"/>
    <w:rsid w:val="599D317C"/>
    <w:rsid w:val="59A10231"/>
    <w:rsid w:val="59A246D5"/>
    <w:rsid w:val="59A3044D"/>
    <w:rsid w:val="59A445D0"/>
    <w:rsid w:val="59A651A2"/>
    <w:rsid w:val="59A73A9A"/>
    <w:rsid w:val="59A8341F"/>
    <w:rsid w:val="59AD4E28"/>
    <w:rsid w:val="59AD756C"/>
    <w:rsid w:val="59AF294E"/>
    <w:rsid w:val="59B12B6A"/>
    <w:rsid w:val="59B32904"/>
    <w:rsid w:val="59B36457"/>
    <w:rsid w:val="59B44408"/>
    <w:rsid w:val="59B461B6"/>
    <w:rsid w:val="59B60181"/>
    <w:rsid w:val="59B62CC0"/>
    <w:rsid w:val="59B90AA1"/>
    <w:rsid w:val="59BB12F3"/>
    <w:rsid w:val="59C25A74"/>
    <w:rsid w:val="59C3464B"/>
    <w:rsid w:val="59C363FA"/>
    <w:rsid w:val="59C56616"/>
    <w:rsid w:val="59C77E38"/>
    <w:rsid w:val="59C81C62"/>
    <w:rsid w:val="59CA59DA"/>
    <w:rsid w:val="59CC168B"/>
    <w:rsid w:val="59CD7278"/>
    <w:rsid w:val="59CE07A9"/>
    <w:rsid w:val="59CF1242"/>
    <w:rsid w:val="59D0681A"/>
    <w:rsid w:val="59D5500D"/>
    <w:rsid w:val="59D800F7"/>
    <w:rsid w:val="59D9502B"/>
    <w:rsid w:val="59DB3743"/>
    <w:rsid w:val="59DB7BE7"/>
    <w:rsid w:val="59DD6E9D"/>
    <w:rsid w:val="59DF76D7"/>
    <w:rsid w:val="59DF7BD0"/>
    <w:rsid w:val="59E24AD2"/>
    <w:rsid w:val="59E31276"/>
    <w:rsid w:val="59E52169"/>
    <w:rsid w:val="59E545C2"/>
    <w:rsid w:val="59E56370"/>
    <w:rsid w:val="59E63722"/>
    <w:rsid w:val="59EC3BA2"/>
    <w:rsid w:val="59EC6F75"/>
    <w:rsid w:val="59EE791A"/>
    <w:rsid w:val="59F01C15"/>
    <w:rsid w:val="59F30559"/>
    <w:rsid w:val="59F63A72"/>
    <w:rsid w:val="59FA1EEB"/>
    <w:rsid w:val="59FA28A1"/>
    <w:rsid w:val="59FB0BB0"/>
    <w:rsid w:val="59FD190B"/>
    <w:rsid w:val="59FE56A9"/>
    <w:rsid w:val="5A0053F8"/>
    <w:rsid w:val="5A00764E"/>
    <w:rsid w:val="5A011A11"/>
    <w:rsid w:val="5A023443"/>
    <w:rsid w:val="5A025174"/>
    <w:rsid w:val="5A037B4C"/>
    <w:rsid w:val="5A07278A"/>
    <w:rsid w:val="5A074538"/>
    <w:rsid w:val="5A096502"/>
    <w:rsid w:val="5A0D02E3"/>
    <w:rsid w:val="5A0E3B19"/>
    <w:rsid w:val="5A0E58C7"/>
    <w:rsid w:val="5A1153B7"/>
    <w:rsid w:val="5A1223DE"/>
    <w:rsid w:val="5A1629CD"/>
    <w:rsid w:val="5A166E71"/>
    <w:rsid w:val="5A1C1CB8"/>
    <w:rsid w:val="5A1D5B0A"/>
    <w:rsid w:val="5A20384C"/>
    <w:rsid w:val="5A217436"/>
    <w:rsid w:val="5A221372"/>
    <w:rsid w:val="5A2275C4"/>
    <w:rsid w:val="5A236E98"/>
    <w:rsid w:val="5A2570B4"/>
    <w:rsid w:val="5A296BA4"/>
    <w:rsid w:val="5A2A6479"/>
    <w:rsid w:val="5A2C3F9F"/>
    <w:rsid w:val="5A2E3651"/>
    <w:rsid w:val="5A3115B5"/>
    <w:rsid w:val="5A312D45"/>
    <w:rsid w:val="5A3141A2"/>
    <w:rsid w:val="5A323A7D"/>
    <w:rsid w:val="5A33532D"/>
    <w:rsid w:val="5A3617D9"/>
    <w:rsid w:val="5A364E1D"/>
    <w:rsid w:val="5A3B7573"/>
    <w:rsid w:val="5A403EEE"/>
    <w:rsid w:val="5A426ABB"/>
    <w:rsid w:val="5A44753A"/>
    <w:rsid w:val="5A470DD9"/>
    <w:rsid w:val="5A490FF5"/>
    <w:rsid w:val="5A494B51"/>
    <w:rsid w:val="5A4B6B1B"/>
    <w:rsid w:val="5A4D4E8F"/>
    <w:rsid w:val="5A4E0416"/>
    <w:rsid w:val="5A585A5B"/>
    <w:rsid w:val="5A597EEA"/>
    <w:rsid w:val="5A5A0B0C"/>
    <w:rsid w:val="5A5A4FB0"/>
    <w:rsid w:val="5A5A528C"/>
    <w:rsid w:val="5A5B4884"/>
    <w:rsid w:val="5A5F25C6"/>
    <w:rsid w:val="5A5F4374"/>
    <w:rsid w:val="5A5F53D0"/>
    <w:rsid w:val="5A615ED6"/>
    <w:rsid w:val="5A6220B6"/>
    <w:rsid w:val="5A647BDD"/>
    <w:rsid w:val="5A681176"/>
    <w:rsid w:val="5A6A4AC7"/>
    <w:rsid w:val="5A6F20DD"/>
    <w:rsid w:val="5A70032F"/>
    <w:rsid w:val="5A731BCE"/>
    <w:rsid w:val="5A753B98"/>
    <w:rsid w:val="5A753DA0"/>
    <w:rsid w:val="5A7877AA"/>
    <w:rsid w:val="5A7A35EE"/>
    <w:rsid w:val="5A7B30DA"/>
    <w:rsid w:val="5A7D2A4C"/>
    <w:rsid w:val="5A7D47FA"/>
    <w:rsid w:val="5A7F0572"/>
    <w:rsid w:val="5A7F67C4"/>
    <w:rsid w:val="5A83034D"/>
    <w:rsid w:val="5A847010"/>
    <w:rsid w:val="5A875679"/>
    <w:rsid w:val="5A8804F4"/>
    <w:rsid w:val="5A8C0EE1"/>
    <w:rsid w:val="5A8E2EAB"/>
    <w:rsid w:val="5A8F6C33"/>
    <w:rsid w:val="5A902780"/>
    <w:rsid w:val="5A904EAA"/>
    <w:rsid w:val="5A912133"/>
    <w:rsid w:val="5A9304C2"/>
    <w:rsid w:val="5A963B0E"/>
    <w:rsid w:val="5A9658BC"/>
    <w:rsid w:val="5A971D60"/>
    <w:rsid w:val="5A981634"/>
    <w:rsid w:val="5A996F37"/>
    <w:rsid w:val="5A9A1850"/>
    <w:rsid w:val="5A9C5DB6"/>
    <w:rsid w:val="5A9D4E9D"/>
    <w:rsid w:val="5A9F29C3"/>
    <w:rsid w:val="5AA13369"/>
    <w:rsid w:val="5AA20705"/>
    <w:rsid w:val="5AA218C5"/>
    <w:rsid w:val="5AA224B3"/>
    <w:rsid w:val="5AA407BB"/>
    <w:rsid w:val="5AA4622B"/>
    <w:rsid w:val="5AA47913"/>
    <w:rsid w:val="5AA47FD9"/>
    <w:rsid w:val="5AA51D31"/>
    <w:rsid w:val="5AA81FF6"/>
    <w:rsid w:val="5AAA305F"/>
    <w:rsid w:val="5AAB390F"/>
    <w:rsid w:val="5AAB580B"/>
    <w:rsid w:val="5AAE6BFF"/>
    <w:rsid w:val="5AB02E22"/>
    <w:rsid w:val="5AB04526"/>
    <w:rsid w:val="5AB0697E"/>
    <w:rsid w:val="5AB346C0"/>
    <w:rsid w:val="5AB3646E"/>
    <w:rsid w:val="5AB46C0D"/>
    <w:rsid w:val="5AB67D0C"/>
    <w:rsid w:val="5ABA77FD"/>
    <w:rsid w:val="5ABC17C7"/>
    <w:rsid w:val="5ABF3065"/>
    <w:rsid w:val="5AC17303"/>
    <w:rsid w:val="5AC24903"/>
    <w:rsid w:val="5AC4067B"/>
    <w:rsid w:val="5AC44FC1"/>
    <w:rsid w:val="5AC468CD"/>
    <w:rsid w:val="5AC57B92"/>
    <w:rsid w:val="5AC643F3"/>
    <w:rsid w:val="5AC71F19"/>
    <w:rsid w:val="5AC73CC7"/>
    <w:rsid w:val="5AC75083"/>
    <w:rsid w:val="5AC762F1"/>
    <w:rsid w:val="5AC93EE4"/>
    <w:rsid w:val="5ACC12DE"/>
    <w:rsid w:val="5ACC7530"/>
    <w:rsid w:val="5ACD5782"/>
    <w:rsid w:val="5ACE32A8"/>
    <w:rsid w:val="5ACF4E66"/>
    <w:rsid w:val="5ACF557D"/>
    <w:rsid w:val="5AD00DCE"/>
    <w:rsid w:val="5AD07020"/>
    <w:rsid w:val="5AD07711"/>
    <w:rsid w:val="5AD14B46"/>
    <w:rsid w:val="5AD3266C"/>
    <w:rsid w:val="5AD63E24"/>
    <w:rsid w:val="5AD76600"/>
    <w:rsid w:val="5ADA39FB"/>
    <w:rsid w:val="5ADB1120"/>
    <w:rsid w:val="5ADD34EB"/>
    <w:rsid w:val="5AE00F5A"/>
    <w:rsid w:val="5AE05C2A"/>
    <w:rsid w:val="5AE34FA5"/>
    <w:rsid w:val="5AE40D1D"/>
    <w:rsid w:val="5AE445AB"/>
    <w:rsid w:val="5AE66844"/>
    <w:rsid w:val="5AE91E90"/>
    <w:rsid w:val="5AE96DAB"/>
    <w:rsid w:val="5AF076C2"/>
    <w:rsid w:val="5AF30F60"/>
    <w:rsid w:val="5AF32D0E"/>
    <w:rsid w:val="5AF34ABD"/>
    <w:rsid w:val="5AF54CD9"/>
    <w:rsid w:val="5AF56A87"/>
    <w:rsid w:val="5AF66FA7"/>
    <w:rsid w:val="5AF7262D"/>
    <w:rsid w:val="5AF745AD"/>
    <w:rsid w:val="5AF90B34"/>
    <w:rsid w:val="5AF947C9"/>
    <w:rsid w:val="5AFD12C7"/>
    <w:rsid w:val="5AFF16B3"/>
    <w:rsid w:val="5B0974A9"/>
    <w:rsid w:val="5B0A0784"/>
    <w:rsid w:val="5B0B1E06"/>
    <w:rsid w:val="5B0E18F6"/>
    <w:rsid w:val="5B0F2F87"/>
    <w:rsid w:val="5B0F614B"/>
    <w:rsid w:val="5B1433B1"/>
    <w:rsid w:val="5B146880"/>
    <w:rsid w:val="5B152C85"/>
    <w:rsid w:val="5B157129"/>
    <w:rsid w:val="5B1769FD"/>
    <w:rsid w:val="5B1A64ED"/>
    <w:rsid w:val="5B1C38DA"/>
    <w:rsid w:val="5B1D0BB9"/>
    <w:rsid w:val="5B1E42F8"/>
    <w:rsid w:val="5B1F3B03"/>
    <w:rsid w:val="5B21162A"/>
    <w:rsid w:val="5B242EC8"/>
    <w:rsid w:val="5B26435E"/>
    <w:rsid w:val="5B2844EF"/>
    <w:rsid w:val="5B2860E1"/>
    <w:rsid w:val="5B2908F5"/>
    <w:rsid w:val="5B2A2BD4"/>
    <w:rsid w:val="5B2F0B75"/>
    <w:rsid w:val="5B2F1F99"/>
    <w:rsid w:val="5B316588"/>
    <w:rsid w:val="5B3255E5"/>
    <w:rsid w:val="5B331E3F"/>
    <w:rsid w:val="5B337F9C"/>
    <w:rsid w:val="5B34725D"/>
    <w:rsid w:val="5B3475AF"/>
    <w:rsid w:val="5B35078D"/>
    <w:rsid w:val="5B353327"/>
    <w:rsid w:val="5B3550D5"/>
    <w:rsid w:val="5B370E4D"/>
    <w:rsid w:val="5B377EB4"/>
    <w:rsid w:val="5B386773"/>
    <w:rsid w:val="5B3A2569"/>
    <w:rsid w:val="5B3A26EB"/>
    <w:rsid w:val="5B3C6463"/>
    <w:rsid w:val="5B3E0678"/>
    <w:rsid w:val="5B3E6680"/>
    <w:rsid w:val="5B3F1DB5"/>
    <w:rsid w:val="5B413A7A"/>
    <w:rsid w:val="5B417F1E"/>
    <w:rsid w:val="5B427A6A"/>
    <w:rsid w:val="5B4812AC"/>
    <w:rsid w:val="5B4968E4"/>
    <w:rsid w:val="5B4B48F9"/>
    <w:rsid w:val="5B4D0671"/>
    <w:rsid w:val="5B4D68C3"/>
    <w:rsid w:val="5B4E19C2"/>
    <w:rsid w:val="5B4F43E9"/>
    <w:rsid w:val="5B5419FF"/>
    <w:rsid w:val="5B547C51"/>
    <w:rsid w:val="5B5639C7"/>
    <w:rsid w:val="5B597015"/>
    <w:rsid w:val="5B5E0214"/>
    <w:rsid w:val="5B5E022C"/>
    <w:rsid w:val="5B5E04BE"/>
    <w:rsid w:val="5B5F0309"/>
    <w:rsid w:val="5B61236E"/>
    <w:rsid w:val="5B6634E0"/>
    <w:rsid w:val="5B6B0AF7"/>
    <w:rsid w:val="5B6F14AD"/>
    <w:rsid w:val="5B6F4A8B"/>
    <w:rsid w:val="5B7420A1"/>
    <w:rsid w:val="5B7667EC"/>
    <w:rsid w:val="5B7B3430"/>
    <w:rsid w:val="5B7C0F56"/>
    <w:rsid w:val="5B7F2398"/>
    <w:rsid w:val="5B7F3AD9"/>
    <w:rsid w:val="5B8147BE"/>
    <w:rsid w:val="5B865931"/>
    <w:rsid w:val="5B866D04"/>
    <w:rsid w:val="5B8A5421"/>
    <w:rsid w:val="5B8A71CF"/>
    <w:rsid w:val="5B8C18BC"/>
    <w:rsid w:val="5B8E7680"/>
    <w:rsid w:val="5B92504F"/>
    <w:rsid w:val="5B93080E"/>
    <w:rsid w:val="5B956B6B"/>
    <w:rsid w:val="5B962018"/>
    <w:rsid w:val="5B975075"/>
    <w:rsid w:val="5B984680"/>
    <w:rsid w:val="5B9B5880"/>
    <w:rsid w:val="5B9C33A6"/>
    <w:rsid w:val="5B9C6F02"/>
    <w:rsid w:val="5BA1276A"/>
    <w:rsid w:val="5BA26C0E"/>
    <w:rsid w:val="5BA54009"/>
    <w:rsid w:val="5BAC35E9"/>
    <w:rsid w:val="5BAE5FBF"/>
    <w:rsid w:val="5BAE7FE7"/>
    <w:rsid w:val="5BAF30D9"/>
    <w:rsid w:val="5BAF6C35"/>
    <w:rsid w:val="5BB04C2C"/>
    <w:rsid w:val="5BB4249E"/>
    <w:rsid w:val="5BB46942"/>
    <w:rsid w:val="5BB56B61"/>
    <w:rsid w:val="5BB64468"/>
    <w:rsid w:val="5BB66216"/>
    <w:rsid w:val="5BB97AB4"/>
    <w:rsid w:val="5BBB4FCE"/>
    <w:rsid w:val="5BBB6CA5"/>
    <w:rsid w:val="5BBB7CD0"/>
    <w:rsid w:val="5BBC1352"/>
    <w:rsid w:val="5BBF7D40"/>
    <w:rsid w:val="5BC07095"/>
    <w:rsid w:val="5BC207B3"/>
    <w:rsid w:val="5BC20A68"/>
    <w:rsid w:val="5BC30933"/>
    <w:rsid w:val="5BC621D1"/>
    <w:rsid w:val="5BC70423"/>
    <w:rsid w:val="5BC76675"/>
    <w:rsid w:val="5BC7779C"/>
    <w:rsid w:val="5BC85F49"/>
    <w:rsid w:val="5BCA1CC1"/>
    <w:rsid w:val="5BCA59A6"/>
    <w:rsid w:val="5BCA7F5D"/>
    <w:rsid w:val="5BCC6458"/>
    <w:rsid w:val="5BCF184A"/>
    <w:rsid w:val="5BCF72D8"/>
    <w:rsid w:val="5BD20B76"/>
    <w:rsid w:val="5BD3620A"/>
    <w:rsid w:val="5BD37619"/>
    <w:rsid w:val="5BD53824"/>
    <w:rsid w:val="5BD62414"/>
    <w:rsid w:val="5BD743DE"/>
    <w:rsid w:val="5BDA4A94"/>
    <w:rsid w:val="5BDB3ECE"/>
    <w:rsid w:val="5BDC7136"/>
    <w:rsid w:val="5BDE576D"/>
    <w:rsid w:val="5BE03293"/>
    <w:rsid w:val="5BE03C4D"/>
    <w:rsid w:val="5BE05778"/>
    <w:rsid w:val="5BE07737"/>
    <w:rsid w:val="5BE30FD5"/>
    <w:rsid w:val="5BE32D83"/>
    <w:rsid w:val="5BE3658C"/>
    <w:rsid w:val="5BE41A30"/>
    <w:rsid w:val="5BE508A9"/>
    <w:rsid w:val="5BE52D7E"/>
    <w:rsid w:val="5BE70AC5"/>
    <w:rsid w:val="5BEA5EBF"/>
    <w:rsid w:val="5BED775E"/>
    <w:rsid w:val="5BEF1728"/>
    <w:rsid w:val="5BEF34D6"/>
    <w:rsid w:val="5BF136F2"/>
    <w:rsid w:val="5BF1724E"/>
    <w:rsid w:val="5BF31218"/>
    <w:rsid w:val="5BF40AEC"/>
    <w:rsid w:val="5BF46D3E"/>
    <w:rsid w:val="5BF6783B"/>
    <w:rsid w:val="5BF74F3D"/>
    <w:rsid w:val="5BF90F94"/>
    <w:rsid w:val="5BF94355"/>
    <w:rsid w:val="5BFB3C44"/>
    <w:rsid w:val="5BFE2E58"/>
    <w:rsid w:val="5BFF597D"/>
    <w:rsid w:val="5C023A8F"/>
    <w:rsid w:val="5C0351D3"/>
    <w:rsid w:val="5C037EDF"/>
    <w:rsid w:val="5C04759E"/>
    <w:rsid w:val="5C083CBB"/>
    <w:rsid w:val="5C0A0310"/>
    <w:rsid w:val="5C0A47B4"/>
    <w:rsid w:val="5C0C052C"/>
    <w:rsid w:val="5C0D4CE2"/>
    <w:rsid w:val="5C110814"/>
    <w:rsid w:val="5C1218F5"/>
    <w:rsid w:val="5C125416"/>
    <w:rsid w:val="5C1271C4"/>
    <w:rsid w:val="5C166CB5"/>
    <w:rsid w:val="5C17056B"/>
    <w:rsid w:val="5C171193"/>
    <w:rsid w:val="5C174A85"/>
    <w:rsid w:val="5C183B51"/>
    <w:rsid w:val="5C1906F7"/>
    <w:rsid w:val="5C1B0F0A"/>
    <w:rsid w:val="5C1B6F16"/>
    <w:rsid w:val="5C1D44E7"/>
    <w:rsid w:val="5C1D5AFA"/>
    <w:rsid w:val="5C1E200D"/>
    <w:rsid w:val="5C1E3DBB"/>
    <w:rsid w:val="5C203C2E"/>
    <w:rsid w:val="5C21668C"/>
    <w:rsid w:val="5C216BFF"/>
    <w:rsid w:val="5C252399"/>
    <w:rsid w:val="5C25514A"/>
    <w:rsid w:val="5C277114"/>
    <w:rsid w:val="5C2869E8"/>
    <w:rsid w:val="5C2A09B2"/>
    <w:rsid w:val="5C2C66C4"/>
    <w:rsid w:val="5C2D3FFE"/>
    <w:rsid w:val="5C2E0911"/>
    <w:rsid w:val="5C2F5FC8"/>
    <w:rsid w:val="5C311D40"/>
    <w:rsid w:val="5C317F92"/>
    <w:rsid w:val="5C381321"/>
    <w:rsid w:val="5C3830CF"/>
    <w:rsid w:val="5C3F445D"/>
    <w:rsid w:val="5C403D31"/>
    <w:rsid w:val="5C427AAA"/>
    <w:rsid w:val="5C447CC6"/>
    <w:rsid w:val="5C456250"/>
    <w:rsid w:val="5C474011"/>
    <w:rsid w:val="5C4E644E"/>
    <w:rsid w:val="5C514191"/>
    <w:rsid w:val="5C537F09"/>
    <w:rsid w:val="5C545A2F"/>
    <w:rsid w:val="5C5617A7"/>
    <w:rsid w:val="5C5A20A8"/>
    <w:rsid w:val="5C5D2B35"/>
    <w:rsid w:val="5C5D3646"/>
    <w:rsid w:val="5C6234B3"/>
    <w:rsid w:val="5C642116"/>
    <w:rsid w:val="5C642C63"/>
    <w:rsid w:val="5C645C72"/>
    <w:rsid w:val="5C645EF8"/>
    <w:rsid w:val="5C657C3C"/>
    <w:rsid w:val="5C677510"/>
    <w:rsid w:val="5C693288"/>
    <w:rsid w:val="5C6C0FCA"/>
    <w:rsid w:val="5C6C2D78"/>
    <w:rsid w:val="5C6C4B26"/>
    <w:rsid w:val="5C734107"/>
    <w:rsid w:val="5C737BB0"/>
    <w:rsid w:val="5C7419FB"/>
    <w:rsid w:val="5C745B1A"/>
    <w:rsid w:val="5C753E74"/>
    <w:rsid w:val="5C7560D1"/>
    <w:rsid w:val="5C761E49"/>
    <w:rsid w:val="5C7716D7"/>
    <w:rsid w:val="5C7922E1"/>
    <w:rsid w:val="5C797243"/>
    <w:rsid w:val="5C7A36E7"/>
    <w:rsid w:val="5C7A5495"/>
    <w:rsid w:val="5C7B745F"/>
    <w:rsid w:val="5C7D02C9"/>
    <w:rsid w:val="5C7D31D8"/>
    <w:rsid w:val="5C7F2AAC"/>
    <w:rsid w:val="5C824AD4"/>
    <w:rsid w:val="5C825168"/>
    <w:rsid w:val="5C853E3A"/>
    <w:rsid w:val="5C8B06F2"/>
    <w:rsid w:val="5C8E0F41"/>
    <w:rsid w:val="5C8E2CEF"/>
    <w:rsid w:val="5C902F0B"/>
    <w:rsid w:val="5C950521"/>
    <w:rsid w:val="5C961BA3"/>
    <w:rsid w:val="5C966047"/>
    <w:rsid w:val="5C985D8A"/>
    <w:rsid w:val="5C9B64A5"/>
    <w:rsid w:val="5C9D73D6"/>
    <w:rsid w:val="5CA16EC6"/>
    <w:rsid w:val="5CA24B14"/>
    <w:rsid w:val="5CA30247"/>
    <w:rsid w:val="5CA46515"/>
    <w:rsid w:val="5CA67026"/>
    <w:rsid w:val="5CA73DB1"/>
    <w:rsid w:val="5CA949CF"/>
    <w:rsid w:val="5CAA564F"/>
    <w:rsid w:val="5CAE15E3"/>
    <w:rsid w:val="5CAE513F"/>
    <w:rsid w:val="5CAF3AF1"/>
    <w:rsid w:val="5CAF478F"/>
    <w:rsid w:val="5CB00EB7"/>
    <w:rsid w:val="5CB07109"/>
    <w:rsid w:val="5CB12E81"/>
    <w:rsid w:val="5CB169DD"/>
    <w:rsid w:val="5CB32755"/>
    <w:rsid w:val="5CB35695"/>
    <w:rsid w:val="5CB4600F"/>
    <w:rsid w:val="5CB5471F"/>
    <w:rsid w:val="5CB87D6C"/>
    <w:rsid w:val="5CC11316"/>
    <w:rsid w:val="5CC266A0"/>
    <w:rsid w:val="5CC47359"/>
    <w:rsid w:val="5CC901CB"/>
    <w:rsid w:val="5CC93D27"/>
    <w:rsid w:val="5CC977C8"/>
    <w:rsid w:val="5CCB30D5"/>
    <w:rsid w:val="5CCB3F43"/>
    <w:rsid w:val="5CCD3AA2"/>
    <w:rsid w:val="5CCF199A"/>
    <w:rsid w:val="5CD131C8"/>
    <w:rsid w:val="5CD40EEF"/>
    <w:rsid w:val="5CD5091E"/>
    <w:rsid w:val="5CD551B9"/>
    <w:rsid w:val="5CD56B70"/>
    <w:rsid w:val="5CD945FC"/>
    <w:rsid w:val="5CDA5F34"/>
    <w:rsid w:val="5CDD5A24"/>
    <w:rsid w:val="5CE172C2"/>
    <w:rsid w:val="5CE2128D"/>
    <w:rsid w:val="5CE84AF5"/>
    <w:rsid w:val="5CED210B"/>
    <w:rsid w:val="5CED6664"/>
    <w:rsid w:val="5CEE7AF4"/>
    <w:rsid w:val="5CF07506"/>
    <w:rsid w:val="5CF10C74"/>
    <w:rsid w:val="5CF1327E"/>
    <w:rsid w:val="5CF214D0"/>
    <w:rsid w:val="5CF3631E"/>
    <w:rsid w:val="5CF50FC0"/>
    <w:rsid w:val="5CF60894"/>
    <w:rsid w:val="5CF67D18"/>
    <w:rsid w:val="5CF80AB0"/>
    <w:rsid w:val="5CF90780"/>
    <w:rsid w:val="5CF936CB"/>
    <w:rsid w:val="5CFA6097"/>
    <w:rsid w:val="5CFB5EAA"/>
    <w:rsid w:val="5CFC40FC"/>
    <w:rsid w:val="5CFD4A18"/>
    <w:rsid w:val="5CFD7E74"/>
    <w:rsid w:val="5CFF1508"/>
    <w:rsid w:val="5D00541C"/>
    <w:rsid w:val="5D011713"/>
    <w:rsid w:val="5D02548B"/>
    <w:rsid w:val="5D0607CD"/>
    <w:rsid w:val="5D072AA1"/>
    <w:rsid w:val="5D081262"/>
    <w:rsid w:val="5D096819"/>
    <w:rsid w:val="5D09707E"/>
    <w:rsid w:val="5D126DFC"/>
    <w:rsid w:val="5D142D43"/>
    <w:rsid w:val="5D157AF5"/>
    <w:rsid w:val="5D170190"/>
    <w:rsid w:val="5D170F36"/>
    <w:rsid w:val="5D172CE4"/>
    <w:rsid w:val="5D177188"/>
    <w:rsid w:val="5D1A067D"/>
    <w:rsid w:val="5D1A4582"/>
    <w:rsid w:val="5D1D22C5"/>
    <w:rsid w:val="5D1F428F"/>
    <w:rsid w:val="5D202983"/>
    <w:rsid w:val="5D24556C"/>
    <w:rsid w:val="5D251732"/>
    <w:rsid w:val="5D295176"/>
    <w:rsid w:val="5D2B2C34"/>
    <w:rsid w:val="5D2B3D11"/>
    <w:rsid w:val="5D30024A"/>
    <w:rsid w:val="5D31207E"/>
    <w:rsid w:val="5D331AE8"/>
    <w:rsid w:val="5D3513BC"/>
    <w:rsid w:val="5D353C30"/>
    <w:rsid w:val="5D355860"/>
    <w:rsid w:val="5D3715D8"/>
    <w:rsid w:val="5D380EAD"/>
    <w:rsid w:val="5D386F41"/>
    <w:rsid w:val="5D395350"/>
    <w:rsid w:val="5D3D5702"/>
    <w:rsid w:val="5D3D64C3"/>
    <w:rsid w:val="5D3D6D9F"/>
    <w:rsid w:val="5D3F5F0C"/>
    <w:rsid w:val="5D414205"/>
    <w:rsid w:val="5D417D61"/>
    <w:rsid w:val="5D437F7D"/>
    <w:rsid w:val="5D445AA3"/>
    <w:rsid w:val="5D4635C9"/>
    <w:rsid w:val="5D467A6D"/>
    <w:rsid w:val="5D4810F0"/>
    <w:rsid w:val="5D4A12F8"/>
    <w:rsid w:val="5D4B0BE0"/>
    <w:rsid w:val="5D4F7DAA"/>
    <w:rsid w:val="5D50269A"/>
    <w:rsid w:val="5D504448"/>
    <w:rsid w:val="5D505750"/>
    <w:rsid w:val="5D526412"/>
    <w:rsid w:val="5D535CE6"/>
    <w:rsid w:val="5D541157"/>
    <w:rsid w:val="5D55380D"/>
    <w:rsid w:val="5D5A1124"/>
    <w:rsid w:val="5D5E6B65"/>
    <w:rsid w:val="5D6323CD"/>
    <w:rsid w:val="5D63417B"/>
    <w:rsid w:val="5D6470DC"/>
    <w:rsid w:val="5D656145"/>
    <w:rsid w:val="5D663C6C"/>
    <w:rsid w:val="5D671943"/>
    <w:rsid w:val="5D69148B"/>
    <w:rsid w:val="5D692859"/>
    <w:rsid w:val="5D6E0D73"/>
    <w:rsid w:val="5D706898"/>
    <w:rsid w:val="5D72616D"/>
    <w:rsid w:val="5D73575C"/>
    <w:rsid w:val="5D755C5D"/>
    <w:rsid w:val="5D762E2E"/>
    <w:rsid w:val="5D780ABD"/>
    <w:rsid w:val="5D7874FB"/>
    <w:rsid w:val="5D7C0913"/>
    <w:rsid w:val="5D7C29BC"/>
    <w:rsid w:val="5D7D60DA"/>
    <w:rsid w:val="5D7E1EC0"/>
    <w:rsid w:val="5D7E7207"/>
    <w:rsid w:val="5D7F1C5E"/>
    <w:rsid w:val="5D814602"/>
    <w:rsid w:val="5D83481E"/>
    <w:rsid w:val="5D883BE2"/>
    <w:rsid w:val="5D891708"/>
    <w:rsid w:val="5D8958E1"/>
    <w:rsid w:val="5D896F5C"/>
    <w:rsid w:val="5D8B5480"/>
    <w:rsid w:val="5D8C1339"/>
    <w:rsid w:val="5D8D5D95"/>
    <w:rsid w:val="5D8F12C5"/>
    <w:rsid w:val="5D900CE9"/>
    <w:rsid w:val="5D9205BD"/>
    <w:rsid w:val="5D941DBC"/>
    <w:rsid w:val="5D99194B"/>
    <w:rsid w:val="5D9929B9"/>
    <w:rsid w:val="5D9A0E4D"/>
    <w:rsid w:val="5D9C768D"/>
    <w:rsid w:val="5D9D51E6"/>
    <w:rsid w:val="5DA12EF6"/>
    <w:rsid w:val="5DA14CA4"/>
    <w:rsid w:val="5DA57F63"/>
    <w:rsid w:val="5DA6050C"/>
    <w:rsid w:val="5DA61A44"/>
    <w:rsid w:val="5DA70892"/>
    <w:rsid w:val="5DA86032"/>
    <w:rsid w:val="5DA909EB"/>
    <w:rsid w:val="5DA97E4D"/>
    <w:rsid w:val="5DAA3B58"/>
    <w:rsid w:val="5DAC0CF7"/>
    <w:rsid w:val="5DB03139"/>
    <w:rsid w:val="5DB20C5F"/>
    <w:rsid w:val="5DB22A0D"/>
    <w:rsid w:val="5DB46785"/>
    <w:rsid w:val="5DB5346D"/>
    <w:rsid w:val="5DB669A1"/>
    <w:rsid w:val="5DB67025"/>
    <w:rsid w:val="5DB81EF7"/>
    <w:rsid w:val="5DB93D9B"/>
    <w:rsid w:val="5DBA31E3"/>
    <w:rsid w:val="5DBC1ADE"/>
    <w:rsid w:val="5DBC3340"/>
    <w:rsid w:val="5DC015CE"/>
    <w:rsid w:val="5DC21AC7"/>
    <w:rsid w:val="5DC32037"/>
    <w:rsid w:val="5DC42740"/>
    <w:rsid w:val="5DCA5944"/>
    <w:rsid w:val="5DCC7F73"/>
    <w:rsid w:val="5DCF5572"/>
    <w:rsid w:val="5DD1521D"/>
    <w:rsid w:val="5DD21301"/>
    <w:rsid w:val="5DD230AF"/>
    <w:rsid w:val="5DD25566"/>
    <w:rsid w:val="5DD40BD5"/>
    <w:rsid w:val="5DD41735"/>
    <w:rsid w:val="5DD64ABE"/>
    <w:rsid w:val="5DD72E4A"/>
    <w:rsid w:val="5DD7451F"/>
    <w:rsid w:val="5DD76917"/>
    <w:rsid w:val="5DD83C52"/>
    <w:rsid w:val="5DD92690"/>
    <w:rsid w:val="5DD961EC"/>
    <w:rsid w:val="5DDB01B6"/>
    <w:rsid w:val="5DDC083B"/>
    <w:rsid w:val="5DDE1A54"/>
    <w:rsid w:val="5DE0757A"/>
    <w:rsid w:val="5DE2253E"/>
    <w:rsid w:val="5DE3706A"/>
    <w:rsid w:val="5DE40DCE"/>
    <w:rsid w:val="5DE51295"/>
    <w:rsid w:val="5DE762FC"/>
    <w:rsid w:val="5DE96053"/>
    <w:rsid w:val="5DEA21A7"/>
    <w:rsid w:val="5DEB5F1F"/>
    <w:rsid w:val="5DEF5A0F"/>
    <w:rsid w:val="5DF179D9"/>
    <w:rsid w:val="5DF2441E"/>
    <w:rsid w:val="5DF41277"/>
    <w:rsid w:val="5DF50B4C"/>
    <w:rsid w:val="5DF70D68"/>
    <w:rsid w:val="5DF72B16"/>
    <w:rsid w:val="5DF81A6F"/>
    <w:rsid w:val="5DF97B7F"/>
    <w:rsid w:val="5DFB2606"/>
    <w:rsid w:val="5DFC012C"/>
    <w:rsid w:val="5DFC1EDA"/>
    <w:rsid w:val="5DFC3737"/>
    <w:rsid w:val="5DFD5DF4"/>
    <w:rsid w:val="5E0019CA"/>
    <w:rsid w:val="5E005A13"/>
    <w:rsid w:val="5E0170BB"/>
    <w:rsid w:val="5E023994"/>
    <w:rsid w:val="5E054327"/>
    <w:rsid w:val="5E08087F"/>
    <w:rsid w:val="5E096D50"/>
    <w:rsid w:val="5E096E73"/>
    <w:rsid w:val="5E0A45F7"/>
    <w:rsid w:val="5E0C4813"/>
    <w:rsid w:val="5E0D07EE"/>
    <w:rsid w:val="5E101AD3"/>
    <w:rsid w:val="5E113BD7"/>
    <w:rsid w:val="5E1158CC"/>
    <w:rsid w:val="5E1216FE"/>
    <w:rsid w:val="5E183D28"/>
    <w:rsid w:val="5E1C514C"/>
    <w:rsid w:val="5E1E66DC"/>
    <w:rsid w:val="5E2002BE"/>
    <w:rsid w:val="5E20206C"/>
    <w:rsid w:val="5E217EDA"/>
    <w:rsid w:val="5E227B93"/>
    <w:rsid w:val="5E251431"/>
    <w:rsid w:val="5E2558D5"/>
    <w:rsid w:val="5E256DA3"/>
    <w:rsid w:val="5E2725DC"/>
    <w:rsid w:val="5E282CCF"/>
    <w:rsid w:val="5E287173"/>
    <w:rsid w:val="5E2A2EEB"/>
    <w:rsid w:val="5E2C0A11"/>
    <w:rsid w:val="5E2F22B0"/>
    <w:rsid w:val="5E2F405E"/>
    <w:rsid w:val="5E2F4EF2"/>
    <w:rsid w:val="5E317DD6"/>
    <w:rsid w:val="5E351028"/>
    <w:rsid w:val="5E357FB3"/>
    <w:rsid w:val="5E3631AE"/>
    <w:rsid w:val="5E3653EC"/>
    <w:rsid w:val="5E3B0C54"/>
    <w:rsid w:val="5E3B2779"/>
    <w:rsid w:val="5E3C677A"/>
    <w:rsid w:val="5E3E6996"/>
    <w:rsid w:val="5E3F6EB8"/>
    <w:rsid w:val="5E47584B"/>
    <w:rsid w:val="5E4A533B"/>
    <w:rsid w:val="5E4C4C10"/>
    <w:rsid w:val="5E4E0A96"/>
    <w:rsid w:val="5E4E693A"/>
    <w:rsid w:val="5E4F64AE"/>
    <w:rsid w:val="5E5169FC"/>
    <w:rsid w:val="5E547F68"/>
    <w:rsid w:val="5E56792A"/>
    <w:rsid w:val="5E587A58"/>
    <w:rsid w:val="5E5A78D5"/>
    <w:rsid w:val="5E5C55A2"/>
    <w:rsid w:val="5E5D506F"/>
    <w:rsid w:val="5E602490"/>
    <w:rsid w:val="5E624433"/>
    <w:rsid w:val="5E6463FD"/>
    <w:rsid w:val="5E6505D1"/>
    <w:rsid w:val="5E652175"/>
    <w:rsid w:val="5E68174B"/>
    <w:rsid w:val="5E6A778C"/>
    <w:rsid w:val="5E6E102A"/>
    <w:rsid w:val="5E701F85"/>
    <w:rsid w:val="5E71005E"/>
    <w:rsid w:val="5E7128C8"/>
    <w:rsid w:val="5E714948"/>
    <w:rsid w:val="5E714AFD"/>
    <w:rsid w:val="5E731656"/>
    <w:rsid w:val="5E734892"/>
    <w:rsid w:val="5E736640"/>
    <w:rsid w:val="5E744166"/>
    <w:rsid w:val="5E7A5C21"/>
    <w:rsid w:val="5E7C30F9"/>
    <w:rsid w:val="5E7D74BF"/>
    <w:rsid w:val="5E7F79B1"/>
    <w:rsid w:val="5E7F7A73"/>
    <w:rsid w:val="5E82799A"/>
    <w:rsid w:val="5E84188B"/>
    <w:rsid w:val="5E852A2B"/>
    <w:rsid w:val="5E875C48"/>
    <w:rsid w:val="5E895E64"/>
    <w:rsid w:val="5E8C0F8B"/>
    <w:rsid w:val="5E8E5228"/>
    <w:rsid w:val="5E8F1717"/>
    <w:rsid w:val="5E9131D5"/>
    <w:rsid w:val="5E9465B6"/>
    <w:rsid w:val="5E966CFA"/>
    <w:rsid w:val="5E9B7945"/>
    <w:rsid w:val="5E9F5687"/>
    <w:rsid w:val="5EA031AD"/>
    <w:rsid w:val="5EA30896"/>
    <w:rsid w:val="5EA52305"/>
    <w:rsid w:val="5EA762EA"/>
    <w:rsid w:val="5EAA35A6"/>
    <w:rsid w:val="5EAA4AD8"/>
    <w:rsid w:val="5EAB402C"/>
    <w:rsid w:val="5EAC56AE"/>
    <w:rsid w:val="5EAD072D"/>
    <w:rsid w:val="5EAF522C"/>
    <w:rsid w:val="5EB35D99"/>
    <w:rsid w:val="5EB36A3D"/>
    <w:rsid w:val="5EB427B5"/>
    <w:rsid w:val="5EB506B9"/>
    <w:rsid w:val="5EB50A07"/>
    <w:rsid w:val="5EB6652D"/>
    <w:rsid w:val="5EB6733A"/>
    <w:rsid w:val="5EB85BAA"/>
    <w:rsid w:val="5EB86749"/>
    <w:rsid w:val="5EBA426F"/>
    <w:rsid w:val="5EBF1885"/>
    <w:rsid w:val="5EBF3633"/>
    <w:rsid w:val="5EBF74DB"/>
    <w:rsid w:val="5EC46E9C"/>
    <w:rsid w:val="5EC7698C"/>
    <w:rsid w:val="5EC93D19"/>
    <w:rsid w:val="5ECB036D"/>
    <w:rsid w:val="5ECE1AC8"/>
    <w:rsid w:val="5ECE230D"/>
    <w:rsid w:val="5ECF39C1"/>
    <w:rsid w:val="5ECF75EF"/>
    <w:rsid w:val="5ED12224"/>
    <w:rsid w:val="5ED15CFA"/>
    <w:rsid w:val="5ED300D4"/>
    <w:rsid w:val="5ED746F7"/>
    <w:rsid w:val="5ED74E21"/>
    <w:rsid w:val="5EDB5F93"/>
    <w:rsid w:val="5EDF7832"/>
    <w:rsid w:val="5EE40F07"/>
    <w:rsid w:val="5EE412EC"/>
    <w:rsid w:val="5EE44AD4"/>
    <w:rsid w:val="5EE44E48"/>
    <w:rsid w:val="5EE46A0E"/>
    <w:rsid w:val="5EE50BC0"/>
    <w:rsid w:val="5EE74938"/>
    <w:rsid w:val="5EEB1EC9"/>
    <w:rsid w:val="5EEC5E21"/>
    <w:rsid w:val="5EF07C91"/>
    <w:rsid w:val="5EF130E3"/>
    <w:rsid w:val="5EF157B7"/>
    <w:rsid w:val="5EF37781"/>
    <w:rsid w:val="5EF534F9"/>
    <w:rsid w:val="5EF7101F"/>
    <w:rsid w:val="5EFA466C"/>
    <w:rsid w:val="5EFD0600"/>
    <w:rsid w:val="5F047298"/>
    <w:rsid w:val="5F053F00"/>
    <w:rsid w:val="5F055A90"/>
    <w:rsid w:val="5F074FDA"/>
    <w:rsid w:val="5F085DA4"/>
    <w:rsid w:val="5F09604F"/>
    <w:rsid w:val="5F096FA4"/>
    <w:rsid w:val="5F0C439F"/>
    <w:rsid w:val="5F0D0843"/>
    <w:rsid w:val="5F0D17A2"/>
    <w:rsid w:val="5F100333"/>
    <w:rsid w:val="5F105C3D"/>
    <w:rsid w:val="5F107B83"/>
    <w:rsid w:val="5F1203BA"/>
    <w:rsid w:val="5F175824"/>
    <w:rsid w:val="5F182D44"/>
    <w:rsid w:val="5F1871E8"/>
    <w:rsid w:val="5F1A6ABC"/>
    <w:rsid w:val="5F1D035A"/>
    <w:rsid w:val="5F1D47FE"/>
    <w:rsid w:val="5F1E426D"/>
    <w:rsid w:val="5F21609C"/>
    <w:rsid w:val="5F227C34"/>
    <w:rsid w:val="5F25206C"/>
    <w:rsid w:val="5F2711D9"/>
    <w:rsid w:val="5F28567D"/>
    <w:rsid w:val="5F2B6F1B"/>
    <w:rsid w:val="5F2F44F2"/>
    <w:rsid w:val="5F310BD2"/>
    <w:rsid w:val="5F312F38"/>
    <w:rsid w:val="5F3757C9"/>
    <w:rsid w:val="5F3758C0"/>
    <w:rsid w:val="5F3A715E"/>
    <w:rsid w:val="5F3C2ED6"/>
    <w:rsid w:val="5F3C4C84"/>
    <w:rsid w:val="5F3D2A47"/>
    <w:rsid w:val="5F3F4090"/>
    <w:rsid w:val="5F3F4774"/>
    <w:rsid w:val="5F431D91"/>
    <w:rsid w:val="5F454594"/>
    <w:rsid w:val="5F45532B"/>
    <w:rsid w:val="5F473E49"/>
    <w:rsid w:val="5F49114F"/>
    <w:rsid w:val="5F4D185F"/>
    <w:rsid w:val="5F4E2C09"/>
    <w:rsid w:val="5F4E6765"/>
    <w:rsid w:val="5F4F0E5B"/>
    <w:rsid w:val="5F5046B7"/>
    <w:rsid w:val="5F507610"/>
    <w:rsid w:val="5F530220"/>
    <w:rsid w:val="5F557AF4"/>
    <w:rsid w:val="5F585F70"/>
    <w:rsid w:val="5F5A2333"/>
    <w:rsid w:val="5F5D2E4C"/>
    <w:rsid w:val="5F5D3F12"/>
    <w:rsid w:val="5F5D3F52"/>
    <w:rsid w:val="5F5E1B31"/>
    <w:rsid w:val="5F6146EB"/>
    <w:rsid w:val="5F630463"/>
    <w:rsid w:val="5F631F0A"/>
    <w:rsid w:val="5F633376"/>
    <w:rsid w:val="5F6749DD"/>
    <w:rsid w:val="5F683CCB"/>
    <w:rsid w:val="5F69359F"/>
    <w:rsid w:val="5F6A335E"/>
    <w:rsid w:val="5F6A4401"/>
    <w:rsid w:val="5F6B725A"/>
    <w:rsid w:val="5F6B7317"/>
    <w:rsid w:val="5F6E316F"/>
    <w:rsid w:val="5F700DD2"/>
    <w:rsid w:val="5F70492E"/>
    <w:rsid w:val="5F712585"/>
    <w:rsid w:val="5F76780E"/>
    <w:rsid w:val="5F772160"/>
    <w:rsid w:val="5F7833CE"/>
    <w:rsid w:val="5F795ED8"/>
    <w:rsid w:val="5F797C86"/>
    <w:rsid w:val="5F7A3CB8"/>
    <w:rsid w:val="5F7F2DC3"/>
    <w:rsid w:val="5F856381"/>
    <w:rsid w:val="5F864151"/>
    <w:rsid w:val="5F887EC9"/>
    <w:rsid w:val="5F8959EF"/>
    <w:rsid w:val="5F8A78B8"/>
    <w:rsid w:val="5F8B1768"/>
    <w:rsid w:val="5F8B3515"/>
    <w:rsid w:val="5F8B5C0B"/>
    <w:rsid w:val="5F8B79B9"/>
    <w:rsid w:val="5F8E3006"/>
    <w:rsid w:val="5F906D7E"/>
    <w:rsid w:val="5F922AF6"/>
    <w:rsid w:val="5F9340F2"/>
    <w:rsid w:val="5F950838"/>
    <w:rsid w:val="5F95178D"/>
    <w:rsid w:val="5F954394"/>
    <w:rsid w:val="5F96141C"/>
    <w:rsid w:val="5F97010C"/>
    <w:rsid w:val="5F97237B"/>
    <w:rsid w:val="5F985B5D"/>
    <w:rsid w:val="5F9A19AB"/>
    <w:rsid w:val="5F9C1566"/>
    <w:rsid w:val="5F9D0AD6"/>
    <w:rsid w:val="5F9F113B"/>
    <w:rsid w:val="5FA15FFE"/>
    <w:rsid w:val="5FA25B22"/>
    <w:rsid w:val="5FA36AB1"/>
    <w:rsid w:val="5FA876EE"/>
    <w:rsid w:val="5FA92918"/>
    <w:rsid w:val="5FA97E40"/>
    <w:rsid w:val="5FAB1E0A"/>
    <w:rsid w:val="5FAD16DE"/>
    <w:rsid w:val="5FAD7930"/>
    <w:rsid w:val="5FAE5456"/>
    <w:rsid w:val="5FAF04E6"/>
    <w:rsid w:val="5FAF36A8"/>
    <w:rsid w:val="5FB011CE"/>
    <w:rsid w:val="5FB213EA"/>
    <w:rsid w:val="5FB32A6C"/>
    <w:rsid w:val="5FB76A00"/>
    <w:rsid w:val="5FB82DF5"/>
    <w:rsid w:val="5FB92779"/>
    <w:rsid w:val="5FBD4636"/>
    <w:rsid w:val="5FBD7995"/>
    <w:rsid w:val="5FBE1B3D"/>
    <w:rsid w:val="5FC15189"/>
    <w:rsid w:val="5FC30F01"/>
    <w:rsid w:val="5FC353A5"/>
    <w:rsid w:val="5FC52ECB"/>
    <w:rsid w:val="5FC86518"/>
    <w:rsid w:val="5FCB425A"/>
    <w:rsid w:val="5FCC63D2"/>
    <w:rsid w:val="5FCD244A"/>
    <w:rsid w:val="5FCD5CFB"/>
    <w:rsid w:val="5FCF559B"/>
    <w:rsid w:val="5FCF64AB"/>
    <w:rsid w:val="5FD01B27"/>
    <w:rsid w:val="5FD04220"/>
    <w:rsid w:val="5FD2383A"/>
    <w:rsid w:val="5FD255E8"/>
    <w:rsid w:val="5FD50C35"/>
    <w:rsid w:val="5FD538A4"/>
    <w:rsid w:val="5FD56E87"/>
    <w:rsid w:val="5FD667B9"/>
    <w:rsid w:val="5FD90725"/>
    <w:rsid w:val="5FDA624B"/>
    <w:rsid w:val="5FDE2001"/>
    <w:rsid w:val="5FDE5D3B"/>
    <w:rsid w:val="5FDF0E6B"/>
    <w:rsid w:val="5FDF3861"/>
    <w:rsid w:val="5FE10EFE"/>
    <w:rsid w:val="5FE5531C"/>
    <w:rsid w:val="5FE66502"/>
    <w:rsid w:val="5FEA2932"/>
    <w:rsid w:val="5FEB2206"/>
    <w:rsid w:val="5FED2422"/>
    <w:rsid w:val="5FEF619A"/>
    <w:rsid w:val="5FF07D96"/>
    <w:rsid w:val="5FF24416"/>
    <w:rsid w:val="5FF27D42"/>
    <w:rsid w:val="5FF42364"/>
    <w:rsid w:val="5FF42C6F"/>
    <w:rsid w:val="5FF732A1"/>
    <w:rsid w:val="5FF7504F"/>
    <w:rsid w:val="5FFB68ED"/>
    <w:rsid w:val="5FFC2665"/>
    <w:rsid w:val="5FFE018B"/>
    <w:rsid w:val="5FFE63DD"/>
    <w:rsid w:val="5FFE7904"/>
    <w:rsid w:val="5FFF5CB2"/>
    <w:rsid w:val="5FFF6A1A"/>
    <w:rsid w:val="5FFF6C2F"/>
    <w:rsid w:val="600052D9"/>
    <w:rsid w:val="60022122"/>
    <w:rsid w:val="60025ECE"/>
    <w:rsid w:val="60043EE8"/>
    <w:rsid w:val="6005776C"/>
    <w:rsid w:val="6006455A"/>
    <w:rsid w:val="60067040"/>
    <w:rsid w:val="60070ABD"/>
    <w:rsid w:val="6008725C"/>
    <w:rsid w:val="600C6545"/>
    <w:rsid w:val="600D4872"/>
    <w:rsid w:val="600D6620"/>
    <w:rsid w:val="600F2399"/>
    <w:rsid w:val="60107EBF"/>
    <w:rsid w:val="60116111"/>
    <w:rsid w:val="60120DE3"/>
    <w:rsid w:val="60121E89"/>
    <w:rsid w:val="6017124D"/>
    <w:rsid w:val="6017749F"/>
    <w:rsid w:val="601856F1"/>
    <w:rsid w:val="601B0ECB"/>
    <w:rsid w:val="601B2AEB"/>
    <w:rsid w:val="601D2D07"/>
    <w:rsid w:val="60220673"/>
    <w:rsid w:val="6025526A"/>
    <w:rsid w:val="60296132"/>
    <w:rsid w:val="602C5EE1"/>
    <w:rsid w:val="602D0A71"/>
    <w:rsid w:val="602D6CC3"/>
    <w:rsid w:val="602F356E"/>
    <w:rsid w:val="602F6597"/>
    <w:rsid w:val="60321E53"/>
    <w:rsid w:val="60341DFF"/>
    <w:rsid w:val="60342E35"/>
    <w:rsid w:val="60363DC9"/>
    <w:rsid w:val="60381B1C"/>
    <w:rsid w:val="603911C4"/>
    <w:rsid w:val="60395667"/>
    <w:rsid w:val="603B13E0"/>
    <w:rsid w:val="603E4A2C"/>
    <w:rsid w:val="6041089C"/>
    <w:rsid w:val="60432042"/>
    <w:rsid w:val="604364E6"/>
    <w:rsid w:val="6045400C"/>
    <w:rsid w:val="60471B32"/>
    <w:rsid w:val="60483AFC"/>
    <w:rsid w:val="604A1623"/>
    <w:rsid w:val="604A3BDE"/>
    <w:rsid w:val="604A517F"/>
    <w:rsid w:val="604C0EF7"/>
    <w:rsid w:val="604C539B"/>
    <w:rsid w:val="604D2EC1"/>
    <w:rsid w:val="604F09E7"/>
    <w:rsid w:val="6051650D"/>
    <w:rsid w:val="60516FF3"/>
    <w:rsid w:val="60550F2F"/>
    <w:rsid w:val="60593614"/>
    <w:rsid w:val="605C4EB2"/>
    <w:rsid w:val="605D0B3D"/>
    <w:rsid w:val="605D1356"/>
    <w:rsid w:val="6061058D"/>
    <w:rsid w:val="60612051"/>
    <w:rsid w:val="60636F96"/>
    <w:rsid w:val="6065020A"/>
    <w:rsid w:val="606B0879"/>
    <w:rsid w:val="606B58CA"/>
    <w:rsid w:val="606C77EB"/>
    <w:rsid w:val="606E519E"/>
    <w:rsid w:val="606F1089"/>
    <w:rsid w:val="606F2E37"/>
    <w:rsid w:val="606F72DB"/>
    <w:rsid w:val="60716BAF"/>
    <w:rsid w:val="60742F4C"/>
    <w:rsid w:val="607448F1"/>
    <w:rsid w:val="607466A0"/>
    <w:rsid w:val="60762418"/>
    <w:rsid w:val="60776754"/>
    <w:rsid w:val="60787F3E"/>
    <w:rsid w:val="60791AEB"/>
    <w:rsid w:val="607E4BAE"/>
    <w:rsid w:val="608508AD"/>
    <w:rsid w:val="60854874"/>
    <w:rsid w:val="60885307"/>
    <w:rsid w:val="608A1A1F"/>
    <w:rsid w:val="608E1741"/>
    <w:rsid w:val="608E59B3"/>
    <w:rsid w:val="608F71EE"/>
    <w:rsid w:val="60910B83"/>
    <w:rsid w:val="60911000"/>
    <w:rsid w:val="60934D78"/>
    <w:rsid w:val="609805E0"/>
    <w:rsid w:val="60985ACB"/>
    <w:rsid w:val="609D1752"/>
    <w:rsid w:val="609E3187"/>
    <w:rsid w:val="60A158F0"/>
    <w:rsid w:val="60A26D69"/>
    <w:rsid w:val="60A54AAB"/>
    <w:rsid w:val="60A73BCF"/>
    <w:rsid w:val="60AA0313"/>
    <w:rsid w:val="60AA0423"/>
    <w:rsid w:val="60AC7BE7"/>
    <w:rsid w:val="60AD570E"/>
    <w:rsid w:val="60AF2399"/>
    <w:rsid w:val="60B116A2"/>
    <w:rsid w:val="60B22A8D"/>
    <w:rsid w:val="60B33F1D"/>
    <w:rsid w:val="60B3541A"/>
    <w:rsid w:val="60B43136"/>
    <w:rsid w:val="60B44333"/>
    <w:rsid w:val="60B62814"/>
    <w:rsid w:val="60B629B4"/>
    <w:rsid w:val="60B80627"/>
    <w:rsid w:val="60B84D11"/>
    <w:rsid w:val="60BA798A"/>
    <w:rsid w:val="60BB42CE"/>
    <w:rsid w:val="60BB607C"/>
    <w:rsid w:val="60BB7E2A"/>
    <w:rsid w:val="60BD0047"/>
    <w:rsid w:val="60BE26CF"/>
    <w:rsid w:val="60C369A4"/>
    <w:rsid w:val="60C44EA2"/>
    <w:rsid w:val="60C465E3"/>
    <w:rsid w:val="60C51A2C"/>
    <w:rsid w:val="60C6403A"/>
    <w:rsid w:val="60C666A3"/>
    <w:rsid w:val="60C70EC5"/>
    <w:rsid w:val="60C90799"/>
    <w:rsid w:val="60C946CD"/>
    <w:rsid w:val="60C969EB"/>
    <w:rsid w:val="60CB38E5"/>
    <w:rsid w:val="60CC028A"/>
    <w:rsid w:val="60CC2038"/>
    <w:rsid w:val="60D07D7A"/>
    <w:rsid w:val="60D13AF2"/>
    <w:rsid w:val="60D158A0"/>
    <w:rsid w:val="60D1764E"/>
    <w:rsid w:val="60D27FCB"/>
    <w:rsid w:val="60D33493"/>
    <w:rsid w:val="60D46992"/>
    <w:rsid w:val="60D809DC"/>
    <w:rsid w:val="60D944E3"/>
    <w:rsid w:val="60DD2497"/>
    <w:rsid w:val="60E032EE"/>
    <w:rsid w:val="60E05AE3"/>
    <w:rsid w:val="60E100FA"/>
    <w:rsid w:val="60E43825"/>
    <w:rsid w:val="60E455D3"/>
    <w:rsid w:val="60E530F9"/>
    <w:rsid w:val="60E76E71"/>
    <w:rsid w:val="60E94998"/>
    <w:rsid w:val="60EB4BB4"/>
    <w:rsid w:val="60EC092C"/>
    <w:rsid w:val="60F02006"/>
    <w:rsid w:val="60F11A9E"/>
    <w:rsid w:val="60F17CF0"/>
    <w:rsid w:val="60F31CBA"/>
    <w:rsid w:val="60F4333C"/>
    <w:rsid w:val="60F670B5"/>
    <w:rsid w:val="60F73C2D"/>
    <w:rsid w:val="60F83D92"/>
    <w:rsid w:val="60F90953"/>
    <w:rsid w:val="60FB291D"/>
    <w:rsid w:val="60FD2E3F"/>
    <w:rsid w:val="60FE3E6C"/>
    <w:rsid w:val="60FE664A"/>
    <w:rsid w:val="61001CE1"/>
    <w:rsid w:val="610139B4"/>
    <w:rsid w:val="61016185"/>
    <w:rsid w:val="61047A23"/>
    <w:rsid w:val="6109503A"/>
    <w:rsid w:val="610C0EF2"/>
    <w:rsid w:val="610E43FE"/>
    <w:rsid w:val="610F0176"/>
    <w:rsid w:val="610F75D9"/>
    <w:rsid w:val="610F79DB"/>
    <w:rsid w:val="61135EB8"/>
    <w:rsid w:val="61142815"/>
    <w:rsid w:val="61144FBE"/>
    <w:rsid w:val="61147259"/>
    <w:rsid w:val="61181721"/>
    <w:rsid w:val="611A0FF5"/>
    <w:rsid w:val="611B3299"/>
    <w:rsid w:val="611B6B1B"/>
    <w:rsid w:val="611D1A4C"/>
    <w:rsid w:val="611D1AAB"/>
    <w:rsid w:val="611F2AAF"/>
    <w:rsid w:val="612105D5"/>
    <w:rsid w:val="61212899"/>
    <w:rsid w:val="612229C7"/>
    <w:rsid w:val="612400C6"/>
    <w:rsid w:val="61265BEC"/>
    <w:rsid w:val="6126799A"/>
    <w:rsid w:val="61273927"/>
    <w:rsid w:val="612754C0"/>
    <w:rsid w:val="61291238"/>
    <w:rsid w:val="612D33D0"/>
    <w:rsid w:val="612F2105"/>
    <w:rsid w:val="613227E3"/>
    <w:rsid w:val="61332B14"/>
    <w:rsid w:val="61356498"/>
    <w:rsid w:val="613626DF"/>
    <w:rsid w:val="6138092A"/>
    <w:rsid w:val="61381225"/>
    <w:rsid w:val="6138147B"/>
    <w:rsid w:val="613839F8"/>
    <w:rsid w:val="6138591F"/>
    <w:rsid w:val="61385EC9"/>
    <w:rsid w:val="613A51F3"/>
    <w:rsid w:val="613B39A0"/>
    <w:rsid w:val="613B4CA0"/>
    <w:rsid w:val="613C1835"/>
    <w:rsid w:val="613F7A59"/>
    <w:rsid w:val="614147D4"/>
    <w:rsid w:val="614232C3"/>
    <w:rsid w:val="614437F2"/>
    <w:rsid w:val="61497B2C"/>
    <w:rsid w:val="614A3BE6"/>
    <w:rsid w:val="614B38A4"/>
    <w:rsid w:val="6151078F"/>
    <w:rsid w:val="615201A2"/>
    <w:rsid w:val="61534507"/>
    <w:rsid w:val="61534FE8"/>
    <w:rsid w:val="615434A5"/>
    <w:rsid w:val="6155027F"/>
    <w:rsid w:val="61554890"/>
    <w:rsid w:val="61590315"/>
    <w:rsid w:val="615A3AE7"/>
    <w:rsid w:val="615F4C5A"/>
    <w:rsid w:val="61605860"/>
    <w:rsid w:val="616404C2"/>
    <w:rsid w:val="6165658B"/>
    <w:rsid w:val="616B35FF"/>
    <w:rsid w:val="616B7B35"/>
    <w:rsid w:val="616E30EF"/>
    <w:rsid w:val="61706E67"/>
    <w:rsid w:val="61722BDF"/>
    <w:rsid w:val="61733CD6"/>
    <w:rsid w:val="61734BA9"/>
    <w:rsid w:val="617526CF"/>
    <w:rsid w:val="617701F5"/>
    <w:rsid w:val="61772ACA"/>
    <w:rsid w:val="617821BF"/>
    <w:rsid w:val="61785574"/>
    <w:rsid w:val="61797B48"/>
    <w:rsid w:val="617A0FD8"/>
    <w:rsid w:val="617A1A94"/>
    <w:rsid w:val="617C3A5E"/>
    <w:rsid w:val="617C580C"/>
    <w:rsid w:val="617D3332"/>
    <w:rsid w:val="618172C6"/>
    <w:rsid w:val="6182233B"/>
    <w:rsid w:val="6184208A"/>
    <w:rsid w:val="618446C0"/>
    <w:rsid w:val="618648DC"/>
    <w:rsid w:val="6186668A"/>
    <w:rsid w:val="61867AEA"/>
    <w:rsid w:val="61882403"/>
    <w:rsid w:val="618B5A4F"/>
    <w:rsid w:val="618D7A19"/>
    <w:rsid w:val="61903065"/>
    <w:rsid w:val="61930DA7"/>
    <w:rsid w:val="619863BE"/>
    <w:rsid w:val="619A2136"/>
    <w:rsid w:val="619A3EE4"/>
    <w:rsid w:val="619A6C69"/>
    <w:rsid w:val="619C1A0A"/>
    <w:rsid w:val="619E03D3"/>
    <w:rsid w:val="619E1C26"/>
    <w:rsid w:val="619F14FA"/>
    <w:rsid w:val="619F774C"/>
    <w:rsid w:val="61A13872"/>
    <w:rsid w:val="61A22D98"/>
    <w:rsid w:val="61A30FEA"/>
    <w:rsid w:val="61A44D62"/>
    <w:rsid w:val="61A60ADB"/>
    <w:rsid w:val="61A73CF3"/>
    <w:rsid w:val="61A82AA5"/>
    <w:rsid w:val="61A905CB"/>
    <w:rsid w:val="61A92379"/>
    <w:rsid w:val="61A927B6"/>
    <w:rsid w:val="61AB60F1"/>
    <w:rsid w:val="61AB7E9F"/>
    <w:rsid w:val="61AD00BB"/>
    <w:rsid w:val="61AD3C17"/>
    <w:rsid w:val="61B52BB6"/>
    <w:rsid w:val="61B56F70"/>
    <w:rsid w:val="61B825BC"/>
    <w:rsid w:val="61B830A5"/>
    <w:rsid w:val="61BA6D58"/>
    <w:rsid w:val="61BD0199"/>
    <w:rsid w:val="61BE303B"/>
    <w:rsid w:val="61BE6EF5"/>
    <w:rsid w:val="61BF394A"/>
    <w:rsid w:val="61C40F61"/>
    <w:rsid w:val="61C61346"/>
    <w:rsid w:val="61C86CA3"/>
    <w:rsid w:val="61C947C9"/>
    <w:rsid w:val="61CB0541"/>
    <w:rsid w:val="61CB26C4"/>
    <w:rsid w:val="61CD250B"/>
    <w:rsid w:val="61CE48E1"/>
    <w:rsid w:val="61D01D8D"/>
    <w:rsid w:val="61D23CC7"/>
    <w:rsid w:val="61D30A56"/>
    <w:rsid w:val="61D35B82"/>
    <w:rsid w:val="61D45648"/>
    <w:rsid w:val="61D902B3"/>
    <w:rsid w:val="61E11B13"/>
    <w:rsid w:val="61E26891"/>
    <w:rsid w:val="61E33ADD"/>
    <w:rsid w:val="61E45B3F"/>
    <w:rsid w:val="61EC4DC7"/>
    <w:rsid w:val="61EF2482"/>
    <w:rsid w:val="61EF4230"/>
    <w:rsid w:val="61F01D56"/>
    <w:rsid w:val="61F109D0"/>
    <w:rsid w:val="61F55C5F"/>
    <w:rsid w:val="61F71336"/>
    <w:rsid w:val="61F730E4"/>
    <w:rsid w:val="61F93300"/>
    <w:rsid w:val="61F950AE"/>
    <w:rsid w:val="61FA2BD4"/>
    <w:rsid w:val="61FA4982"/>
    <w:rsid w:val="61FE4473"/>
    <w:rsid w:val="61FE6B56"/>
    <w:rsid w:val="62013F63"/>
    <w:rsid w:val="620174BF"/>
    <w:rsid w:val="62045801"/>
    <w:rsid w:val="620810C2"/>
    <w:rsid w:val="620852F1"/>
    <w:rsid w:val="62091DBD"/>
    <w:rsid w:val="62092E18"/>
    <w:rsid w:val="620C3034"/>
    <w:rsid w:val="620D2908"/>
    <w:rsid w:val="620D46B6"/>
    <w:rsid w:val="620F6680"/>
    <w:rsid w:val="621243C2"/>
    <w:rsid w:val="62145A44"/>
    <w:rsid w:val="62161995"/>
    <w:rsid w:val="62162102"/>
    <w:rsid w:val="62175534"/>
    <w:rsid w:val="62181AF6"/>
    <w:rsid w:val="62195750"/>
    <w:rsid w:val="62195FFF"/>
    <w:rsid w:val="621974FF"/>
    <w:rsid w:val="621A7FC0"/>
    <w:rsid w:val="621B3277"/>
    <w:rsid w:val="621E2CF8"/>
    <w:rsid w:val="621E68C3"/>
    <w:rsid w:val="6220088D"/>
    <w:rsid w:val="62215569"/>
    <w:rsid w:val="62237826"/>
    <w:rsid w:val="622540F5"/>
    <w:rsid w:val="62265778"/>
    <w:rsid w:val="62285994"/>
    <w:rsid w:val="62294961"/>
    <w:rsid w:val="622951E7"/>
    <w:rsid w:val="622A5268"/>
    <w:rsid w:val="622B7C1F"/>
    <w:rsid w:val="622C222F"/>
    <w:rsid w:val="622D7E34"/>
    <w:rsid w:val="622E53F6"/>
    <w:rsid w:val="622F579C"/>
    <w:rsid w:val="623117B5"/>
    <w:rsid w:val="62361E5F"/>
    <w:rsid w:val="62363A87"/>
    <w:rsid w:val="62375BD7"/>
    <w:rsid w:val="623936FD"/>
    <w:rsid w:val="623954AB"/>
    <w:rsid w:val="623C3ABD"/>
    <w:rsid w:val="62407622"/>
    <w:rsid w:val="62420210"/>
    <w:rsid w:val="62426A55"/>
    <w:rsid w:val="624441C1"/>
    <w:rsid w:val="62456545"/>
    <w:rsid w:val="62460674"/>
    <w:rsid w:val="62475BA8"/>
    <w:rsid w:val="624A590A"/>
    <w:rsid w:val="624C05D4"/>
    <w:rsid w:val="624C78D4"/>
    <w:rsid w:val="624D71A8"/>
    <w:rsid w:val="62522A10"/>
    <w:rsid w:val="625369E0"/>
    <w:rsid w:val="62593D9F"/>
    <w:rsid w:val="62595B4D"/>
    <w:rsid w:val="625978FB"/>
    <w:rsid w:val="625B7B17"/>
    <w:rsid w:val="625E7607"/>
    <w:rsid w:val="6260512D"/>
    <w:rsid w:val="62606EDB"/>
    <w:rsid w:val="62610D92"/>
    <w:rsid w:val="62614A02"/>
    <w:rsid w:val="6263077A"/>
    <w:rsid w:val="62634C1E"/>
    <w:rsid w:val="62645D4F"/>
    <w:rsid w:val="62650996"/>
    <w:rsid w:val="62683FE2"/>
    <w:rsid w:val="626A28D6"/>
    <w:rsid w:val="626C3AD2"/>
    <w:rsid w:val="626D33A6"/>
    <w:rsid w:val="62744735"/>
    <w:rsid w:val="627609DC"/>
    <w:rsid w:val="62764951"/>
    <w:rsid w:val="627806C9"/>
    <w:rsid w:val="627A6223"/>
    <w:rsid w:val="627D5CDF"/>
    <w:rsid w:val="6280757E"/>
    <w:rsid w:val="6283706E"/>
    <w:rsid w:val="628506F0"/>
    <w:rsid w:val="62854B94"/>
    <w:rsid w:val="62894684"/>
    <w:rsid w:val="628F156F"/>
    <w:rsid w:val="628F45B3"/>
    <w:rsid w:val="628F5A13"/>
    <w:rsid w:val="628F77C1"/>
    <w:rsid w:val="62922E0D"/>
    <w:rsid w:val="6293052C"/>
    <w:rsid w:val="6294085A"/>
    <w:rsid w:val="629B3094"/>
    <w:rsid w:val="629B40CC"/>
    <w:rsid w:val="629B7E29"/>
    <w:rsid w:val="629C1EA0"/>
    <w:rsid w:val="629C4C96"/>
    <w:rsid w:val="629D7E7C"/>
    <w:rsid w:val="629E45F3"/>
    <w:rsid w:val="62A50D92"/>
    <w:rsid w:val="62A70E07"/>
    <w:rsid w:val="62AC3ECF"/>
    <w:rsid w:val="62AE0E71"/>
    <w:rsid w:val="62B114E5"/>
    <w:rsid w:val="62B17737"/>
    <w:rsid w:val="62B22353"/>
    <w:rsid w:val="62B31767"/>
    <w:rsid w:val="62B47227"/>
    <w:rsid w:val="62BA2E87"/>
    <w:rsid w:val="62BB2364"/>
    <w:rsid w:val="62BB487B"/>
    <w:rsid w:val="62BC7281"/>
    <w:rsid w:val="62BD60DC"/>
    <w:rsid w:val="62BE79F6"/>
    <w:rsid w:val="62BF00A6"/>
    <w:rsid w:val="62C1708F"/>
    <w:rsid w:val="62C17277"/>
    <w:rsid w:val="62C21944"/>
    <w:rsid w:val="62C31218"/>
    <w:rsid w:val="62C45737"/>
    <w:rsid w:val="62C5460D"/>
    <w:rsid w:val="62C76F5B"/>
    <w:rsid w:val="62CD2097"/>
    <w:rsid w:val="62CD7ABA"/>
    <w:rsid w:val="62CE1078"/>
    <w:rsid w:val="62D147A2"/>
    <w:rsid w:val="62D17DD9"/>
    <w:rsid w:val="62D376AD"/>
    <w:rsid w:val="62DA698E"/>
    <w:rsid w:val="62DB2A06"/>
    <w:rsid w:val="62DC103F"/>
    <w:rsid w:val="62DE0B21"/>
    <w:rsid w:val="62E0001C"/>
    <w:rsid w:val="62E06F7C"/>
    <w:rsid w:val="62E16C89"/>
    <w:rsid w:val="62E25E39"/>
    <w:rsid w:val="62E418BB"/>
    <w:rsid w:val="62E47B0C"/>
    <w:rsid w:val="62E573E1"/>
    <w:rsid w:val="62E879FE"/>
    <w:rsid w:val="62E93375"/>
    <w:rsid w:val="62E938D7"/>
    <w:rsid w:val="62E93960"/>
    <w:rsid w:val="62E95123"/>
    <w:rsid w:val="62E96541"/>
    <w:rsid w:val="62ED3774"/>
    <w:rsid w:val="62F04EC6"/>
    <w:rsid w:val="62F37D50"/>
    <w:rsid w:val="62F51D1A"/>
    <w:rsid w:val="62F53AC8"/>
    <w:rsid w:val="62F6033A"/>
    <w:rsid w:val="62F615EE"/>
    <w:rsid w:val="62F87114"/>
    <w:rsid w:val="62F95FBA"/>
    <w:rsid w:val="62FD297C"/>
    <w:rsid w:val="62FD472A"/>
    <w:rsid w:val="62FF2E4A"/>
    <w:rsid w:val="630006BE"/>
    <w:rsid w:val="63027F93"/>
    <w:rsid w:val="63030933"/>
    <w:rsid w:val="6304451C"/>
    <w:rsid w:val="63057A83"/>
    <w:rsid w:val="63081B56"/>
    <w:rsid w:val="630B7E2C"/>
    <w:rsid w:val="630C2BBF"/>
    <w:rsid w:val="630C7063"/>
    <w:rsid w:val="630C7132"/>
    <w:rsid w:val="63114EA6"/>
    <w:rsid w:val="63116347"/>
    <w:rsid w:val="631303F2"/>
    <w:rsid w:val="63144FD1"/>
    <w:rsid w:val="63161C90"/>
    <w:rsid w:val="631657EC"/>
    <w:rsid w:val="631712FB"/>
    <w:rsid w:val="631A1780"/>
    <w:rsid w:val="631A52DC"/>
    <w:rsid w:val="631B3DC6"/>
    <w:rsid w:val="631F0B45"/>
    <w:rsid w:val="63220635"/>
    <w:rsid w:val="63230B6A"/>
    <w:rsid w:val="63251390"/>
    <w:rsid w:val="632717A7"/>
    <w:rsid w:val="632B4423"/>
    <w:rsid w:val="632C2DB9"/>
    <w:rsid w:val="632C3D6D"/>
    <w:rsid w:val="63332842"/>
    <w:rsid w:val="63352116"/>
    <w:rsid w:val="633B4FDF"/>
    <w:rsid w:val="633C5D2B"/>
    <w:rsid w:val="633D0FCB"/>
    <w:rsid w:val="633F0B20"/>
    <w:rsid w:val="63402869"/>
    <w:rsid w:val="63462575"/>
    <w:rsid w:val="63463A84"/>
    <w:rsid w:val="63464323"/>
    <w:rsid w:val="6347009B"/>
    <w:rsid w:val="63493E13"/>
    <w:rsid w:val="634E142A"/>
    <w:rsid w:val="63510466"/>
    <w:rsid w:val="63511F1B"/>
    <w:rsid w:val="63514A76"/>
    <w:rsid w:val="63554566"/>
    <w:rsid w:val="63556314"/>
    <w:rsid w:val="635D166D"/>
    <w:rsid w:val="635E4522"/>
    <w:rsid w:val="63633AA7"/>
    <w:rsid w:val="63636F83"/>
    <w:rsid w:val="6365658B"/>
    <w:rsid w:val="63676048"/>
    <w:rsid w:val="63681C59"/>
    <w:rsid w:val="63696264"/>
    <w:rsid w:val="636B5B38"/>
    <w:rsid w:val="636B6EB2"/>
    <w:rsid w:val="636C407B"/>
    <w:rsid w:val="636E0BBA"/>
    <w:rsid w:val="636E5628"/>
    <w:rsid w:val="636E73D6"/>
    <w:rsid w:val="63705CFB"/>
    <w:rsid w:val="63715118"/>
    <w:rsid w:val="63732C3E"/>
    <w:rsid w:val="63750765"/>
    <w:rsid w:val="637569B7"/>
    <w:rsid w:val="63777544"/>
    <w:rsid w:val="63780255"/>
    <w:rsid w:val="637A5D7B"/>
    <w:rsid w:val="637B1AF3"/>
    <w:rsid w:val="637C24D9"/>
    <w:rsid w:val="63813CC5"/>
    <w:rsid w:val="63814E23"/>
    <w:rsid w:val="6381535B"/>
    <w:rsid w:val="638210D3"/>
    <w:rsid w:val="63822E81"/>
    <w:rsid w:val="638A0392"/>
    <w:rsid w:val="638B61DA"/>
    <w:rsid w:val="638D6ECA"/>
    <w:rsid w:val="638E1826"/>
    <w:rsid w:val="63901A42"/>
    <w:rsid w:val="63915694"/>
    <w:rsid w:val="63927568"/>
    <w:rsid w:val="639332E1"/>
    <w:rsid w:val="6393508F"/>
    <w:rsid w:val="63942591"/>
    <w:rsid w:val="639554A5"/>
    <w:rsid w:val="639808F7"/>
    <w:rsid w:val="639826A5"/>
    <w:rsid w:val="639A466F"/>
    <w:rsid w:val="639A641D"/>
    <w:rsid w:val="639C0C65"/>
    <w:rsid w:val="639D5F0D"/>
    <w:rsid w:val="639E455C"/>
    <w:rsid w:val="63A252D2"/>
    <w:rsid w:val="63A262C7"/>
    <w:rsid w:val="63A26B33"/>
    <w:rsid w:val="63A4104A"/>
    <w:rsid w:val="63A728E8"/>
    <w:rsid w:val="63A850AF"/>
    <w:rsid w:val="63AB4186"/>
    <w:rsid w:val="63AB687C"/>
    <w:rsid w:val="63AF7624"/>
    <w:rsid w:val="63B0096C"/>
    <w:rsid w:val="63B079EF"/>
    <w:rsid w:val="63B53257"/>
    <w:rsid w:val="63B55005"/>
    <w:rsid w:val="63B70E50"/>
    <w:rsid w:val="63B75221"/>
    <w:rsid w:val="63B81CCF"/>
    <w:rsid w:val="63BA6ABF"/>
    <w:rsid w:val="63BC7BCA"/>
    <w:rsid w:val="63BD3EBA"/>
    <w:rsid w:val="63C01013"/>
    <w:rsid w:val="63C139AA"/>
    <w:rsid w:val="63C27722"/>
    <w:rsid w:val="63C74D38"/>
    <w:rsid w:val="63C811DC"/>
    <w:rsid w:val="63CB4828"/>
    <w:rsid w:val="63CC234F"/>
    <w:rsid w:val="63D00091"/>
    <w:rsid w:val="63D062E3"/>
    <w:rsid w:val="63D6234D"/>
    <w:rsid w:val="63DA0F0F"/>
    <w:rsid w:val="63E31B72"/>
    <w:rsid w:val="63E47698"/>
    <w:rsid w:val="63EB0A27"/>
    <w:rsid w:val="63ED75C0"/>
    <w:rsid w:val="63EE0517"/>
    <w:rsid w:val="63EE6769"/>
    <w:rsid w:val="63EF52B5"/>
    <w:rsid w:val="63F024E1"/>
    <w:rsid w:val="63F0603D"/>
    <w:rsid w:val="63F84591"/>
    <w:rsid w:val="63FA510E"/>
    <w:rsid w:val="63FB55BB"/>
    <w:rsid w:val="63FC1622"/>
    <w:rsid w:val="63FC2C34"/>
    <w:rsid w:val="63FC6E29"/>
    <w:rsid w:val="63FE4F17"/>
    <w:rsid w:val="63FE69AC"/>
    <w:rsid w:val="6401024A"/>
    <w:rsid w:val="64025D70"/>
    <w:rsid w:val="64040B40"/>
    <w:rsid w:val="64041AE8"/>
    <w:rsid w:val="64044275"/>
    <w:rsid w:val="64061D04"/>
    <w:rsid w:val="64074DBD"/>
    <w:rsid w:val="64075CC4"/>
    <w:rsid w:val="64095351"/>
    <w:rsid w:val="640B2E77"/>
    <w:rsid w:val="640B3837"/>
    <w:rsid w:val="640D4E41"/>
    <w:rsid w:val="640D6BEF"/>
    <w:rsid w:val="6410048D"/>
    <w:rsid w:val="64104931"/>
    <w:rsid w:val="64127D09"/>
    <w:rsid w:val="6416019A"/>
    <w:rsid w:val="6418785F"/>
    <w:rsid w:val="64191A38"/>
    <w:rsid w:val="641937E6"/>
    <w:rsid w:val="641B57B0"/>
    <w:rsid w:val="641C5084"/>
    <w:rsid w:val="641D7C93"/>
    <w:rsid w:val="641E0DFC"/>
    <w:rsid w:val="6420374D"/>
    <w:rsid w:val="6421269A"/>
    <w:rsid w:val="64215D7C"/>
    <w:rsid w:val="64223BEF"/>
    <w:rsid w:val="642301C1"/>
    <w:rsid w:val="64234664"/>
    <w:rsid w:val="64243F39"/>
    <w:rsid w:val="6425689C"/>
    <w:rsid w:val="642A59F3"/>
    <w:rsid w:val="642B176B"/>
    <w:rsid w:val="642D04CF"/>
    <w:rsid w:val="642D6052"/>
    <w:rsid w:val="642F3009"/>
    <w:rsid w:val="64306D81"/>
    <w:rsid w:val="643248A8"/>
    <w:rsid w:val="64340620"/>
    <w:rsid w:val="64346872"/>
    <w:rsid w:val="64362A83"/>
    <w:rsid w:val="64371EBE"/>
    <w:rsid w:val="6438384B"/>
    <w:rsid w:val="643A375C"/>
    <w:rsid w:val="643C1282"/>
    <w:rsid w:val="643C74D4"/>
    <w:rsid w:val="643E4FFA"/>
    <w:rsid w:val="64400212"/>
    <w:rsid w:val="64427E7D"/>
    <w:rsid w:val="64430863"/>
    <w:rsid w:val="6443445A"/>
    <w:rsid w:val="64446389"/>
    <w:rsid w:val="644545DB"/>
    <w:rsid w:val="64462101"/>
    <w:rsid w:val="64485E79"/>
    <w:rsid w:val="644A7E43"/>
    <w:rsid w:val="644F01F6"/>
    <w:rsid w:val="644F13EC"/>
    <w:rsid w:val="64504D2E"/>
    <w:rsid w:val="64550596"/>
    <w:rsid w:val="64572560"/>
    <w:rsid w:val="64590086"/>
    <w:rsid w:val="645B2050"/>
    <w:rsid w:val="645E744B"/>
    <w:rsid w:val="64607667"/>
    <w:rsid w:val="6461518D"/>
    <w:rsid w:val="646156B6"/>
    <w:rsid w:val="64664551"/>
    <w:rsid w:val="64674E53"/>
    <w:rsid w:val="646A5DEF"/>
    <w:rsid w:val="646B101A"/>
    <w:rsid w:val="646D1D84"/>
    <w:rsid w:val="6470078E"/>
    <w:rsid w:val="6470717E"/>
    <w:rsid w:val="64714F34"/>
    <w:rsid w:val="6473773C"/>
    <w:rsid w:val="64790728"/>
    <w:rsid w:val="647A1DAB"/>
    <w:rsid w:val="647C3D75"/>
    <w:rsid w:val="647E189B"/>
    <w:rsid w:val="647E5D3F"/>
    <w:rsid w:val="647F17BD"/>
    <w:rsid w:val="6480119E"/>
    <w:rsid w:val="6481138B"/>
    <w:rsid w:val="64813139"/>
    <w:rsid w:val="64814F72"/>
    <w:rsid w:val="648246FC"/>
    <w:rsid w:val="648275DD"/>
    <w:rsid w:val="6486074F"/>
    <w:rsid w:val="64874BF3"/>
    <w:rsid w:val="6488096B"/>
    <w:rsid w:val="64891C28"/>
    <w:rsid w:val="648C220A"/>
    <w:rsid w:val="648D1ADE"/>
    <w:rsid w:val="649015CE"/>
    <w:rsid w:val="64925346"/>
    <w:rsid w:val="64947318"/>
    <w:rsid w:val="649477D9"/>
    <w:rsid w:val="64966BE4"/>
    <w:rsid w:val="64971FCF"/>
    <w:rsid w:val="64986E00"/>
    <w:rsid w:val="64990483"/>
    <w:rsid w:val="649A686C"/>
    <w:rsid w:val="649B069F"/>
    <w:rsid w:val="649B4725"/>
    <w:rsid w:val="649B69EC"/>
    <w:rsid w:val="64A137DB"/>
    <w:rsid w:val="64A21A2D"/>
    <w:rsid w:val="64A2464C"/>
    <w:rsid w:val="64A532CB"/>
    <w:rsid w:val="64A70DF2"/>
    <w:rsid w:val="64A77044"/>
    <w:rsid w:val="64A82DBC"/>
    <w:rsid w:val="64A84B6A"/>
    <w:rsid w:val="64AD03D2"/>
    <w:rsid w:val="64B13A1E"/>
    <w:rsid w:val="64B40B67"/>
    <w:rsid w:val="64B452BD"/>
    <w:rsid w:val="64B67287"/>
    <w:rsid w:val="64BD0615"/>
    <w:rsid w:val="64BD718B"/>
    <w:rsid w:val="64BE5B12"/>
    <w:rsid w:val="64C01EB3"/>
    <w:rsid w:val="64C25130"/>
    <w:rsid w:val="64C319A4"/>
    <w:rsid w:val="64C34CCA"/>
    <w:rsid w:val="64C51278"/>
    <w:rsid w:val="64C5571C"/>
    <w:rsid w:val="64C64FF0"/>
    <w:rsid w:val="64CA0F84"/>
    <w:rsid w:val="64CA2D32"/>
    <w:rsid w:val="64CB5049"/>
    <w:rsid w:val="64CD21AB"/>
    <w:rsid w:val="64CF20F6"/>
    <w:rsid w:val="64D27AC2"/>
    <w:rsid w:val="64D37E39"/>
    <w:rsid w:val="64D43BB1"/>
    <w:rsid w:val="64D4770D"/>
    <w:rsid w:val="64D8544F"/>
    <w:rsid w:val="64DB6CED"/>
    <w:rsid w:val="64DB76E4"/>
    <w:rsid w:val="64DC6A0C"/>
    <w:rsid w:val="64DD0CB7"/>
    <w:rsid w:val="64DD2A65"/>
    <w:rsid w:val="64E060B2"/>
    <w:rsid w:val="64E118E4"/>
    <w:rsid w:val="64E169E0"/>
    <w:rsid w:val="64E2007C"/>
    <w:rsid w:val="64E33DF4"/>
    <w:rsid w:val="64E536C8"/>
    <w:rsid w:val="64E738E4"/>
    <w:rsid w:val="64EC4A56"/>
    <w:rsid w:val="64ED07CF"/>
    <w:rsid w:val="64F14763"/>
    <w:rsid w:val="64F16511"/>
    <w:rsid w:val="64F27748"/>
    <w:rsid w:val="64F8164D"/>
    <w:rsid w:val="64FB533F"/>
    <w:rsid w:val="64FD1850"/>
    <w:rsid w:val="65000502"/>
    <w:rsid w:val="650049A6"/>
    <w:rsid w:val="650224CC"/>
    <w:rsid w:val="65044496"/>
    <w:rsid w:val="650517C9"/>
    <w:rsid w:val="65077E41"/>
    <w:rsid w:val="650A1380"/>
    <w:rsid w:val="650A1649"/>
    <w:rsid w:val="650C50F9"/>
    <w:rsid w:val="650C6EA7"/>
    <w:rsid w:val="65152445"/>
    <w:rsid w:val="65164D65"/>
    <w:rsid w:val="6516797A"/>
    <w:rsid w:val="65180E1A"/>
    <w:rsid w:val="651B5CD1"/>
    <w:rsid w:val="651C57D7"/>
    <w:rsid w:val="651D10B4"/>
    <w:rsid w:val="651E4E2C"/>
    <w:rsid w:val="651E6BDA"/>
    <w:rsid w:val="65202952"/>
    <w:rsid w:val="652137D3"/>
    <w:rsid w:val="65217654"/>
    <w:rsid w:val="65235ED9"/>
    <w:rsid w:val="6525440C"/>
    <w:rsid w:val="652561BA"/>
    <w:rsid w:val="65273CE0"/>
    <w:rsid w:val="6529060A"/>
    <w:rsid w:val="652977EB"/>
    <w:rsid w:val="652A1A23"/>
    <w:rsid w:val="652A5F56"/>
    <w:rsid w:val="652C7549"/>
    <w:rsid w:val="65312DB1"/>
    <w:rsid w:val="65337FE8"/>
    <w:rsid w:val="653502EE"/>
    <w:rsid w:val="65352EBF"/>
    <w:rsid w:val="65362175"/>
    <w:rsid w:val="65366619"/>
    <w:rsid w:val="6537195E"/>
    <w:rsid w:val="653B59DE"/>
    <w:rsid w:val="653B778C"/>
    <w:rsid w:val="653D1756"/>
    <w:rsid w:val="653D52B2"/>
    <w:rsid w:val="65420B1A"/>
    <w:rsid w:val="65447821"/>
    <w:rsid w:val="654523B9"/>
    <w:rsid w:val="654752D4"/>
    <w:rsid w:val="654900FB"/>
    <w:rsid w:val="65493C57"/>
    <w:rsid w:val="654C3747"/>
    <w:rsid w:val="654E25D6"/>
    <w:rsid w:val="654F0FE3"/>
    <w:rsid w:val="65511181"/>
    <w:rsid w:val="655317A9"/>
    <w:rsid w:val="65545E79"/>
    <w:rsid w:val="65576017"/>
    <w:rsid w:val="65576B3F"/>
    <w:rsid w:val="6558272A"/>
    <w:rsid w:val="655976E9"/>
    <w:rsid w:val="655B398A"/>
    <w:rsid w:val="655B43CA"/>
    <w:rsid w:val="655F03DC"/>
    <w:rsid w:val="65646CE3"/>
    <w:rsid w:val="656A35BA"/>
    <w:rsid w:val="656C203B"/>
    <w:rsid w:val="656E327E"/>
    <w:rsid w:val="657468C8"/>
    <w:rsid w:val="65750EF0"/>
    <w:rsid w:val="65796CD3"/>
    <w:rsid w:val="657B402C"/>
    <w:rsid w:val="657C2A83"/>
    <w:rsid w:val="657D13E8"/>
    <w:rsid w:val="65801643"/>
    <w:rsid w:val="65802894"/>
    <w:rsid w:val="65856C59"/>
    <w:rsid w:val="65864EAB"/>
    <w:rsid w:val="65870C23"/>
    <w:rsid w:val="658824B6"/>
    <w:rsid w:val="658C6239"/>
    <w:rsid w:val="658E3D60"/>
    <w:rsid w:val="658F0577"/>
    <w:rsid w:val="658F0EF9"/>
    <w:rsid w:val="65901886"/>
    <w:rsid w:val="65930D0A"/>
    <w:rsid w:val="65962C14"/>
    <w:rsid w:val="659A2704"/>
    <w:rsid w:val="659D0447"/>
    <w:rsid w:val="659D08F4"/>
    <w:rsid w:val="659D7A0A"/>
    <w:rsid w:val="659F0431"/>
    <w:rsid w:val="659F5F6D"/>
    <w:rsid w:val="65A13A93"/>
    <w:rsid w:val="65A215B9"/>
    <w:rsid w:val="65A2766C"/>
    <w:rsid w:val="65A610A9"/>
    <w:rsid w:val="65A6554D"/>
    <w:rsid w:val="65A67161"/>
    <w:rsid w:val="65A672FB"/>
    <w:rsid w:val="65A70610"/>
    <w:rsid w:val="65A74E21"/>
    <w:rsid w:val="65A81AA0"/>
    <w:rsid w:val="65A92947"/>
    <w:rsid w:val="65B0017A"/>
    <w:rsid w:val="65B058D7"/>
    <w:rsid w:val="65B17A4E"/>
    <w:rsid w:val="65B418F2"/>
    <w:rsid w:val="65B71508"/>
    <w:rsid w:val="65B732B6"/>
    <w:rsid w:val="65BA2DA7"/>
    <w:rsid w:val="65BB267B"/>
    <w:rsid w:val="65C13289"/>
    <w:rsid w:val="65C4108F"/>
    <w:rsid w:val="65C54233"/>
    <w:rsid w:val="65C6174B"/>
    <w:rsid w:val="65C94D98"/>
    <w:rsid w:val="65CD2ADA"/>
    <w:rsid w:val="65CE6852"/>
    <w:rsid w:val="65CF638C"/>
    <w:rsid w:val="65D26342"/>
    <w:rsid w:val="65D335CC"/>
    <w:rsid w:val="65D41643"/>
    <w:rsid w:val="65D56B0E"/>
    <w:rsid w:val="65D56E97"/>
    <w:rsid w:val="65D60872"/>
    <w:rsid w:val="65D774B5"/>
    <w:rsid w:val="65D8147F"/>
    <w:rsid w:val="65D97655"/>
    <w:rsid w:val="65DC5FE6"/>
    <w:rsid w:val="65E10333"/>
    <w:rsid w:val="65E124EA"/>
    <w:rsid w:val="65E25E59"/>
    <w:rsid w:val="65E46075"/>
    <w:rsid w:val="65E73470"/>
    <w:rsid w:val="65E76F1F"/>
    <w:rsid w:val="65E816C2"/>
    <w:rsid w:val="65E9543A"/>
    <w:rsid w:val="65EA73D7"/>
    <w:rsid w:val="65F31E15"/>
    <w:rsid w:val="65F75598"/>
    <w:rsid w:val="65F91B21"/>
    <w:rsid w:val="65FA31A3"/>
    <w:rsid w:val="65FA7C54"/>
    <w:rsid w:val="65FD2050"/>
    <w:rsid w:val="66016BDA"/>
    <w:rsid w:val="66033743"/>
    <w:rsid w:val="66063E47"/>
    <w:rsid w:val="660758C0"/>
    <w:rsid w:val="6608394C"/>
    <w:rsid w:val="660A6E29"/>
    <w:rsid w:val="660B3602"/>
    <w:rsid w:val="660B53B0"/>
    <w:rsid w:val="660E4EA0"/>
    <w:rsid w:val="66100C18"/>
    <w:rsid w:val="661221A0"/>
    <w:rsid w:val="6612673F"/>
    <w:rsid w:val="661E1587"/>
    <w:rsid w:val="66236B9E"/>
    <w:rsid w:val="662446C4"/>
    <w:rsid w:val="66245681"/>
    <w:rsid w:val="66252916"/>
    <w:rsid w:val="66260260"/>
    <w:rsid w:val="66260616"/>
    <w:rsid w:val="66263F98"/>
    <w:rsid w:val="66281332"/>
    <w:rsid w:val="66297639"/>
    <w:rsid w:val="662A14BA"/>
    <w:rsid w:val="662A7107"/>
    <w:rsid w:val="662C5623"/>
    <w:rsid w:val="663012BB"/>
    <w:rsid w:val="66320B8F"/>
    <w:rsid w:val="663247CE"/>
    <w:rsid w:val="66326DE1"/>
    <w:rsid w:val="66381483"/>
    <w:rsid w:val="663C66B7"/>
    <w:rsid w:val="66424284"/>
    <w:rsid w:val="664408C2"/>
    <w:rsid w:val="66482160"/>
    <w:rsid w:val="66495ED8"/>
    <w:rsid w:val="664E3B3B"/>
    <w:rsid w:val="665015D2"/>
    <w:rsid w:val="66547C66"/>
    <w:rsid w:val="66552ACF"/>
    <w:rsid w:val="665925BF"/>
    <w:rsid w:val="6659436D"/>
    <w:rsid w:val="6659611C"/>
    <w:rsid w:val="665A4684"/>
    <w:rsid w:val="665C048A"/>
    <w:rsid w:val="665C32B6"/>
    <w:rsid w:val="665D1B75"/>
    <w:rsid w:val="665E7BD6"/>
    <w:rsid w:val="66600A8D"/>
    <w:rsid w:val="66644AC0"/>
    <w:rsid w:val="66650F64"/>
    <w:rsid w:val="66686C88"/>
    <w:rsid w:val="666920D7"/>
    <w:rsid w:val="666B3C3C"/>
    <w:rsid w:val="666F3B91"/>
    <w:rsid w:val="66703465"/>
    <w:rsid w:val="66707909"/>
    <w:rsid w:val="667271DD"/>
    <w:rsid w:val="667411A7"/>
    <w:rsid w:val="667431B0"/>
    <w:rsid w:val="66754F1F"/>
    <w:rsid w:val="667733BA"/>
    <w:rsid w:val="667967BE"/>
    <w:rsid w:val="667A3E11"/>
    <w:rsid w:val="667E5A76"/>
    <w:rsid w:val="667F664F"/>
    <w:rsid w:val="66815672"/>
    <w:rsid w:val="66822AB6"/>
    <w:rsid w:val="6683356A"/>
    <w:rsid w:val="6683763C"/>
    <w:rsid w:val="66850A94"/>
    <w:rsid w:val="66860EDB"/>
    <w:rsid w:val="66882EA5"/>
    <w:rsid w:val="66884C53"/>
    <w:rsid w:val="668A2779"/>
    <w:rsid w:val="668A4AAB"/>
    <w:rsid w:val="668B029F"/>
    <w:rsid w:val="668C4743"/>
    <w:rsid w:val="668D04BB"/>
    <w:rsid w:val="668F4233"/>
    <w:rsid w:val="668F7D8F"/>
    <w:rsid w:val="66924AC5"/>
    <w:rsid w:val="669435F8"/>
    <w:rsid w:val="669453A6"/>
    <w:rsid w:val="6695111E"/>
    <w:rsid w:val="66984D4F"/>
    <w:rsid w:val="66990C0E"/>
    <w:rsid w:val="66996E60"/>
    <w:rsid w:val="669E4932"/>
    <w:rsid w:val="66A01F9C"/>
    <w:rsid w:val="66A202A8"/>
    <w:rsid w:val="66A51361"/>
    <w:rsid w:val="66A55799"/>
    <w:rsid w:val="66A7157D"/>
    <w:rsid w:val="66A84904"/>
    <w:rsid w:val="66AF1479"/>
    <w:rsid w:val="66AF3FED"/>
    <w:rsid w:val="66B051A7"/>
    <w:rsid w:val="66B07D06"/>
    <w:rsid w:val="66B15F58"/>
    <w:rsid w:val="66B75538"/>
    <w:rsid w:val="66B772E6"/>
    <w:rsid w:val="66BB5028"/>
    <w:rsid w:val="66BC2B4E"/>
    <w:rsid w:val="66BC66AA"/>
    <w:rsid w:val="66BC7FA2"/>
    <w:rsid w:val="66BE68C6"/>
    <w:rsid w:val="66C0619B"/>
    <w:rsid w:val="66C20165"/>
    <w:rsid w:val="66C44D83"/>
    <w:rsid w:val="66C51A03"/>
    <w:rsid w:val="66C65BD1"/>
    <w:rsid w:val="66C8504F"/>
    <w:rsid w:val="66CC0FE3"/>
    <w:rsid w:val="66CF4F33"/>
    <w:rsid w:val="66D103A8"/>
    <w:rsid w:val="66D24120"/>
    <w:rsid w:val="66D6776C"/>
    <w:rsid w:val="66D71736"/>
    <w:rsid w:val="66E11A46"/>
    <w:rsid w:val="66E37694"/>
    <w:rsid w:val="66E40A98"/>
    <w:rsid w:val="66E520A5"/>
    <w:rsid w:val="66E55C01"/>
    <w:rsid w:val="66E856F1"/>
    <w:rsid w:val="66E8749F"/>
    <w:rsid w:val="66E947FF"/>
    <w:rsid w:val="66EA3218"/>
    <w:rsid w:val="66EF4CD2"/>
    <w:rsid w:val="66F066D0"/>
    <w:rsid w:val="66F06D10"/>
    <w:rsid w:val="66F145A6"/>
    <w:rsid w:val="66F2031E"/>
    <w:rsid w:val="66F45E44"/>
    <w:rsid w:val="66F66060"/>
    <w:rsid w:val="66F71B1D"/>
    <w:rsid w:val="66FB3677"/>
    <w:rsid w:val="67000C8D"/>
    <w:rsid w:val="67006EDF"/>
    <w:rsid w:val="670267B3"/>
    <w:rsid w:val="6703077D"/>
    <w:rsid w:val="6704453E"/>
    <w:rsid w:val="670544F5"/>
    <w:rsid w:val="67073DC9"/>
    <w:rsid w:val="67090333"/>
    <w:rsid w:val="67095D94"/>
    <w:rsid w:val="670B3158"/>
    <w:rsid w:val="670B5CF4"/>
    <w:rsid w:val="670B68E5"/>
    <w:rsid w:val="670C020F"/>
    <w:rsid w:val="670C7632"/>
    <w:rsid w:val="670E5506"/>
    <w:rsid w:val="670F7329"/>
    <w:rsid w:val="671169F6"/>
    <w:rsid w:val="6712451C"/>
    <w:rsid w:val="67184229"/>
    <w:rsid w:val="671B4A94"/>
    <w:rsid w:val="67201D84"/>
    <w:rsid w:val="67206C39"/>
    <w:rsid w:val="672506F4"/>
    <w:rsid w:val="67280542"/>
    <w:rsid w:val="672D1356"/>
    <w:rsid w:val="672E5483"/>
    <w:rsid w:val="672E57FA"/>
    <w:rsid w:val="672F50CE"/>
    <w:rsid w:val="6732696D"/>
    <w:rsid w:val="67346B89"/>
    <w:rsid w:val="673615F3"/>
    <w:rsid w:val="6736296D"/>
    <w:rsid w:val="673821D5"/>
    <w:rsid w:val="673D5A3D"/>
    <w:rsid w:val="673D6B00"/>
    <w:rsid w:val="673E0C66"/>
    <w:rsid w:val="673F16FF"/>
    <w:rsid w:val="673F7A07"/>
    <w:rsid w:val="67401089"/>
    <w:rsid w:val="67416925"/>
    <w:rsid w:val="67445D29"/>
    <w:rsid w:val="67491A44"/>
    <w:rsid w:val="674D4CE8"/>
    <w:rsid w:val="674E7C4A"/>
    <w:rsid w:val="67501A05"/>
    <w:rsid w:val="67515045"/>
    <w:rsid w:val="67530C5C"/>
    <w:rsid w:val="6753617B"/>
    <w:rsid w:val="67544B35"/>
    <w:rsid w:val="675608AD"/>
    <w:rsid w:val="67584625"/>
    <w:rsid w:val="675A5EE3"/>
    <w:rsid w:val="675D6ECD"/>
    <w:rsid w:val="675D7E8D"/>
    <w:rsid w:val="67614098"/>
    <w:rsid w:val="676254A4"/>
    <w:rsid w:val="67657336"/>
    <w:rsid w:val="67670D0C"/>
    <w:rsid w:val="676905E0"/>
    <w:rsid w:val="67694A84"/>
    <w:rsid w:val="676A6106"/>
    <w:rsid w:val="676B4AF1"/>
    <w:rsid w:val="676C1E7F"/>
    <w:rsid w:val="676E3E49"/>
    <w:rsid w:val="67713AF5"/>
    <w:rsid w:val="67766643"/>
    <w:rsid w:val="677A27ED"/>
    <w:rsid w:val="677D0530"/>
    <w:rsid w:val="6780592A"/>
    <w:rsid w:val="678371C8"/>
    <w:rsid w:val="67851192"/>
    <w:rsid w:val="67855FCC"/>
    <w:rsid w:val="6787300D"/>
    <w:rsid w:val="67880D3F"/>
    <w:rsid w:val="678A0557"/>
    <w:rsid w:val="678A67A9"/>
    <w:rsid w:val="678F3006"/>
    <w:rsid w:val="678F3DBF"/>
    <w:rsid w:val="67900263"/>
    <w:rsid w:val="67927669"/>
    <w:rsid w:val="67931B01"/>
    <w:rsid w:val="67941A60"/>
    <w:rsid w:val="67944631"/>
    <w:rsid w:val="67947F79"/>
    <w:rsid w:val="67955879"/>
    <w:rsid w:val="6796339F"/>
    <w:rsid w:val="67966F51"/>
    <w:rsid w:val="67980EC5"/>
    <w:rsid w:val="679A70A5"/>
    <w:rsid w:val="679D028A"/>
    <w:rsid w:val="679F04A6"/>
    <w:rsid w:val="67A05FCC"/>
    <w:rsid w:val="67A1421E"/>
    <w:rsid w:val="67A6239B"/>
    <w:rsid w:val="67A843FD"/>
    <w:rsid w:val="67AB0BF9"/>
    <w:rsid w:val="67AE2497"/>
    <w:rsid w:val="67AE7E4C"/>
    <w:rsid w:val="67B101D9"/>
    <w:rsid w:val="67B22418"/>
    <w:rsid w:val="67B33F51"/>
    <w:rsid w:val="67B37AAD"/>
    <w:rsid w:val="67B6759E"/>
    <w:rsid w:val="67B727BA"/>
    <w:rsid w:val="67B97689"/>
    <w:rsid w:val="67BB4BB4"/>
    <w:rsid w:val="67BC1058"/>
    <w:rsid w:val="67BC2E06"/>
    <w:rsid w:val="67BD092C"/>
    <w:rsid w:val="67BE0DD0"/>
    <w:rsid w:val="67BF28F6"/>
    <w:rsid w:val="67C021CA"/>
    <w:rsid w:val="67C1666E"/>
    <w:rsid w:val="67C223E6"/>
    <w:rsid w:val="67C24194"/>
    <w:rsid w:val="67C41CBB"/>
    <w:rsid w:val="67C5345F"/>
    <w:rsid w:val="67C9107F"/>
    <w:rsid w:val="67CC6DC1"/>
    <w:rsid w:val="67CD2688"/>
    <w:rsid w:val="67CE0D8B"/>
    <w:rsid w:val="67CE48E7"/>
    <w:rsid w:val="67D068B1"/>
    <w:rsid w:val="67D53EC8"/>
    <w:rsid w:val="67D55C76"/>
    <w:rsid w:val="67D933AF"/>
    <w:rsid w:val="67DA6DE3"/>
    <w:rsid w:val="67DC1C9C"/>
    <w:rsid w:val="67E265E5"/>
    <w:rsid w:val="67E61C31"/>
    <w:rsid w:val="67E660D5"/>
    <w:rsid w:val="67E67E83"/>
    <w:rsid w:val="67E74ACD"/>
    <w:rsid w:val="67E81E4D"/>
    <w:rsid w:val="67E90086"/>
    <w:rsid w:val="67EB5179"/>
    <w:rsid w:val="67EC2FBF"/>
    <w:rsid w:val="67ED7463"/>
    <w:rsid w:val="67EE0AE5"/>
    <w:rsid w:val="67F1602B"/>
    <w:rsid w:val="67F500C6"/>
    <w:rsid w:val="67F52EA3"/>
    <w:rsid w:val="67F5622B"/>
    <w:rsid w:val="67F56318"/>
    <w:rsid w:val="67F60DFC"/>
    <w:rsid w:val="67F70212"/>
    <w:rsid w:val="67F72090"/>
    <w:rsid w:val="67F81964"/>
    <w:rsid w:val="67FA4DDD"/>
    <w:rsid w:val="680227E3"/>
    <w:rsid w:val="6804655B"/>
    <w:rsid w:val="68064081"/>
    <w:rsid w:val="680B22EA"/>
    <w:rsid w:val="680B4E69"/>
    <w:rsid w:val="680B7D7F"/>
    <w:rsid w:val="680C65CD"/>
    <w:rsid w:val="680D18B3"/>
    <w:rsid w:val="680D76C2"/>
    <w:rsid w:val="680E2F36"/>
    <w:rsid w:val="680E73DA"/>
    <w:rsid w:val="68103152"/>
    <w:rsid w:val="68112A26"/>
    <w:rsid w:val="681744E0"/>
    <w:rsid w:val="68182006"/>
    <w:rsid w:val="68183DB4"/>
    <w:rsid w:val="681A18DB"/>
    <w:rsid w:val="681F15E7"/>
    <w:rsid w:val="681F2568"/>
    <w:rsid w:val="681F5143"/>
    <w:rsid w:val="68204069"/>
    <w:rsid w:val="68210EBB"/>
    <w:rsid w:val="68212C69"/>
    <w:rsid w:val="682208CE"/>
    <w:rsid w:val="682218B3"/>
    <w:rsid w:val="68232E85"/>
    <w:rsid w:val="68247204"/>
    <w:rsid w:val="68263E4E"/>
    <w:rsid w:val="682664D1"/>
    <w:rsid w:val="68277ADA"/>
    <w:rsid w:val="68285051"/>
    <w:rsid w:val="683010FE"/>
    <w:rsid w:val="68307A21"/>
    <w:rsid w:val="6834396F"/>
    <w:rsid w:val="68352BB8"/>
    <w:rsid w:val="68354966"/>
    <w:rsid w:val="68356714"/>
    <w:rsid w:val="6837248C"/>
    <w:rsid w:val="6838004E"/>
    <w:rsid w:val="683A1F7D"/>
    <w:rsid w:val="683E7CBF"/>
    <w:rsid w:val="683F3A37"/>
    <w:rsid w:val="68403334"/>
    <w:rsid w:val="68435CC2"/>
    <w:rsid w:val="68436422"/>
    <w:rsid w:val="68437083"/>
    <w:rsid w:val="68443854"/>
    <w:rsid w:val="68444BA9"/>
    <w:rsid w:val="684567F6"/>
    <w:rsid w:val="68460921"/>
    <w:rsid w:val="68476448"/>
    <w:rsid w:val="684921C0"/>
    <w:rsid w:val="684A2A6A"/>
    <w:rsid w:val="684B418A"/>
    <w:rsid w:val="68502AE7"/>
    <w:rsid w:val="68546A40"/>
    <w:rsid w:val="68555008"/>
    <w:rsid w:val="68580655"/>
    <w:rsid w:val="68581629"/>
    <w:rsid w:val="685C1EF3"/>
    <w:rsid w:val="685E210F"/>
    <w:rsid w:val="686314D3"/>
    <w:rsid w:val="68633281"/>
    <w:rsid w:val="68637725"/>
    <w:rsid w:val="6864524C"/>
    <w:rsid w:val="6865092A"/>
    <w:rsid w:val="6865279D"/>
    <w:rsid w:val="6865349E"/>
    <w:rsid w:val="68662D72"/>
    <w:rsid w:val="68677C8E"/>
    <w:rsid w:val="686A0AB4"/>
    <w:rsid w:val="686D4100"/>
    <w:rsid w:val="686D5EAE"/>
    <w:rsid w:val="686E1C26"/>
    <w:rsid w:val="6874548F"/>
    <w:rsid w:val="68751207"/>
    <w:rsid w:val="68751A69"/>
    <w:rsid w:val="68757459"/>
    <w:rsid w:val="687A4A6F"/>
    <w:rsid w:val="687A681D"/>
    <w:rsid w:val="687E00BB"/>
    <w:rsid w:val="68816051"/>
    <w:rsid w:val="68833924"/>
    <w:rsid w:val="688356D2"/>
    <w:rsid w:val="6885168F"/>
    <w:rsid w:val="6885769C"/>
    <w:rsid w:val="68863F8C"/>
    <w:rsid w:val="68891E8F"/>
    <w:rsid w:val="68896A60"/>
    <w:rsid w:val="688D6550"/>
    <w:rsid w:val="688E4077"/>
    <w:rsid w:val="688F22C8"/>
    <w:rsid w:val="68923B67"/>
    <w:rsid w:val="68925915"/>
    <w:rsid w:val="6894168D"/>
    <w:rsid w:val="6894556A"/>
    <w:rsid w:val="68953657"/>
    <w:rsid w:val="689618A9"/>
    <w:rsid w:val="68962018"/>
    <w:rsid w:val="68974519"/>
    <w:rsid w:val="68994EF5"/>
    <w:rsid w:val="689D7F6A"/>
    <w:rsid w:val="689F0032"/>
    <w:rsid w:val="68A33FC6"/>
    <w:rsid w:val="68A525EA"/>
    <w:rsid w:val="68A66BD4"/>
    <w:rsid w:val="68AA0EB0"/>
    <w:rsid w:val="68AA6B1A"/>
    <w:rsid w:val="68AB3AA2"/>
    <w:rsid w:val="68AE5A1C"/>
    <w:rsid w:val="68AF2172"/>
    <w:rsid w:val="68AF296B"/>
    <w:rsid w:val="68AF4066"/>
    <w:rsid w:val="68B03FED"/>
    <w:rsid w:val="68B166E3"/>
    <w:rsid w:val="68B31BE5"/>
    <w:rsid w:val="68B451C3"/>
    <w:rsid w:val="68B54E31"/>
    <w:rsid w:val="68B63CF9"/>
    <w:rsid w:val="68B72764"/>
    <w:rsid w:val="68B735CD"/>
    <w:rsid w:val="68BC5088"/>
    <w:rsid w:val="68BD67A1"/>
    <w:rsid w:val="68BE2BAE"/>
    <w:rsid w:val="68BF2482"/>
    <w:rsid w:val="68C06926"/>
    <w:rsid w:val="68C124EF"/>
    <w:rsid w:val="68C21D29"/>
    <w:rsid w:val="68C22A13"/>
    <w:rsid w:val="68C36416"/>
    <w:rsid w:val="68C55803"/>
    <w:rsid w:val="68C55CEA"/>
    <w:rsid w:val="68C857DA"/>
    <w:rsid w:val="68CA04BB"/>
    <w:rsid w:val="68CB7079"/>
    <w:rsid w:val="68CD1F31"/>
    <w:rsid w:val="68CE56FB"/>
    <w:rsid w:val="68CF46F9"/>
    <w:rsid w:val="68CF6B69"/>
    <w:rsid w:val="68D66A5E"/>
    <w:rsid w:val="68D7310F"/>
    <w:rsid w:val="68D91796"/>
    <w:rsid w:val="68D979E8"/>
    <w:rsid w:val="68DB5389"/>
    <w:rsid w:val="68DC1286"/>
    <w:rsid w:val="68DE4FFE"/>
    <w:rsid w:val="68DF4F3B"/>
    <w:rsid w:val="68E1064A"/>
    <w:rsid w:val="68EA1700"/>
    <w:rsid w:val="68EA5751"/>
    <w:rsid w:val="68EA74FF"/>
    <w:rsid w:val="68ED3493"/>
    <w:rsid w:val="68F16ADF"/>
    <w:rsid w:val="68F24AF6"/>
    <w:rsid w:val="68F4037D"/>
    <w:rsid w:val="68F41FE7"/>
    <w:rsid w:val="68F6059A"/>
    <w:rsid w:val="68F91E38"/>
    <w:rsid w:val="68FB795E"/>
    <w:rsid w:val="68FE2FAA"/>
    <w:rsid w:val="68FE744E"/>
    <w:rsid w:val="69001614"/>
    <w:rsid w:val="69076FCD"/>
    <w:rsid w:val="690802CD"/>
    <w:rsid w:val="69083E29"/>
    <w:rsid w:val="690B56C7"/>
    <w:rsid w:val="690F6B9A"/>
    <w:rsid w:val="6910451E"/>
    <w:rsid w:val="69110F2F"/>
    <w:rsid w:val="6912159C"/>
    <w:rsid w:val="69126A56"/>
    <w:rsid w:val="69144F70"/>
    <w:rsid w:val="69166546"/>
    <w:rsid w:val="691933D8"/>
    <w:rsid w:val="69197DE4"/>
    <w:rsid w:val="691E189E"/>
    <w:rsid w:val="691E364C"/>
    <w:rsid w:val="692073C4"/>
    <w:rsid w:val="6922138F"/>
    <w:rsid w:val="69272501"/>
    <w:rsid w:val="692769A5"/>
    <w:rsid w:val="692D388F"/>
    <w:rsid w:val="692E2178"/>
    <w:rsid w:val="692F13B6"/>
    <w:rsid w:val="693027FB"/>
    <w:rsid w:val="69314F32"/>
    <w:rsid w:val="69324EAF"/>
    <w:rsid w:val="693370F8"/>
    <w:rsid w:val="69344C1E"/>
    <w:rsid w:val="693764BC"/>
    <w:rsid w:val="69382960"/>
    <w:rsid w:val="69390F51"/>
    <w:rsid w:val="6939182E"/>
    <w:rsid w:val="69392657"/>
    <w:rsid w:val="693B684A"/>
    <w:rsid w:val="693C3AD3"/>
    <w:rsid w:val="693C7E58"/>
    <w:rsid w:val="693D15B6"/>
    <w:rsid w:val="693D7F76"/>
    <w:rsid w:val="693F590D"/>
    <w:rsid w:val="6940217B"/>
    <w:rsid w:val="69424298"/>
    <w:rsid w:val="6942733B"/>
    <w:rsid w:val="694475A0"/>
    <w:rsid w:val="69456E2B"/>
    <w:rsid w:val="694740E2"/>
    <w:rsid w:val="694A61EF"/>
    <w:rsid w:val="69511FA2"/>
    <w:rsid w:val="695169A2"/>
    <w:rsid w:val="6953779A"/>
    <w:rsid w:val="69540E1C"/>
    <w:rsid w:val="69544C7A"/>
    <w:rsid w:val="695615B3"/>
    <w:rsid w:val="69564B94"/>
    <w:rsid w:val="69572528"/>
    <w:rsid w:val="69586B5E"/>
    <w:rsid w:val="695928D6"/>
    <w:rsid w:val="695B03FD"/>
    <w:rsid w:val="695B21AB"/>
    <w:rsid w:val="695D23C7"/>
    <w:rsid w:val="695D57C2"/>
    <w:rsid w:val="695D5F23"/>
    <w:rsid w:val="695E4E55"/>
    <w:rsid w:val="695E5E3C"/>
    <w:rsid w:val="6961093C"/>
    <w:rsid w:val="6962178B"/>
    <w:rsid w:val="69652054"/>
    <w:rsid w:val="696574CD"/>
    <w:rsid w:val="69676DA1"/>
    <w:rsid w:val="69682B80"/>
    <w:rsid w:val="69690516"/>
    <w:rsid w:val="69690D6B"/>
    <w:rsid w:val="69692B1A"/>
    <w:rsid w:val="696A0640"/>
    <w:rsid w:val="696A0C89"/>
    <w:rsid w:val="696C260A"/>
    <w:rsid w:val="696D1EDE"/>
    <w:rsid w:val="696F3EA8"/>
    <w:rsid w:val="697274E6"/>
    <w:rsid w:val="69736F03"/>
    <w:rsid w:val="697414BE"/>
    <w:rsid w:val="6974326C"/>
    <w:rsid w:val="697469DA"/>
    <w:rsid w:val="6975143C"/>
    <w:rsid w:val="69766FE4"/>
    <w:rsid w:val="69772919"/>
    <w:rsid w:val="697B284D"/>
    <w:rsid w:val="697F058F"/>
    <w:rsid w:val="69801C11"/>
    <w:rsid w:val="69807EB1"/>
    <w:rsid w:val="69817394"/>
    <w:rsid w:val="69820E7A"/>
    <w:rsid w:val="69821E2D"/>
    <w:rsid w:val="69823BDB"/>
    <w:rsid w:val="69825989"/>
    <w:rsid w:val="69894212"/>
    <w:rsid w:val="698E432E"/>
    <w:rsid w:val="698F62F8"/>
    <w:rsid w:val="69912070"/>
    <w:rsid w:val="69921BD7"/>
    <w:rsid w:val="69931944"/>
    <w:rsid w:val="69966CB4"/>
    <w:rsid w:val="69981651"/>
    <w:rsid w:val="699837EB"/>
    <w:rsid w:val="699851AD"/>
    <w:rsid w:val="69987F14"/>
    <w:rsid w:val="699F29DF"/>
    <w:rsid w:val="699F478D"/>
    <w:rsid w:val="699F7F40"/>
    <w:rsid w:val="69A021B3"/>
    <w:rsid w:val="69A144A2"/>
    <w:rsid w:val="69A17D59"/>
    <w:rsid w:val="69A2602B"/>
    <w:rsid w:val="69A41DA4"/>
    <w:rsid w:val="69A578CA"/>
    <w:rsid w:val="69A753F0"/>
    <w:rsid w:val="69A9560C"/>
    <w:rsid w:val="69B0699A"/>
    <w:rsid w:val="69B31FE7"/>
    <w:rsid w:val="69B33D95"/>
    <w:rsid w:val="69B47B0D"/>
    <w:rsid w:val="69B624CF"/>
    <w:rsid w:val="69B813AB"/>
    <w:rsid w:val="69BD4906"/>
    <w:rsid w:val="69BE2739"/>
    <w:rsid w:val="69C13F18"/>
    <w:rsid w:val="69C45FA2"/>
    <w:rsid w:val="69C9323C"/>
    <w:rsid w:val="69CA10DE"/>
    <w:rsid w:val="69CB5582"/>
    <w:rsid w:val="69CC4E56"/>
    <w:rsid w:val="69CC74F2"/>
    <w:rsid w:val="69CD7801"/>
    <w:rsid w:val="69D32689"/>
    <w:rsid w:val="69D34437"/>
    <w:rsid w:val="69D361E5"/>
    <w:rsid w:val="69D41F5D"/>
    <w:rsid w:val="69D67DB2"/>
    <w:rsid w:val="69DA7573"/>
    <w:rsid w:val="69DC2875"/>
    <w:rsid w:val="69DC4EFF"/>
    <w:rsid w:val="69E00902"/>
    <w:rsid w:val="69E20D5F"/>
    <w:rsid w:val="69E421A0"/>
    <w:rsid w:val="69E46644"/>
    <w:rsid w:val="69E93C5A"/>
    <w:rsid w:val="69E94057"/>
    <w:rsid w:val="69EB79D2"/>
    <w:rsid w:val="69EC72A7"/>
    <w:rsid w:val="69EE1271"/>
    <w:rsid w:val="69EE301F"/>
    <w:rsid w:val="69EE74C3"/>
    <w:rsid w:val="69F22885"/>
    <w:rsid w:val="69F34AD9"/>
    <w:rsid w:val="69F60125"/>
    <w:rsid w:val="69F67DBC"/>
    <w:rsid w:val="69F70048"/>
    <w:rsid w:val="69FD7706"/>
    <w:rsid w:val="6A010FA4"/>
    <w:rsid w:val="6A026ACA"/>
    <w:rsid w:val="6A037121"/>
    <w:rsid w:val="6A040A94"/>
    <w:rsid w:val="6A050368"/>
    <w:rsid w:val="6A084C72"/>
    <w:rsid w:val="6A0942FC"/>
    <w:rsid w:val="6A0A597F"/>
    <w:rsid w:val="6A0C7949"/>
    <w:rsid w:val="6A0C7B07"/>
    <w:rsid w:val="6A0D5B9B"/>
    <w:rsid w:val="6A0E18E4"/>
    <w:rsid w:val="6A107439"/>
    <w:rsid w:val="6A1231B1"/>
    <w:rsid w:val="6A12583C"/>
    <w:rsid w:val="6A154A4F"/>
    <w:rsid w:val="6A155328"/>
    <w:rsid w:val="6A162576"/>
    <w:rsid w:val="6A18009C"/>
    <w:rsid w:val="6A1C5DDE"/>
    <w:rsid w:val="6A1D1B56"/>
    <w:rsid w:val="6A1E0CB9"/>
    <w:rsid w:val="6A1E0CE9"/>
    <w:rsid w:val="6A224F35"/>
    <w:rsid w:val="6A2353BE"/>
    <w:rsid w:val="6A235F03"/>
    <w:rsid w:val="6A242EE4"/>
    <w:rsid w:val="6A2627B9"/>
    <w:rsid w:val="6A276531"/>
    <w:rsid w:val="6A296DE7"/>
    <w:rsid w:val="6A2A744A"/>
    <w:rsid w:val="6A2B6021"/>
    <w:rsid w:val="6A2C1D99"/>
    <w:rsid w:val="6A2D09E2"/>
    <w:rsid w:val="6A2D7FEB"/>
    <w:rsid w:val="6A2F0CBC"/>
    <w:rsid w:val="6A3003EA"/>
    <w:rsid w:val="6A301889"/>
    <w:rsid w:val="6A325B36"/>
    <w:rsid w:val="6A33672E"/>
    <w:rsid w:val="6A343DA8"/>
    <w:rsid w:val="6A3525FE"/>
    <w:rsid w:val="6A37490E"/>
    <w:rsid w:val="6A3749C6"/>
    <w:rsid w:val="6A3A6264"/>
    <w:rsid w:val="6A3B76A2"/>
    <w:rsid w:val="6A3C1FDC"/>
    <w:rsid w:val="6A3D5A1F"/>
    <w:rsid w:val="6A413A96"/>
    <w:rsid w:val="6A471681"/>
    <w:rsid w:val="6A4813FA"/>
    <w:rsid w:val="6A4964A7"/>
    <w:rsid w:val="6A4B66C3"/>
    <w:rsid w:val="6A4C2EAF"/>
    <w:rsid w:val="6A4F66FC"/>
    <w:rsid w:val="6A507835"/>
    <w:rsid w:val="6A51065F"/>
    <w:rsid w:val="6A5135AE"/>
    <w:rsid w:val="6A51641B"/>
    <w:rsid w:val="6A535578"/>
    <w:rsid w:val="6A541B18"/>
    <w:rsid w:val="6A554E4C"/>
    <w:rsid w:val="6A570BC4"/>
    <w:rsid w:val="6A58493C"/>
    <w:rsid w:val="6A5B43F9"/>
    <w:rsid w:val="6A5B50A9"/>
    <w:rsid w:val="6A5C267E"/>
    <w:rsid w:val="6A617C95"/>
    <w:rsid w:val="6A636BAF"/>
    <w:rsid w:val="6A682DD1"/>
    <w:rsid w:val="6A685317"/>
    <w:rsid w:val="6A694D9B"/>
    <w:rsid w:val="6A6B0B13"/>
    <w:rsid w:val="6A6B466F"/>
    <w:rsid w:val="6A6C5C24"/>
    <w:rsid w:val="6A6D488B"/>
    <w:rsid w:val="6A710772"/>
    <w:rsid w:val="6A721EA2"/>
    <w:rsid w:val="6A730B80"/>
    <w:rsid w:val="6A742430"/>
    <w:rsid w:val="6A787BEC"/>
    <w:rsid w:val="6A7A2B04"/>
    <w:rsid w:val="6A7C14DB"/>
    <w:rsid w:val="6A7D43A3"/>
    <w:rsid w:val="6A7E25F5"/>
    <w:rsid w:val="6A8120E5"/>
    <w:rsid w:val="6A82126C"/>
    <w:rsid w:val="6A825F32"/>
    <w:rsid w:val="6A835E5D"/>
    <w:rsid w:val="6A841BD5"/>
    <w:rsid w:val="6A8614A9"/>
    <w:rsid w:val="6A866E30"/>
    <w:rsid w:val="6A881480"/>
    <w:rsid w:val="6A890F99"/>
    <w:rsid w:val="6A8B2D2D"/>
    <w:rsid w:val="6A941E18"/>
    <w:rsid w:val="6A955B90"/>
    <w:rsid w:val="6A9A31A7"/>
    <w:rsid w:val="6A9B0CD7"/>
    <w:rsid w:val="6A9C6F1F"/>
    <w:rsid w:val="6A9E45C1"/>
    <w:rsid w:val="6AA10B75"/>
    <w:rsid w:val="6AA13425"/>
    <w:rsid w:val="6AA42D4F"/>
    <w:rsid w:val="6AA45403"/>
    <w:rsid w:val="6AA574F6"/>
    <w:rsid w:val="6AA638F9"/>
    <w:rsid w:val="6AA67D9D"/>
    <w:rsid w:val="6AA807C1"/>
    <w:rsid w:val="6AA81420"/>
    <w:rsid w:val="6AA933EA"/>
    <w:rsid w:val="6AAB53B4"/>
    <w:rsid w:val="6AAD4C88"/>
    <w:rsid w:val="6AAF0D2D"/>
    <w:rsid w:val="6AB029CA"/>
    <w:rsid w:val="6AB2229E"/>
    <w:rsid w:val="6AB44268"/>
    <w:rsid w:val="6AB853DB"/>
    <w:rsid w:val="6AB9187F"/>
    <w:rsid w:val="6AB9362D"/>
    <w:rsid w:val="6AB956BB"/>
    <w:rsid w:val="6ABC136F"/>
    <w:rsid w:val="6ABC311D"/>
    <w:rsid w:val="6ABC4ECB"/>
    <w:rsid w:val="6ABE0D2A"/>
    <w:rsid w:val="6AC124E1"/>
    <w:rsid w:val="6AC326FD"/>
    <w:rsid w:val="6AC4614D"/>
    <w:rsid w:val="6AC50223"/>
    <w:rsid w:val="6AC56475"/>
    <w:rsid w:val="6AC83870"/>
    <w:rsid w:val="6ACA3A8C"/>
    <w:rsid w:val="6ACA583A"/>
    <w:rsid w:val="6ACB1211"/>
    <w:rsid w:val="6ACE4BFE"/>
    <w:rsid w:val="6ACF2E50"/>
    <w:rsid w:val="6AD05313"/>
    <w:rsid w:val="6AD10895"/>
    <w:rsid w:val="6AD16513"/>
    <w:rsid w:val="6AD541DF"/>
    <w:rsid w:val="6AD55F8D"/>
    <w:rsid w:val="6AD93CCF"/>
    <w:rsid w:val="6ADA17F5"/>
    <w:rsid w:val="6ADC6767"/>
    <w:rsid w:val="6AE00865"/>
    <w:rsid w:val="6AE0505D"/>
    <w:rsid w:val="6AE16007"/>
    <w:rsid w:val="6AE306AA"/>
    <w:rsid w:val="6AE663EC"/>
    <w:rsid w:val="6AE82251"/>
    <w:rsid w:val="6AEA1A38"/>
    <w:rsid w:val="6AEB1137"/>
    <w:rsid w:val="6AEC5E21"/>
    <w:rsid w:val="6AEC79FA"/>
    <w:rsid w:val="6AF428B7"/>
    <w:rsid w:val="6AF44665"/>
    <w:rsid w:val="6AF56098"/>
    <w:rsid w:val="6AF60E36"/>
    <w:rsid w:val="6AF7565C"/>
    <w:rsid w:val="6AF91C7B"/>
    <w:rsid w:val="6AFA0FF5"/>
    <w:rsid w:val="6AFB3C45"/>
    <w:rsid w:val="6AFC79BD"/>
    <w:rsid w:val="6AFD409F"/>
    <w:rsid w:val="6AFD6B40"/>
    <w:rsid w:val="6AFE3735"/>
    <w:rsid w:val="6AFE7291"/>
    <w:rsid w:val="6B011744"/>
    <w:rsid w:val="6B030D4C"/>
    <w:rsid w:val="6B036F9E"/>
    <w:rsid w:val="6B040620"/>
    <w:rsid w:val="6B0455CC"/>
    <w:rsid w:val="6B060F13"/>
    <w:rsid w:val="6B07083C"/>
    <w:rsid w:val="6B080110"/>
    <w:rsid w:val="6B086362"/>
    <w:rsid w:val="6B0A032C"/>
    <w:rsid w:val="6B0D1BCA"/>
    <w:rsid w:val="6B0D3978"/>
    <w:rsid w:val="6B0D5727"/>
    <w:rsid w:val="6B0F5943"/>
    <w:rsid w:val="6B105217"/>
    <w:rsid w:val="6B1110D4"/>
    <w:rsid w:val="6B1139A5"/>
    <w:rsid w:val="6B1271E1"/>
    <w:rsid w:val="6B146AB5"/>
    <w:rsid w:val="6B152326"/>
    <w:rsid w:val="6B166CD1"/>
    <w:rsid w:val="6B1B411A"/>
    <w:rsid w:val="6B1B7E43"/>
    <w:rsid w:val="6B2111D2"/>
    <w:rsid w:val="6B226663"/>
    <w:rsid w:val="6B23319C"/>
    <w:rsid w:val="6B237BBE"/>
    <w:rsid w:val="6B2506DA"/>
    <w:rsid w:val="6B263CCE"/>
    <w:rsid w:val="6B2667E8"/>
    <w:rsid w:val="6B286A04"/>
    <w:rsid w:val="6B2B0BF0"/>
    <w:rsid w:val="6B2C2051"/>
    <w:rsid w:val="6B2F1B41"/>
    <w:rsid w:val="6B2F38EF"/>
    <w:rsid w:val="6B317667"/>
    <w:rsid w:val="6B340F05"/>
    <w:rsid w:val="6B342A0A"/>
    <w:rsid w:val="6B3453A9"/>
    <w:rsid w:val="6B347157"/>
    <w:rsid w:val="6B393F1A"/>
    <w:rsid w:val="6B3B6738"/>
    <w:rsid w:val="6B3C600C"/>
    <w:rsid w:val="6B3C7DBA"/>
    <w:rsid w:val="6B3D24B0"/>
    <w:rsid w:val="6B3D425E"/>
    <w:rsid w:val="6B3E3B32"/>
    <w:rsid w:val="6B3E7FD6"/>
    <w:rsid w:val="6B3F558D"/>
    <w:rsid w:val="6B43383E"/>
    <w:rsid w:val="6B44754B"/>
    <w:rsid w:val="6B460705"/>
    <w:rsid w:val="6B4750DC"/>
    <w:rsid w:val="6B485B3F"/>
    <w:rsid w:val="6B4A2F0E"/>
    <w:rsid w:val="6B4C26F3"/>
    <w:rsid w:val="6B4C44A1"/>
    <w:rsid w:val="6B4C6968"/>
    <w:rsid w:val="6B4E24B7"/>
    <w:rsid w:val="6B4F5D3F"/>
    <w:rsid w:val="6B52582F"/>
    <w:rsid w:val="6B545C45"/>
    <w:rsid w:val="6B560E7C"/>
    <w:rsid w:val="6B581098"/>
    <w:rsid w:val="6B594E10"/>
    <w:rsid w:val="6B596BBE"/>
    <w:rsid w:val="6B5C4102"/>
    <w:rsid w:val="6B5D66AE"/>
    <w:rsid w:val="6B5F54AE"/>
    <w:rsid w:val="6B60512A"/>
    <w:rsid w:val="6B611FBE"/>
    <w:rsid w:val="6B6214E3"/>
    <w:rsid w:val="6B6813C7"/>
    <w:rsid w:val="6B685053"/>
    <w:rsid w:val="6B6E2E66"/>
    <w:rsid w:val="6B6F1F3D"/>
    <w:rsid w:val="6B6F4633"/>
    <w:rsid w:val="6B6F63E1"/>
    <w:rsid w:val="6B721A2E"/>
    <w:rsid w:val="6B722451"/>
    <w:rsid w:val="6B750159"/>
    <w:rsid w:val="6B7624D2"/>
    <w:rsid w:val="6B7632CC"/>
    <w:rsid w:val="6B777F82"/>
    <w:rsid w:val="6B7B14D4"/>
    <w:rsid w:val="6B7B768E"/>
    <w:rsid w:val="6B7C1223"/>
    <w:rsid w:val="6B7D526B"/>
    <w:rsid w:val="6B7E4876"/>
    <w:rsid w:val="6B7E6624"/>
    <w:rsid w:val="6B823DA0"/>
    <w:rsid w:val="6B827EC3"/>
    <w:rsid w:val="6B8359E9"/>
    <w:rsid w:val="6B841E8D"/>
    <w:rsid w:val="6B84214A"/>
    <w:rsid w:val="6B842A13"/>
    <w:rsid w:val="6B851761"/>
    <w:rsid w:val="6B854620"/>
    <w:rsid w:val="6B8579B3"/>
    <w:rsid w:val="6B87372B"/>
    <w:rsid w:val="6B894F68"/>
    <w:rsid w:val="6B8A321B"/>
    <w:rsid w:val="6B8C0D41"/>
    <w:rsid w:val="6B8E0DD2"/>
    <w:rsid w:val="6B8E4AB9"/>
    <w:rsid w:val="6B8F25DF"/>
    <w:rsid w:val="6B901B90"/>
    <w:rsid w:val="6B907C85"/>
    <w:rsid w:val="6B916358"/>
    <w:rsid w:val="6B93601A"/>
    <w:rsid w:val="6B94171A"/>
    <w:rsid w:val="6B9419A4"/>
    <w:rsid w:val="6B947BF6"/>
    <w:rsid w:val="6B96396E"/>
    <w:rsid w:val="6B9A583C"/>
    <w:rsid w:val="6B9D2F4E"/>
    <w:rsid w:val="6B9E0A74"/>
    <w:rsid w:val="6B9F6CC6"/>
    <w:rsid w:val="6BA063DE"/>
    <w:rsid w:val="6BA51E03"/>
    <w:rsid w:val="6BA52D52"/>
    <w:rsid w:val="6BA75B7B"/>
    <w:rsid w:val="6BA77929"/>
    <w:rsid w:val="6BAA11C7"/>
    <w:rsid w:val="6BAA42A1"/>
    <w:rsid w:val="6BAA566B"/>
    <w:rsid w:val="6BAC62FD"/>
    <w:rsid w:val="6BAC6F90"/>
    <w:rsid w:val="6BAD2A66"/>
    <w:rsid w:val="6BAD3293"/>
    <w:rsid w:val="6BAE0CB8"/>
    <w:rsid w:val="6BB74F81"/>
    <w:rsid w:val="6BBA3D96"/>
    <w:rsid w:val="6BBB5183"/>
    <w:rsid w:val="6BBB53B4"/>
    <w:rsid w:val="6BBD463B"/>
    <w:rsid w:val="6BC06C3D"/>
    <w:rsid w:val="6BC12AA9"/>
    <w:rsid w:val="6BC22528"/>
    <w:rsid w:val="6BC5524D"/>
    <w:rsid w:val="6BC56001"/>
    <w:rsid w:val="6BC73B27"/>
    <w:rsid w:val="6BC8789F"/>
    <w:rsid w:val="6BCA3618"/>
    <w:rsid w:val="6BCE4EB6"/>
    <w:rsid w:val="6BD3071E"/>
    <w:rsid w:val="6BD34BC2"/>
    <w:rsid w:val="6BD36970"/>
    <w:rsid w:val="6BD43284"/>
    <w:rsid w:val="6BD6020E"/>
    <w:rsid w:val="6BD61FBC"/>
    <w:rsid w:val="6BD91127"/>
    <w:rsid w:val="6BD91AAD"/>
    <w:rsid w:val="6BDA003C"/>
    <w:rsid w:val="6BDB5825"/>
    <w:rsid w:val="6BDE1F8E"/>
    <w:rsid w:val="6BDF3567"/>
    <w:rsid w:val="6BE1384B"/>
    <w:rsid w:val="6BE20961"/>
    <w:rsid w:val="6BE446D9"/>
    <w:rsid w:val="6BE741CA"/>
    <w:rsid w:val="6BE75F78"/>
    <w:rsid w:val="6BE97F42"/>
    <w:rsid w:val="6BEA5A68"/>
    <w:rsid w:val="6BEC7A32"/>
    <w:rsid w:val="6BEF1B0D"/>
    <w:rsid w:val="6BEF4116"/>
    <w:rsid w:val="6BF568E6"/>
    <w:rsid w:val="6BF6440D"/>
    <w:rsid w:val="6BF70A41"/>
    <w:rsid w:val="6BFA214F"/>
    <w:rsid w:val="6BFA235B"/>
    <w:rsid w:val="6BFB5EC7"/>
    <w:rsid w:val="6BFF3C0B"/>
    <w:rsid w:val="6C022DB1"/>
    <w:rsid w:val="6C0338C5"/>
    <w:rsid w:val="6C042FCD"/>
    <w:rsid w:val="6C046B2A"/>
    <w:rsid w:val="6C0703C8"/>
    <w:rsid w:val="6C0905E4"/>
    <w:rsid w:val="6C09129B"/>
    <w:rsid w:val="6C0B52C6"/>
    <w:rsid w:val="6C0C4371"/>
    <w:rsid w:val="6C0C59DE"/>
    <w:rsid w:val="6C0D3DEF"/>
    <w:rsid w:val="6C0D538C"/>
    <w:rsid w:val="6C0F54CE"/>
    <w:rsid w:val="6C103720"/>
    <w:rsid w:val="6C11746E"/>
    <w:rsid w:val="6C1175BA"/>
    <w:rsid w:val="6C1236EB"/>
    <w:rsid w:val="6C123F77"/>
    <w:rsid w:val="6C1256EA"/>
    <w:rsid w:val="6C152AE5"/>
    <w:rsid w:val="6C184383"/>
    <w:rsid w:val="6C1A2407"/>
    <w:rsid w:val="6C1A53FF"/>
    <w:rsid w:val="6C1B3E73"/>
    <w:rsid w:val="6C1F5711"/>
    <w:rsid w:val="6C1F6F69"/>
    <w:rsid w:val="6C272818"/>
    <w:rsid w:val="6C2A6280"/>
    <w:rsid w:val="6C2B0057"/>
    <w:rsid w:val="6C2B5ACD"/>
    <w:rsid w:val="6C2B67AC"/>
    <w:rsid w:val="6C2C6080"/>
    <w:rsid w:val="6C2D620B"/>
    <w:rsid w:val="6C303DC2"/>
    <w:rsid w:val="6C30791F"/>
    <w:rsid w:val="6C315CF1"/>
    <w:rsid w:val="6C3167E1"/>
    <w:rsid w:val="6C3311BD"/>
    <w:rsid w:val="6C335661"/>
    <w:rsid w:val="6C3513D9"/>
    <w:rsid w:val="6C353FEF"/>
    <w:rsid w:val="6C3A079D"/>
    <w:rsid w:val="6C41513D"/>
    <w:rsid w:val="6C427652"/>
    <w:rsid w:val="6C4307CE"/>
    <w:rsid w:val="6C44776E"/>
    <w:rsid w:val="6C46272D"/>
    <w:rsid w:val="6C4909E0"/>
    <w:rsid w:val="6C496C32"/>
    <w:rsid w:val="6C4A4E69"/>
    <w:rsid w:val="6C4C04D0"/>
    <w:rsid w:val="6C4D202C"/>
    <w:rsid w:val="6C4D6722"/>
    <w:rsid w:val="6C4E5FF7"/>
    <w:rsid w:val="6C5001CC"/>
    <w:rsid w:val="6C523D39"/>
    <w:rsid w:val="6C566E2D"/>
    <w:rsid w:val="6C573D17"/>
    <w:rsid w:val="6C587073"/>
    <w:rsid w:val="6C5922CC"/>
    <w:rsid w:val="6C594E90"/>
    <w:rsid w:val="6C5A69F1"/>
    <w:rsid w:val="6C5B3D73"/>
    <w:rsid w:val="6C5D26DE"/>
    <w:rsid w:val="6C5F0204"/>
    <w:rsid w:val="6C621AA2"/>
    <w:rsid w:val="6C625422"/>
    <w:rsid w:val="6C663340"/>
    <w:rsid w:val="6C692E30"/>
    <w:rsid w:val="6C6B0F56"/>
    <w:rsid w:val="6C6E6699"/>
    <w:rsid w:val="6C707ECB"/>
    <w:rsid w:val="6C711CE5"/>
    <w:rsid w:val="6C7353BC"/>
    <w:rsid w:val="6C7517D5"/>
    <w:rsid w:val="6C7742CC"/>
    <w:rsid w:val="6C782225"/>
    <w:rsid w:val="6C787517"/>
    <w:rsid w:val="6C7A3290"/>
    <w:rsid w:val="6C7B4287"/>
    <w:rsid w:val="6C7D68DC"/>
    <w:rsid w:val="6C7E4B2F"/>
    <w:rsid w:val="6C7F08A6"/>
    <w:rsid w:val="6C81461E"/>
    <w:rsid w:val="6C823EF2"/>
    <w:rsid w:val="6C830396"/>
    <w:rsid w:val="6C865790"/>
    <w:rsid w:val="6C877168"/>
    <w:rsid w:val="6C891725"/>
    <w:rsid w:val="6C8A44EC"/>
    <w:rsid w:val="6C8A6022"/>
    <w:rsid w:val="6C8B724B"/>
    <w:rsid w:val="6C8D2FC3"/>
    <w:rsid w:val="6C9003BD"/>
    <w:rsid w:val="6C922387"/>
    <w:rsid w:val="6C937EAD"/>
    <w:rsid w:val="6C941C77"/>
    <w:rsid w:val="6C950C99"/>
    <w:rsid w:val="6C951E77"/>
    <w:rsid w:val="6C97174C"/>
    <w:rsid w:val="6C975BF0"/>
    <w:rsid w:val="6C9E1AF7"/>
    <w:rsid w:val="6C9F4AA4"/>
    <w:rsid w:val="6CA64085"/>
    <w:rsid w:val="6CA65E33"/>
    <w:rsid w:val="6CA87DFD"/>
    <w:rsid w:val="6CA976D1"/>
    <w:rsid w:val="6CAB3449"/>
    <w:rsid w:val="6CAD546A"/>
    <w:rsid w:val="6CAD6955"/>
    <w:rsid w:val="6CAD765A"/>
    <w:rsid w:val="6CAE2F39"/>
    <w:rsid w:val="6CB00A5F"/>
    <w:rsid w:val="6CB23210"/>
    <w:rsid w:val="6CB26586"/>
    <w:rsid w:val="6CB30550"/>
    <w:rsid w:val="6CB322FE"/>
    <w:rsid w:val="6CB5251A"/>
    <w:rsid w:val="6CB611D0"/>
    <w:rsid w:val="6CBA18DE"/>
    <w:rsid w:val="6CBA7B30"/>
    <w:rsid w:val="6CBC11B2"/>
    <w:rsid w:val="6CBC1713"/>
    <w:rsid w:val="6CBF0CA2"/>
    <w:rsid w:val="6CBF6EF4"/>
    <w:rsid w:val="6CC42093"/>
    <w:rsid w:val="6CC462B9"/>
    <w:rsid w:val="6CC62031"/>
    <w:rsid w:val="6CC664D5"/>
    <w:rsid w:val="6CC8506F"/>
    <w:rsid w:val="6CC91B21"/>
    <w:rsid w:val="6CCB5899"/>
    <w:rsid w:val="6CCD0F97"/>
    <w:rsid w:val="6CD01102"/>
    <w:rsid w:val="6CD04C5E"/>
    <w:rsid w:val="6CD14697"/>
    <w:rsid w:val="6CD25AAA"/>
    <w:rsid w:val="6CD26C28"/>
    <w:rsid w:val="6CD40BF2"/>
    <w:rsid w:val="6CD504C6"/>
    <w:rsid w:val="6CD51C5E"/>
    <w:rsid w:val="6CD74FCF"/>
    <w:rsid w:val="6CD81D64"/>
    <w:rsid w:val="6CD8343A"/>
    <w:rsid w:val="6CD877C3"/>
    <w:rsid w:val="6CD95417"/>
    <w:rsid w:val="6CDB7686"/>
    <w:rsid w:val="6CDC7AA6"/>
    <w:rsid w:val="6CDD6717"/>
    <w:rsid w:val="6CDF6C9B"/>
    <w:rsid w:val="6CE10C19"/>
    <w:rsid w:val="6CE30E35"/>
    <w:rsid w:val="6CE36AAC"/>
    <w:rsid w:val="6CE55E74"/>
    <w:rsid w:val="6CE93F71"/>
    <w:rsid w:val="6CEA21C3"/>
    <w:rsid w:val="6CEB2A7E"/>
    <w:rsid w:val="6CEF1588"/>
    <w:rsid w:val="6CF070AE"/>
    <w:rsid w:val="6CF13C18"/>
    <w:rsid w:val="6CF22E26"/>
    <w:rsid w:val="6CF307A1"/>
    <w:rsid w:val="6CF43042"/>
    <w:rsid w:val="6CF50B68"/>
    <w:rsid w:val="6CFA617E"/>
    <w:rsid w:val="6D036DE1"/>
    <w:rsid w:val="6D082649"/>
    <w:rsid w:val="6D0A4613"/>
    <w:rsid w:val="6D0B3EE8"/>
    <w:rsid w:val="6D0D7C60"/>
    <w:rsid w:val="6D0F39D8"/>
    <w:rsid w:val="6D12171A"/>
    <w:rsid w:val="6D176058"/>
    <w:rsid w:val="6D194848"/>
    <w:rsid w:val="6D194857"/>
    <w:rsid w:val="6D197AEA"/>
    <w:rsid w:val="6D1A231B"/>
    <w:rsid w:val="6D1A237D"/>
    <w:rsid w:val="6D1A412B"/>
    <w:rsid w:val="6D1C4347"/>
    <w:rsid w:val="6D2033A5"/>
    <w:rsid w:val="6D2154B9"/>
    <w:rsid w:val="6D224D4C"/>
    <w:rsid w:val="6D2356D5"/>
    <w:rsid w:val="6D2531FB"/>
    <w:rsid w:val="6D286848"/>
    <w:rsid w:val="6D296BD2"/>
    <w:rsid w:val="6D2B3E12"/>
    <w:rsid w:val="6D2B458A"/>
    <w:rsid w:val="6D2C27DC"/>
    <w:rsid w:val="6D2D2E12"/>
    <w:rsid w:val="6D2F5E28"/>
    <w:rsid w:val="6D341690"/>
    <w:rsid w:val="6D35147C"/>
    <w:rsid w:val="6D3723B5"/>
    <w:rsid w:val="6D372F2F"/>
    <w:rsid w:val="6D374CDD"/>
    <w:rsid w:val="6D381F23"/>
    <w:rsid w:val="6D3A0125"/>
    <w:rsid w:val="6D3B2A1F"/>
    <w:rsid w:val="6D3C0545"/>
    <w:rsid w:val="6D3E1A32"/>
    <w:rsid w:val="6D3E42BD"/>
    <w:rsid w:val="6D417909"/>
    <w:rsid w:val="6D4318D3"/>
    <w:rsid w:val="6D433682"/>
    <w:rsid w:val="6D437B25"/>
    <w:rsid w:val="6D45564C"/>
    <w:rsid w:val="6D495C5A"/>
    <w:rsid w:val="6D4B0788"/>
    <w:rsid w:val="6D4C4C2C"/>
    <w:rsid w:val="6D4D2A68"/>
    <w:rsid w:val="6D4D4500"/>
    <w:rsid w:val="6D52044D"/>
    <w:rsid w:val="6D521B17"/>
    <w:rsid w:val="6D5238C5"/>
    <w:rsid w:val="6D527D69"/>
    <w:rsid w:val="6D54763D"/>
    <w:rsid w:val="6D5533B5"/>
    <w:rsid w:val="6D5605F4"/>
    <w:rsid w:val="6D567859"/>
    <w:rsid w:val="6D594C53"/>
    <w:rsid w:val="6D5B09CB"/>
    <w:rsid w:val="6D5C4743"/>
    <w:rsid w:val="6D5D0BE7"/>
    <w:rsid w:val="6D6261FE"/>
    <w:rsid w:val="6D635AD2"/>
    <w:rsid w:val="6D6368D2"/>
    <w:rsid w:val="6D645D0C"/>
    <w:rsid w:val="6D6630AF"/>
    <w:rsid w:val="6D6630DF"/>
    <w:rsid w:val="6D671A85"/>
    <w:rsid w:val="6D6738F5"/>
    <w:rsid w:val="6D674CF6"/>
    <w:rsid w:val="6D682098"/>
    <w:rsid w:val="6D6B4986"/>
    <w:rsid w:val="6D6F26C8"/>
    <w:rsid w:val="6D702199"/>
    <w:rsid w:val="6D7101EF"/>
    <w:rsid w:val="6D714A7D"/>
    <w:rsid w:val="6D725524"/>
    <w:rsid w:val="6D747CDF"/>
    <w:rsid w:val="6D76267E"/>
    <w:rsid w:val="6D76496F"/>
    <w:rsid w:val="6D77157D"/>
    <w:rsid w:val="6D77332B"/>
    <w:rsid w:val="6D791F9F"/>
    <w:rsid w:val="6D7935F8"/>
    <w:rsid w:val="6D794E90"/>
    <w:rsid w:val="6D7A7510"/>
    <w:rsid w:val="6D7D3037"/>
    <w:rsid w:val="6D81609C"/>
    <w:rsid w:val="6D8223FC"/>
    <w:rsid w:val="6D855A48"/>
    <w:rsid w:val="6D875C64"/>
    <w:rsid w:val="6D877A12"/>
    <w:rsid w:val="6D8819DC"/>
    <w:rsid w:val="6D8A7502"/>
    <w:rsid w:val="6D8D0DA1"/>
    <w:rsid w:val="6D8D0DE5"/>
    <w:rsid w:val="6D8E6FF3"/>
    <w:rsid w:val="6D914840"/>
    <w:rsid w:val="6D924738"/>
    <w:rsid w:val="6D92578D"/>
    <w:rsid w:val="6D965EA7"/>
    <w:rsid w:val="6D98027D"/>
    <w:rsid w:val="6D981C1F"/>
    <w:rsid w:val="6D9914F3"/>
    <w:rsid w:val="6D997745"/>
    <w:rsid w:val="6D9B2D57"/>
    <w:rsid w:val="6D9C00D3"/>
    <w:rsid w:val="6D9C7C33"/>
    <w:rsid w:val="6D9D5488"/>
    <w:rsid w:val="6D9E29F3"/>
    <w:rsid w:val="6DA018DB"/>
    <w:rsid w:val="6DA305C4"/>
    <w:rsid w:val="6DA5433C"/>
    <w:rsid w:val="6DA750E8"/>
    <w:rsid w:val="6DA85BDA"/>
    <w:rsid w:val="6DA87988"/>
    <w:rsid w:val="6DA93E2C"/>
    <w:rsid w:val="6DAD4F9F"/>
    <w:rsid w:val="6DAF4E08"/>
    <w:rsid w:val="6DB12CE1"/>
    <w:rsid w:val="6DB14A8F"/>
    <w:rsid w:val="6DB36A59"/>
    <w:rsid w:val="6DB523BB"/>
    <w:rsid w:val="6DB620A5"/>
    <w:rsid w:val="6DB66549"/>
    <w:rsid w:val="6DB74CDB"/>
    <w:rsid w:val="6DB91B96"/>
    <w:rsid w:val="6DBB3B60"/>
    <w:rsid w:val="6DBB76BC"/>
    <w:rsid w:val="6DBE0F5A"/>
    <w:rsid w:val="6DBE71AC"/>
    <w:rsid w:val="6DC24EEE"/>
    <w:rsid w:val="6DC347C2"/>
    <w:rsid w:val="6DC36570"/>
    <w:rsid w:val="6DC5678C"/>
    <w:rsid w:val="6DC81DD9"/>
    <w:rsid w:val="6DCA3DA3"/>
    <w:rsid w:val="6DCB4F07"/>
    <w:rsid w:val="6DCE00F3"/>
    <w:rsid w:val="6DCF13B9"/>
    <w:rsid w:val="6DCF4F15"/>
    <w:rsid w:val="6DD16EDF"/>
    <w:rsid w:val="6DD30EA9"/>
    <w:rsid w:val="6DD35943"/>
    <w:rsid w:val="6DD46DD3"/>
    <w:rsid w:val="6DD83511"/>
    <w:rsid w:val="6DD91AF0"/>
    <w:rsid w:val="6DD95D94"/>
    <w:rsid w:val="6DDB1B0C"/>
    <w:rsid w:val="6DDB7D59"/>
    <w:rsid w:val="6DDD2C1A"/>
    <w:rsid w:val="6DDD5960"/>
    <w:rsid w:val="6DDE33AA"/>
    <w:rsid w:val="6DE309C1"/>
    <w:rsid w:val="6DE37191"/>
    <w:rsid w:val="6DE94F98"/>
    <w:rsid w:val="6DEA61F3"/>
    <w:rsid w:val="6DEC0D55"/>
    <w:rsid w:val="6DEC6E13"/>
    <w:rsid w:val="6DED471D"/>
    <w:rsid w:val="6DEE183F"/>
    <w:rsid w:val="6DF31506"/>
    <w:rsid w:val="6DF332FA"/>
    <w:rsid w:val="6DF33E11"/>
    <w:rsid w:val="6DF350A8"/>
    <w:rsid w:val="6DF40E20"/>
    <w:rsid w:val="6DF5610C"/>
    <w:rsid w:val="6DF80910"/>
    <w:rsid w:val="6DF901E4"/>
    <w:rsid w:val="6DF943C9"/>
    <w:rsid w:val="6DFA4688"/>
    <w:rsid w:val="6DFA6436"/>
    <w:rsid w:val="6DFB21AE"/>
    <w:rsid w:val="6DFD489E"/>
    <w:rsid w:val="6DFE5E04"/>
    <w:rsid w:val="6DFF1C9E"/>
    <w:rsid w:val="6E041063"/>
    <w:rsid w:val="6E0411A2"/>
    <w:rsid w:val="6E057057"/>
    <w:rsid w:val="6E072901"/>
    <w:rsid w:val="6E076DA5"/>
    <w:rsid w:val="6E0830F2"/>
    <w:rsid w:val="6E0B3AA9"/>
    <w:rsid w:val="6E0C43BB"/>
    <w:rsid w:val="6E0C760F"/>
    <w:rsid w:val="6E100C1B"/>
    <w:rsid w:val="6E1312A6"/>
    <w:rsid w:val="6E162B44"/>
    <w:rsid w:val="6E18241F"/>
    <w:rsid w:val="6E184B0E"/>
    <w:rsid w:val="6E19797F"/>
    <w:rsid w:val="6E1A0886"/>
    <w:rsid w:val="6E1B015A"/>
    <w:rsid w:val="6E1C12B7"/>
    <w:rsid w:val="6E1E4550"/>
    <w:rsid w:val="6E1E747F"/>
    <w:rsid w:val="6E264F3A"/>
    <w:rsid w:val="6E2C2368"/>
    <w:rsid w:val="6E2C7DFF"/>
    <w:rsid w:val="6E2E0A64"/>
    <w:rsid w:val="6E2E4332"/>
    <w:rsid w:val="6E2E4EEF"/>
    <w:rsid w:val="6E2E60E0"/>
    <w:rsid w:val="6E315BD0"/>
    <w:rsid w:val="6E337B9A"/>
    <w:rsid w:val="6E3410F6"/>
    <w:rsid w:val="6E34121C"/>
    <w:rsid w:val="6E354A69"/>
    <w:rsid w:val="6E3631E6"/>
    <w:rsid w:val="6E366354"/>
    <w:rsid w:val="6E377600"/>
    <w:rsid w:val="6E3A0F28"/>
    <w:rsid w:val="6E3A5F0F"/>
    <w:rsid w:val="6E3B1A16"/>
    <w:rsid w:val="6E3B25AB"/>
    <w:rsid w:val="6E3C1251"/>
    <w:rsid w:val="6E453429"/>
    <w:rsid w:val="6E46167B"/>
    <w:rsid w:val="6E4678CD"/>
    <w:rsid w:val="6E472888"/>
    <w:rsid w:val="6E4753F3"/>
    <w:rsid w:val="6E4771A1"/>
    <w:rsid w:val="6E4A58C8"/>
    <w:rsid w:val="6E4B6F06"/>
    <w:rsid w:val="6E4C7188"/>
    <w:rsid w:val="6E5378F4"/>
    <w:rsid w:val="6E5518BE"/>
    <w:rsid w:val="6E5A5127"/>
    <w:rsid w:val="6E5B2C4D"/>
    <w:rsid w:val="6E5F098F"/>
    <w:rsid w:val="6E5F273D"/>
    <w:rsid w:val="6E5F44EB"/>
    <w:rsid w:val="6E625A93"/>
    <w:rsid w:val="6E625D89"/>
    <w:rsid w:val="6E65267E"/>
    <w:rsid w:val="6E6733A0"/>
    <w:rsid w:val="6E677844"/>
    <w:rsid w:val="6E680717"/>
    <w:rsid w:val="6E697118"/>
    <w:rsid w:val="6E6A40D6"/>
    <w:rsid w:val="6E6B10E2"/>
    <w:rsid w:val="6E6C4E5A"/>
    <w:rsid w:val="6E6D01C7"/>
    <w:rsid w:val="6E6E472E"/>
    <w:rsid w:val="6E710C21"/>
    <w:rsid w:val="6E71421E"/>
    <w:rsid w:val="6E7206C2"/>
    <w:rsid w:val="6E755ABD"/>
    <w:rsid w:val="6E7D7067"/>
    <w:rsid w:val="6E7E0654"/>
    <w:rsid w:val="6E7E30C2"/>
    <w:rsid w:val="6E7F2DDF"/>
    <w:rsid w:val="6E7F693B"/>
    <w:rsid w:val="6E801591"/>
    <w:rsid w:val="6E8126B3"/>
    <w:rsid w:val="6E8403F6"/>
    <w:rsid w:val="6E847687"/>
    <w:rsid w:val="6E860B3B"/>
    <w:rsid w:val="6E865F1C"/>
    <w:rsid w:val="6E881C94"/>
    <w:rsid w:val="6E890338"/>
    <w:rsid w:val="6E8B48F3"/>
    <w:rsid w:val="6E8C4383"/>
    <w:rsid w:val="6E8C5829"/>
    <w:rsid w:val="6E8E1376"/>
    <w:rsid w:val="6E8E63AE"/>
    <w:rsid w:val="6E8F20B9"/>
    <w:rsid w:val="6E9028F6"/>
    <w:rsid w:val="6E906D9A"/>
    <w:rsid w:val="6E91041D"/>
    <w:rsid w:val="6E934195"/>
    <w:rsid w:val="6E95615F"/>
    <w:rsid w:val="6E9817AB"/>
    <w:rsid w:val="6E9862AC"/>
    <w:rsid w:val="6E9879FD"/>
    <w:rsid w:val="6E9A3189"/>
    <w:rsid w:val="6E9C129B"/>
    <w:rsid w:val="6E9F2B3A"/>
    <w:rsid w:val="6E9F6FDD"/>
    <w:rsid w:val="6EA2087C"/>
    <w:rsid w:val="6EA35E84"/>
    <w:rsid w:val="6EA36ACE"/>
    <w:rsid w:val="6EA476A6"/>
    <w:rsid w:val="6EA57B32"/>
    <w:rsid w:val="6EA6211A"/>
    <w:rsid w:val="6EA75E92"/>
    <w:rsid w:val="6EA97922"/>
    <w:rsid w:val="6EAB7730"/>
    <w:rsid w:val="6EAC5256"/>
    <w:rsid w:val="6EAE4965"/>
    <w:rsid w:val="6EAE7221"/>
    <w:rsid w:val="6EB04D47"/>
    <w:rsid w:val="6EB32A89"/>
    <w:rsid w:val="6EB365E5"/>
    <w:rsid w:val="6EB760D5"/>
    <w:rsid w:val="6EB81A3F"/>
    <w:rsid w:val="6EB81E4D"/>
    <w:rsid w:val="6EB83BFB"/>
    <w:rsid w:val="6EB84DF6"/>
    <w:rsid w:val="6EBA302C"/>
    <w:rsid w:val="6EBA5F8A"/>
    <w:rsid w:val="6EBC193D"/>
    <w:rsid w:val="6EBD6BCC"/>
    <w:rsid w:val="6EBD7464"/>
    <w:rsid w:val="6EBE7228"/>
    <w:rsid w:val="6EBF31DC"/>
    <w:rsid w:val="6EBF4F8A"/>
    <w:rsid w:val="6EBF6A0B"/>
    <w:rsid w:val="6EC10D02"/>
    <w:rsid w:val="6EC151A6"/>
    <w:rsid w:val="6EC52C73"/>
    <w:rsid w:val="6EC64279"/>
    <w:rsid w:val="6EC72090"/>
    <w:rsid w:val="6EC86534"/>
    <w:rsid w:val="6EC9147E"/>
    <w:rsid w:val="6EC9405A"/>
    <w:rsid w:val="6ECA6C5B"/>
    <w:rsid w:val="6ECB182C"/>
    <w:rsid w:val="6ECC76A7"/>
    <w:rsid w:val="6ECE2487"/>
    <w:rsid w:val="6ECF12F1"/>
    <w:rsid w:val="6ED00F45"/>
    <w:rsid w:val="6ED30A35"/>
    <w:rsid w:val="6ED529FF"/>
    <w:rsid w:val="6ED82236"/>
    <w:rsid w:val="6EDA0016"/>
    <w:rsid w:val="6EDA5D29"/>
    <w:rsid w:val="6EDC27B1"/>
    <w:rsid w:val="6EDC5B3C"/>
    <w:rsid w:val="6EDD0ED1"/>
    <w:rsid w:val="6EDD3662"/>
    <w:rsid w:val="6EDE2CAE"/>
    <w:rsid w:val="6EDE7B06"/>
    <w:rsid w:val="6EE025C2"/>
    <w:rsid w:val="6EE028B7"/>
    <w:rsid w:val="6EE036BB"/>
    <w:rsid w:val="6EE24726"/>
    <w:rsid w:val="6EE3336E"/>
    <w:rsid w:val="6EE3511C"/>
    <w:rsid w:val="6EE42C42"/>
    <w:rsid w:val="6EE60768"/>
    <w:rsid w:val="6EE705F1"/>
    <w:rsid w:val="6EE70955"/>
    <w:rsid w:val="6EE76183"/>
    <w:rsid w:val="6EEA247C"/>
    <w:rsid w:val="6EEA5EC2"/>
    <w:rsid w:val="6EF00976"/>
    <w:rsid w:val="6EF13B07"/>
    <w:rsid w:val="6EF235B1"/>
    <w:rsid w:val="6EF2535F"/>
    <w:rsid w:val="6EF31311"/>
    <w:rsid w:val="6EF47A62"/>
    <w:rsid w:val="6EF94940"/>
    <w:rsid w:val="6EF957F8"/>
    <w:rsid w:val="6EFC4430"/>
    <w:rsid w:val="6EFC61DE"/>
    <w:rsid w:val="6EFF1C82"/>
    <w:rsid w:val="6EFF5CCE"/>
    <w:rsid w:val="6F0155A2"/>
    <w:rsid w:val="6F020397"/>
    <w:rsid w:val="6F06705D"/>
    <w:rsid w:val="6F082A05"/>
    <w:rsid w:val="6F082DD5"/>
    <w:rsid w:val="6F094457"/>
    <w:rsid w:val="6F0A08FB"/>
    <w:rsid w:val="6F0B6CBF"/>
    <w:rsid w:val="6F0C6A0E"/>
    <w:rsid w:val="6F0D5F20"/>
    <w:rsid w:val="6F0F4163"/>
    <w:rsid w:val="6F0F5516"/>
    <w:rsid w:val="6F0F5F11"/>
    <w:rsid w:val="6F11681F"/>
    <w:rsid w:val="6F145C7D"/>
    <w:rsid w:val="6F15104E"/>
    <w:rsid w:val="6F152DFC"/>
    <w:rsid w:val="6F183579"/>
    <w:rsid w:val="6F196D90"/>
    <w:rsid w:val="6F1C062E"/>
    <w:rsid w:val="6F1C6503"/>
    <w:rsid w:val="6F1C77E1"/>
    <w:rsid w:val="6F1F65C5"/>
    <w:rsid w:val="6F217867"/>
    <w:rsid w:val="6F23376B"/>
    <w:rsid w:val="6F263C26"/>
    <w:rsid w:val="6F280D81"/>
    <w:rsid w:val="6F282D15"/>
    <w:rsid w:val="6F2A334D"/>
    <w:rsid w:val="6F2A4AF9"/>
    <w:rsid w:val="6F2B0871"/>
    <w:rsid w:val="6F2B261F"/>
    <w:rsid w:val="6F2B6AC3"/>
    <w:rsid w:val="6F2C53EA"/>
    <w:rsid w:val="6F3040D9"/>
    <w:rsid w:val="6F316A46"/>
    <w:rsid w:val="6F324FEC"/>
    <w:rsid w:val="6F342420"/>
    <w:rsid w:val="6F347726"/>
    <w:rsid w:val="6F3507EB"/>
    <w:rsid w:val="6F35524C"/>
    <w:rsid w:val="6F370FC4"/>
    <w:rsid w:val="6F375468"/>
    <w:rsid w:val="6F3859F4"/>
    <w:rsid w:val="6F3A0A5C"/>
    <w:rsid w:val="6F3A0AB4"/>
    <w:rsid w:val="6F3B6D06"/>
    <w:rsid w:val="6F433E0D"/>
    <w:rsid w:val="6F437969"/>
    <w:rsid w:val="6F464484"/>
    <w:rsid w:val="6F4656AB"/>
    <w:rsid w:val="6F465952"/>
    <w:rsid w:val="6F481423"/>
    <w:rsid w:val="6F4B2A10"/>
    <w:rsid w:val="6F4B2CC1"/>
    <w:rsid w:val="6F530252"/>
    <w:rsid w:val="6F541B76"/>
    <w:rsid w:val="6F54601A"/>
    <w:rsid w:val="6F563B40"/>
    <w:rsid w:val="6F571666"/>
    <w:rsid w:val="6F5A2F04"/>
    <w:rsid w:val="6F5A4D44"/>
    <w:rsid w:val="6F5B1156"/>
    <w:rsid w:val="6F5B73A8"/>
    <w:rsid w:val="6F5C0A2B"/>
    <w:rsid w:val="6F5C6C7D"/>
    <w:rsid w:val="6F5F0EF2"/>
    <w:rsid w:val="6F6049BF"/>
    <w:rsid w:val="6F631DB9"/>
    <w:rsid w:val="6F636421"/>
    <w:rsid w:val="6F645EE2"/>
    <w:rsid w:val="6F6675D0"/>
    <w:rsid w:val="6F675D4D"/>
    <w:rsid w:val="6F683873"/>
    <w:rsid w:val="6F6A106F"/>
    <w:rsid w:val="6F6A75EB"/>
    <w:rsid w:val="6F6C3363"/>
    <w:rsid w:val="6F71097A"/>
    <w:rsid w:val="6F72024E"/>
    <w:rsid w:val="6F743FC6"/>
    <w:rsid w:val="6F745D74"/>
    <w:rsid w:val="6F755B11"/>
    <w:rsid w:val="6F767D3E"/>
    <w:rsid w:val="6F793E6F"/>
    <w:rsid w:val="6F795A80"/>
    <w:rsid w:val="6F7A01AD"/>
    <w:rsid w:val="6F7B35A7"/>
    <w:rsid w:val="6F7E589F"/>
    <w:rsid w:val="6F80296B"/>
    <w:rsid w:val="6F83245B"/>
    <w:rsid w:val="6F84252A"/>
    <w:rsid w:val="6F852F91"/>
    <w:rsid w:val="6F857F81"/>
    <w:rsid w:val="6F86531E"/>
    <w:rsid w:val="6F885CC3"/>
    <w:rsid w:val="6F891A3B"/>
    <w:rsid w:val="6F8B4932"/>
    <w:rsid w:val="6F8D5088"/>
    <w:rsid w:val="6F912DCA"/>
    <w:rsid w:val="6F920CFF"/>
    <w:rsid w:val="6F92269E"/>
    <w:rsid w:val="6F942F44"/>
    <w:rsid w:val="6F9603E0"/>
    <w:rsid w:val="6F972386"/>
    <w:rsid w:val="6F977B87"/>
    <w:rsid w:val="6F99049D"/>
    <w:rsid w:val="6F9A3937"/>
    <w:rsid w:val="6F9A42D9"/>
    <w:rsid w:val="6F9A795C"/>
    <w:rsid w:val="6F9B77A5"/>
    <w:rsid w:val="6F9C08DE"/>
    <w:rsid w:val="6F9E2AEE"/>
    <w:rsid w:val="6FA128E1"/>
    <w:rsid w:val="6FA36659"/>
    <w:rsid w:val="6FA50623"/>
    <w:rsid w:val="6FA63014"/>
    <w:rsid w:val="6FA80B0C"/>
    <w:rsid w:val="6FAA342C"/>
    <w:rsid w:val="6FAD1286"/>
    <w:rsid w:val="6FAF2EFE"/>
    <w:rsid w:val="6FAF3250"/>
    <w:rsid w:val="6FAF4FFE"/>
    <w:rsid w:val="6FB16F5C"/>
    <w:rsid w:val="6FB2304E"/>
    <w:rsid w:val="6FB70357"/>
    <w:rsid w:val="6FB90798"/>
    <w:rsid w:val="6FB91A91"/>
    <w:rsid w:val="6FB968F9"/>
    <w:rsid w:val="6FB97C2B"/>
    <w:rsid w:val="6FBB0776"/>
    <w:rsid w:val="6FBD3BBF"/>
    <w:rsid w:val="6FBD596D"/>
    <w:rsid w:val="6FBE3493"/>
    <w:rsid w:val="6FC0720B"/>
    <w:rsid w:val="6FC14D32"/>
    <w:rsid w:val="6FC22F83"/>
    <w:rsid w:val="6FC3302A"/>
    <w:rsid w:val="6FC50568"/>
    <w:rsid w:val="6FC52A74"/>
    <w:rsid w:val="6FC63139"/>
    <w:rsid w:val="6FC75525"/>
    <w:rsid w:val="6FC84312"/>
    <w:rsid w:val="6FCA1E38"/>
    <w:rsid w:val="6FCC3E02"/>
    <w:rsid w:val="6FCC795E"/>
    <w:rsid w:val="6FCD36D6"/>
    <w:rsid w:val="6FCF3CB7"/>
    <w:rsid w:val="6FD05147"/>
    <w:rsid w:val="6FD3088D"/>
    <w:rsid w:val="6FD35191"/>
    <w:rsid w:val="6FD64C81"/>
    <w:rsid w:val="6FD76303"/>
    <w:rsid w:val="6FD86214"/>
    <w:rsid w:val="6FDA6AB6"/>
    <w:rsid w:val="6FDB4045"/>
    <w:rsid w:val="6FDB5DF3"/>
    <w:rsid w:val="6FDE3B35"/>
    <w:rsid w:val="6FDF4FC4"/>
    <w:rsid w:val="6FE0340A"/>
    <w:rsid w:val="6FE078AE"/>
    <w:rsid w:val="6FE42753"/>
    <w:rsid w:val="6FE468F4"/>
    <w:rsid w:val="6FE51CF0"/>
    <w:rsid w:val="6FE532F1"/>
    <w:rsid w:val="6FE56C72"/>
    <w:rsid w:val="6FE86762"/>
    <w:rsid w:val="6FE95CEE"/>
    <w:rsid w:val="6FEF189F"/>
    <w:rsid w:val="6FF00FE8"/>
    <w:rsid w:val="6FF9096F"/>
    <w:rsid w:val="6FFB6928"/>
    <w:rsid w:val="6FFC5531"/>
    <w:rsid w:val="6FFE1AE2"/>
    <w:rsid w:val="6FFE5F86"/>
    <w:rsid w:val="6FFF0637"/>
    <w:rsid w:val="7000585A"/>
    <w:rsid w:val="70020F87"/>
    <w:rsid w:val="7004359C"/>
    <w:rsid w:val="700A7EA9"/>
    <w:rsid w:val="700B40AB"/>
    <w:rsid w:val="700C4E6D"/>
    <w:rsid w:val="7012558D"/>
    <w:rsid w:val="70161F87"/>
    <w:rsid w:val="7017503A"/>
    <w:rsid w:val="70183AB3"/>
    <w:rsid w:val="701A4133"/>
    <w:rsid w:val="701D01BA"/>
    <w:rsid w:val="70240EF4"/>
    <w:rsid w:val="70251764"/>
    <w:rsid w:val="7025763E"/>
    <w:rsid w:val="70270861"/>
    <w:rsid w:val="70271038"/>
    <w:rsid w:val="70280693"/>
    <w:rsid w:val="70296F3F"/>
    <w:rsid w:val="702A0B29"/>
    <w:rsid w:val="702B176E"/>
    <w:rsid w:val="702E0619"/>
    <w:rsid w:val="702E686B"/>
    <w:rsid w:val="702F613F"/>
    <w:rsid w:val="703419A7"/>
    <w:rsid w:val="7035021F"/>
    <w:rsid w:val="70362979"/>
    <w:rsid w:val="703642F5"/>
    <w:rsid w:val="70370356"/>
    <w:rsid w:val="70383246"/>
    <w:rsid w:val="70393070"/>
    <w:rsid w:val="703A6FBE"/>
    <w:rsid w:val="703B2D36"/>
    <w:rsid w:val="703B4AE4"/>
    <w:rsid w:val="703D085C"/>
    <w:rsid w:val="703F2602"/>
    <w:rsid w:val="70425469"/>
    <w:rsid w:val="704774D5"/>
    <w:rsid w:val="70485B31"/>
    <w:rsid w:val="70485CE6"/>
    <w:rsid w:val="704936A5"/>
    <w:rsid w:val="705838E8"/>
    <w:rsid w:val="70587BED"/>
    <w:rsid w:val="705A71B0"/>
    <w:rsid w:val="705D4A5A"/>
    <w:rsid w:val="70607777"/>
    <w:rsid w:val="70622071"/>
    <w:rsid w:val="706342EF"/>
    <w:rsid w:val="7064228D"/>
    <w:rsid w:val="70650D10"/>
    <w:rsid w:val="7066064A"/>
    <w:rsid w:val="70673B2B"/>
    <w:rsid w:val="70716DA6"/>
    <w:rsid w:val="707308BB"/>
    <w:rsid w:val="70744BA6"/>
    <w:rsid w:val="70781894"/>
    <w:rsid w:val="70790236"/>
    <w:rsid w:val="707A1AB0"/>
    <w:rsid w:val="707B23F7"/>
    <w:rsid w:val="707D1F03"/>
    <w:rsid w:val="707D334E"/>
    <w:rsid w:val="707F31B6"/>
    <w:rsid w:val="707F5E5A"/>
    <w:rsid w:val="70812E3F"/>
    <w:rsid w:val="70826EAE"/>
    <w:rsid w:val="70832E1C"/>
    <w:rsid w:val="708446DD"/>
    <w:rsid w:val="70862203"/>
    <w:rsid w:val="70877D29"/>
    <w:rsid w:val="708B6419"/>
    <w:rsid w:val="708D6817"/>
    <w:rsid w:val="70901563"/>
    <w:rsid w:val="70904E30"/>
    <w:rsid w:val="709366CE"/>
    <w:rsid w:val="70952DD2"/>
    <w:rsid w:val="70981F36"/>
    <w:rsid w:val="70993893"/>
    <w:rsid w:val="70993EA4"/>
    <w:rsid w:val="709A5CAE"/>
    <w:rsid w:val="709B37D5"/>
    <w:rsid w:val="709B59C5"/>
    <w:rsid w:val="709C277B"/>
    <w:rsid w:val="709D1149"/>
    <w:rsid w:val="709E0994"/>
    <w:rsid w:val="709E70F3"/>
    <w:rsid w:val="709F32C5"/>
    <w:rsid w:val="70A019DF"/>
    <w:rsid w:val="70A032B4"/>
    <w:rsid w:val="70A22DB5"/>
    <w:rsid w:val="70A42689"/>
    <w:rsid w:val="70A67126"/>
    <w:rsid w:val="70A72179"/>
    <w:rsid w:val="70A73F27"/>
    <w:rsid w:val="70AC4FD4"/>
    <w:rsid w:val="70AE175A"/>
    <w:rsid w:val="70B0102E"/>
    <w:rsid w:val="70B12FF8"/>
    <w:rsid w:val="70B34FC2"/>
    <w:rsid w:val="70B54896"/>
    <w:rsid w:val="70B60224"/>
    <w:rsid w:val="70B623BC"/>
    <w:rsid w:val="70B65B38"/>
    <w:rsid w:val="70B84386"/>
    <w:rsid w:val="70BA00FF"/>
    <w:rsid w:val="70BA1EAD"/>
    <w:rsid w:val="70BB2177"/>
    <w:rsid w:val="70BB79D3"/>
    <w:rsid w:val="70BB7C1A"/>
    <w:rsid w:val="70BC6BDD"/>
    <w:rsid w:val="70BD7BEF"/>
    <w:rsid w:val="70BF5715"/>
    <w:rsid w:val="70C1323B"/>
    <w:rsid w:val="70C64CF5"/>
    <w:rsid w:val="70CD22D0"/>
    <w:rsid w:val="70CE6331"/>
    <w:rsid w:val="70D2369A"/>
    <w:rsid w:val="70D540F2"/>
    <w:rsid w:val="70D62E1A"/>
    <w:rsid w:val="70D67923"/>
    <w:rsid w:val="70D80585"/>
    <w:rsid w:val="70D84288"/>
    <w:rsid w:val="70D96BE4"/>
    <w:rsid w:val="70DB74A5"/>
    <w:rsid w:val="70DE5E26"/>
    <w:rsid w:val="70E21403"/>
    <w:rsid w:val="70E4517B"/>
    <w:rsid w:val="70E51DA8"/>
    <w:rsid w:val="70E909E4"/>
    <w:rsid w:val="70EB02B8"/>
    <w:rsid w:val="70EB475C"/>
    <w:rsid w:val="70EB650A"/>
    <w:rsid w:val="70EB6E44"/>
    <w:rsid w:val="70ED4030"/>
    <w:rsid w:val="70EF3E1D"/>
    <w:rsid w:val="70F25AEA"/>
    <w:rsid w:val="70F3716D"/>
    <w:rsid w:val="70F465CD"/>
    <w:rsid w:val="70F467DE"/>
    <w:rsid w:val="70F51137"/>
    <w:rsid w:val="70F638CB"/>
    <w:rsid w:val="70F76C5D"/>
    <w:rsid w:val="70F829D5"/>
    <w:rsid w:val="70F84783"/>
    <w:rsid w:val="70FB7041"/>
    <w:rsid w:val="70FF3D63"/>
    <w:rsid w:val="71022650"/>
    <w:rsid w:val="71025602"/>
    <w:rsid w:val="71033854"/>
    <w:rsid w:val="71033AE0"/>
    <w:rsid w:val="7107545B"/>
    <w:rsid w:val="710B2708"/>
    <w:rsid w:val="710C74BB"/>
    <w:rsid w:val="711C01E4"/>
    <w:rsid w:val="711D0999"/>
    <w:rsid w:val="711D243B"/>
    <w:rsid w:val="711E68DF"/>
    <w:rsid w:val="711F4406"/>
    <w:rsid w:val="71213CDA"/>
    <w:rsid w:val="71233EF6"/>
    <w:rsid w:val="71237A52"/>
    <w:rsid w:val="712A1F88"/>
    <w:rsid w:val="712B4B58"/>
    <w:rsid w:val="712D267F"/>
    <w:rsid w:val="712F3172"/>
    <w:rsid w:val="71324139"/>
    <w:rsid w:val="71371818"/>
    <w:rsid w:val="713734FD"/>
    <w:rsid w:val="71374018"/>
    <w:rsid w:val="713752AB"/>
    <w:rsid w:val="71381023"/>
    <w:rsid w:val="71397275"/>
    <w:rsid w:val="7140235F"/>
    <w:rsid w:val="714125CE"/>
    <w:rsid w:val="71445C1A"/>
    <w:rsid w:val="714479C8"/>
    <w:rsid w:val="71453E6C"/>
    <w:rsid w:val="714874B8"/>
    <w:rsid w:val="714B6FA9"/>
    <w:rsid w:val="714D0F73"/>
    <w:rsid w:val="714F4CEB"/>
    <w:rsid w:val="714F6A99"/>
    <w:rsid w:val="71500A63"/>
    <w:rsid w:val="71520337"/>
    <w:rsid w:val="71526589"/>
    <w:rsid w:val="71573B9F"/>
    <w:rsid w:val="7157594D"/>
    <w:rsid w:val="71593474"/>
    <w:rsid w:val="715B0859"/>
    <w:rsid w:val="715C2AFE"/>
    <w:rsid w:val="715E2D17"/>
    <w:rsid w:val="715F579E"/>
    <w:rsid w:val="7160306C"/>
    <w:rsid w:val="716156F9"/>
    <w:rsid w:val="71630796"/>
    <w:rsid w:val="716342F2"/>
    <w:rsid w:val="7164006A"/>
    <w:rsid w:val="71665B90"/>
    <w:rsid w:val="71675760"/>
    <w:rsid w:val="71690025"/>
    <w:rsid w:val="7169030C"/>
    <w:rsid w:val="716A5681"/>
    <w:rsid w:val="716F783D"/>
    <w:rsid w:val="71744751"/>
    <w:rsid w:val="717604C9"/>
    <w:rsid w:val="71762F3D"/>
    <w:rsid w:val="717B7C74"/>
    <w:rsid w:val="717C1858"/>
    <w:rsid w:val="717E112C"/>
    <w:rsid w:val="71804EA4"/>
    <w:rsid w:val="71810F15"/>
    <w:rsid w:val="71834994"/>
    <w:rsid w:val="71836406"/>
    <w:rsid w:val="71844269"/>
    <w:rsid w:val="71881FAB"/>
    <w:rsid w:val="718A7AD1"/>
    <w:rsid w:val="718C1A9B"/>
    <w:rsid w:val="718D4739"/>
    <w:rsid w:val="71933BEE"/>
    <w:rsid w:val="71941F5C"/>
    <w:rsid w:val="719721EE"/>
    <w:rsid w:val="719941B8"/>
    <w:rsid w:val="71997D14"/>
    <w:rsid w:val="719B705D"/>
    <w:rsid w:val="719E6957"/>
    <w:rsid w:val="719F1C9B"/>
    <w:rsid w:val="719F4E58"/>
    <w:rsid w:val="71A02EE6"/>
    <w:rsid w:val="71A14E1B"/>
    <w:rsid w:val="71A24A5D"/>
    <w:rsid w:val="71A411A4"/>
    <w:rsid w:val="71A52B5D"/>
    <w:rsid w:val="71A5490B"/>
    <w:rsid w:val="71A558AC"/>
    <w:rsid w:val="71A66D7B"/>
    <w:rsid w:val="71A768D5"/>
    <w:rsid w:val="71AF12E6"/>
    <w:rsid w:val="71B132B0"/>
    <w:rsid w:val="71B2527A"/>
    <w:rsid w:val="71B42DA0"/>
    <w:rsid w:val="71B44B4E"/>
    <w:rsid w:val="71B45E73"/>
    <w:rsid w:val="71B50581"/>
    <w:rsid w:val="71B52674"/>
    <w:rsid w:val="71B8780A"/>
    <w:rsid w:val="71B903B6"/>
    <w:rsid w:val="71BA2F54"/>
    <w:rsid w:val="71BC1C54"/>
    <w:rsid w:val="71BC4782"/>
    <w:rsid w:val="71BE777B"/>
    <w:rsid w:val="71C01745"/>
    <w:rsid w:val="71C034F3"/>
    <w:rsid w:val="71C519EE"/>
    <w:rsid w:val="71C54785"/>
    <w:rsid w:val="71C74DEB"/>
    <w:rsid w:val="71CB1E97"/>
    <w:rsid w:val="71CD20B4"/>
    <w:rsid w:val="71D11051"/>
    <w:rsid w:val="71D1309A"/>
    <w:rsid w:val="71D1496D"/>
    <w:rsid w:val="71D43929"/>
    <w:rsid w:val="71D64AC4"/>
    <w:rsid w:val="71D7083C"/>
    <w:rsid w:val="71D84CE0"/>
    <w:rsid w:val="71DA2715"/>
    <w:rsid w:val="71DB20DB"/>
    <w:rsid w:val="71DD152F"/>
    <w:rsid w:val="71DD4DB3"/>
    <w:rsid w:val="71DD6189"/>
    <w:rsid w:val="71DE606F"/>
    <w:rsid w:val="71DF4422"/>
    <w:rsid w:val="71E03B95"/>
    <w:rsid w:val="71E05943"/>
    <w:rsid w:val="71E0790E"/>
    <w:rsid w:val="71E116BB"/>
    <w:rsid w:val="71E35433"/>
    <w:rsid w:val="71E52F59"/>
    <w:rsid w:val="71EB2202"/>
    <w:rsid w:val="71EF3FF7"/>
    <w:rsid w:val="71F17B50"/>
    <w:rsid w:val="71F238C8"/>
    <w:rsid w:val="71F45626"/>
    <w:rsid w:val="71F716C4"/>
    <w:rsid w:val="71F80EDE"/>
    <w:rsid w:val="71F920D5"/>
    <w:rsid w:val="71F96A05"/>
    <w:rsid w:val="71FC5539"/>
    <w:rsid w:val="71FF7CE7"/>
    <w:rsid w:val="72005FE5"/>
    <w:rsid w:val="720244D3"/>
    <w:rsid w:val="72031631"/>
    <w:rsid w:val="72035AD5"/>
    <w:rsid w:val="720553A9"/>
    <w:rsid w:val="72062ED0"/>
    <w:rsid w:val="7209630A"/>
    <w:rsid w:val="720A0C12"/>
    <w:rsid w:val="720C16A4"/>
    <w:rsid w:val="720C498A"/>
    <w:rsid w:val="72104BA7"/>
    <w:rsid w:val="72113D4E"/>
    <w:rsid w:val="72114604"/>
    <w:rsid w:val="72140981"/>
    <w:rsid w:val="7216360B"/>
    <w:rsid w:val="72192C03"/>
    <w:rsid w:val="721C1589"/>
    <w:rsid w:val="721C2FA2"/>
    <w:rsid w:val="721C4480"/>
    <w:rsid w:val="721D18D3"/>
    <w:rsid w:val="72233A82"/>
    <w:rsid w:val="722515A8"/>
    <w:rsid w:val="72253C9E"/>
    <w:rsid w:val="722577FA"/>
    <w:rsid w:val="72267CE5"/>
    <w:rsid w:val="72273572"/>
    <w:rsid w:val="72282E5A"/>
    <w:rsid w:val="722C6DDA"/>
    <w:rsid w:val="722D6D0B"/>
    <w:rsid w:val="722E438B"/>
    <w:rsid w:val="722F68B9"/>
    <w:rsid w:val="72321761"/>
    <w:rsid w:val="72337E0B"/>
    <w:rsid w:val="72345C8F"/>
    <w:rsid w:val="72356ABA"/>
    <w:rsid w:val="7238752D"/>
    <w:rsid w:val="723F4C6C"/>
    <w:rsid w:val="72402885"/>
    <w:rsid w:val="72402D78"/>
    <w:rsid w:val="724063E2"/>
    <w:rsid w:val="7240783D"/>
    <w:rsid w:val="72444124"/>
    <w:rsid w:val="724815F5"/>
    <w:rsid w:val="724C4D86"/>
    <w:rsid w:val="724E4FA2"/>
    <w:rsid w:val="724E6D50"/>
    <w:rsid w:val="725107C2"/>
    <w:rsid w:val="72536115"/>
    <w:rsid w:val="72556331"/>
    <w:rsid w:val="725620A9"/>
    <w:rsid w:val="72565C05"/>
    <w:rsid w:val="72586EDA"/>
    <w:rsid w:val="725B2D60"/>
    <w:rsid w:val="725E6519"/>
    <w:rsid w:val="72606A84"/>
    <w:rsid w:val="726447C6"/>
    <w:rsid w:val="726551C5"/>
    <w:rsid w:val="72661558"/>
    <w:rsid w:val="72674440"/>
    <w:rsid w:val="72676064"/>
    <w:rsid w:val="72683B1C"/>
    <w:rsid w:val="726B6EC5"/>
    <w:rsid w:val="726C03A9"/>
    <w:rsid w:val="726C53CA"/>
    <w:rsid w:val="726E0878"/>
    <w:rsid w:val="727051DB"/>
    <w:rsid w:val="7270708A"/>
    <w:rsid w:val="72707DAC"/>
    <w:rsid w:val="72730565"/>
    <w:rsid w:val="727367B7"/>
    <w:rsid w:val="72753FCA"/>
    <w:rsid w:val="72764ADA"/>
    <w:rsid w:val="7278201F"/>
    <w:rsid w:val="72787113"/>
    <w:rsid w:val="727B566C"/>
    <w:rsid w:val="727D53BF"/>
    <w:rsid w:val="727D5888"/>
    <w:rsid w:val="727E4DDB"/>
    <w:rsid w:val="72800AE6"/>
    <w:rsid w:val="72807126"/>
    <w:rsid w:val="7284105E"/>
    <w:rsid w:val="72842772"/>
    <w:rsid w:val="728A58AF"/>
    <w:rsid w:val="728E1843"/>
    <w:rsid w:val="72907369"/>
    <w:rsid w:val="72936E59"/>
    <w:rsid w:val="7294672D"/>
    <w:rsid w:val="7295497F"/>
    <w:rsid w:val="729A4A41"/>
    <w:rsid w:val="729A6EF8"/>
    <w:rsid w:val="729B5D0E"/>
    <w:rsid w:val="729D55E2"/>
    <w:rsid w:val="729F135A"/>
    <w:rsid w:val="729F57FE"/>
    <w:rsid w:val="72A03324"/>
    <w:rsid w:val="72A44BC2"/>
    <w:rsid w:val="72A45C65"/>
    <w:rsid w:val="72A46970"/>
    <w:rsid w:val="72A66B8C"/>
    <w:rsid w:val="72A93F87"/>
    <w:rsid w:val="72AE5A41"/>
    <w:rsid w:val="72B21867"/>
    <w:rsid w:val="72B433A5"/>
    <w:rsid w:val="72B62B48"/>
    <w:rsid w:val="72B648F6"/>
    <w:rsid w:val="72B8066E"/>
    <w:rsid w:val="72BB45AB"/>
    <w:rsid w:val="72BD2C86"/>
    <w:rsid w:val="72BD5C84"/>
    <w:rsid w:val="72C02163"/>
    <w:rsid w:val="72C042C1"/>
    <w:rsid w:val="72C26EAB"/>
    <w:rsid w:val="72C43510"/>
    <w:rsid w:val="72C45265"/>
    <w:rsid w:val="72C54B39"/>
    <w:rsid w:val="72C718FD"/>
    <w:rsid w:val="72C74D55"/>
    <w:rsid w:val="72C76B71"/>
    <w:rsid w:val="72CB03A1"/>
    <w:rsid w:val="72CB757B"/>
    <w:rsid w:val="72D03584"/>
    <w:rsid w:val="72D27981"/>
    <w:rsid w:val="72D336FA"/>
    <w:rsid w:val="72D41235"/>
    <w:rsid w:val="72D54D7C"/>
    <w:rsid w:val="72D57472"/>
    <w:rsid w:val="72DB610A"/>
    <w:rsid w:val="72DD168B"/>
    <w:rsid w:val="72E20D96"/>
    <w:rsid w:val="72E256EB"/>
    <w:rsid w:val="72E27499"/>
    <w:rsid w:val="72E41463"/>
    <w:rsid w:val="72E476B5"/>
    <w:rsid w:val="72E512AD"/>
    <w:rsid w:val="72E74AAF"/>
    <w:rsid w:val="72E77EDF"/>
    <w:rsid w:val="72ED1180"/>
    <w:rsid w:val="72EE5E3E"/>
    <w:rsid w:val="72F07B01"/>
    <w:rsid w:val="72F07BBA"/>
    <w:rsid w:val="72F26881"/>
    <w:rsid w:val="72FF629D"/>
    <w:rsid w:val="73010267"/>
    <w:rsid w:val="73017D61"/>
    <w:rsid w:val="73041B05"/>
    <w:rsid w:val="7304384B"/>
    <w:rsid w:val="73060194"/>
    <w:rsid w:val="73060561"/>
    <w:rsid w:val="730613D9"/>
    <w:rsid w:val="73076EFF"/>
    <w:rsid w:val="730D5D93"/>
    <w:rsid w:val="730D6C0C"/>
    <w:rsid w:val="730E028E"/>
    <w:rsid w:val="730F087D"/>
    <w:rsid w:val="731004AA"/>
    <w:rsid w:val="73117D7E"/>
    <w:rsid w:val="73133AF6"/>
    <w:rsid w:val="7314090E"/>
    <w:rsid w:val="73165394"/>
    <w:rsid w:val="731801D9"/>
    <w:rsid w:val="73197253"/>
    <w:rsid w:val="731C6E4F"/>
    <w:rsid w:val="731E2BC7"/>
    <w:rsid w:val="73200B7A"/>
    <w:rsid w:val="732115B0"/>
    <w:rsid w:val="73223D39"/>
    <w:rsid w:val="73247A12"/>
    <w:rsid w:val="7327134F"/>
    <w:rsid w:val="732A5BB6"/>
    <w:rsid w:val="732B0E40"/>
    <w:rsid w:val="732D2E0A"/>
    <w:rsid w:val="732D4BB8"/>
    <w:rsid w:val="732F23C3"/>
    <w:rsid w:val="732F4E6A"/>
    <w:rsid w:val="733046A8"/>
    <w:rsid w:val="73320420"/>
    <w:rsid w:val="73334198"/>
    <w:rsid w:val="733777E5"/>
    <w:rsid w:val="733A5527"/>
    <w:rsid w:val="733A6046"/>
    <w:rsid w:val="733A72D5"/>
    <w:rsid w:val="733C129F"/>
    <w:rsid w:val="733E6DC5"/>
    <w:rsid w:val="73410663"/>
    <w:rsid w:val="73412411"/>
    <w:rsid w:val="734611F2"/>
    <w:rsid w:val="7346211D"/>
    <w:rsid w:val="73466D96"/>
    <w:rsid w:val="734671BA"/>
    <w:rsid w:val="73467A28"/>
    <w:rsid w:val="734876F0"/>
    <w:rsid w:val="73487977"/>
    <w:rsid w:val="73542159"/>
    <w:rsid w:val="73577E87"/>
    <w:rsid w:val="735A34D3"/>
    <w:rsid w:val="735A61C9"/>
    <w:rsid w:val="735A6AC0"/>
    <w:rsid w:val="735B228D"/>
    <w:rsid w:val="735D0D8C"/>
    <w:rsid w:val="735F2305"/>
    <w:rsid w:val="73625252"/>
    <w:rsid w:val="7363508A"/>
    <w:rsid w:val="73677AAD"/>
    <w:rsid w:val="73683C95"/>
    <w:rsid w:val="736A39E4"/>
    <w:rsid w:val="736A5E0C"/>
    <w:rsid w:val="736C2616"/>
    <w:rsid w:val="736D1458"/>
    <w:rsid w:val="736E3167"/>
    <w:rsid w:val="73702CF6"/>
    <w:rsid w:val="7370719A"/>
    <w:rsid w:val="73707CA3"/>
    <w:rsid w:val="73722F12"/>
    <w:rsid w:val="73774085"/>
    <w:rsid w:val="737A3B75"/>
    <w:rsid w:val="737C78ED"/>
    <w:rsid w:val="737D2D95"/>
    <w:rsid w:val="737D7931"/>
    <w:rsid w:val="737F0C22"/>
    <w:rsid w:val="737F34EE"/>
    <w:rsid w:val="737F68AE"/>
    <w:rsid w:val="73801EE2"/>
    <w:rsid w:val="738133AC"/>
    <w:rsid w:val="73830C7C"/>
    <w:rsid w:val="7384322E"/>
    <w:rsid w:val="738467A2"/>
    <w:rsid w:val="73852C46"/>
    <w:rsid w:val="7387590E"/>
    <w:rsid w:val="738844E4"/>
    <w:rsid w:val="738B18DE"/>
    <w:rsid w:val="738E5899"/>
    <w:rsid w:val="738F3604"/>
    <w:rsid w:val="7390319E"/>
    <w:rsid w:val="73944C37"/>
    <w:rsid w:val="739500E1"/>
    <w:rsid w:val="739509AF"/>
    <w:rsid w:val="7396230B"/>
    <w:rsid w:val="73970283"/>
    <w:rsid w:val="73974727"/>
    <w:rsid w:val="739A5FC5"/>
    <w:rsid w:val="739B4217"/>
    <w:rsid w:val="739E1612"/>
    <w:rsid w:val="739F538A"/>
    <w:rsid w:val="73A155A6"/>
    <w:rsid w:val="73A3649F"/>
    <w:rsid w:val="73A40BF2"/>
    <w:rsid w:val="73A429A0"/>
    <w:rsid w:val="73A821AB"/>
    <w:rsid w:val="73A95B81"/>
    <w:rsid w:val="73A96EFE"/>
    <w:rsid w:val="73AA018B"/>
    <w:rsid w:val="73AA445A"/>
    <w:rsid w:val="73AB1BA2"/>
    <w:rsid w:val="73AD5CF9"/>
    <w:rsid w:val="73B250BD"/>
    <w:rsid w:val="73B40D21"/>
    <w:rsid w:val="73B452D9"/>
    <w:rsid w:val="73B61051"/>
    <w:rsid w:val="73B76B77"/>
    <w:rsid w:val="73B928EF"/>
    <w:rsid w:val="73BA4A84"/>
    <w:rsid w:val="73BC23E0"/>
    <w:rsid w:val="73BE077C"/>
    <w:rsid w:val="73BE7F06"/>
    <w:rsid w:val="73BF5DBF"/>
    <w:rsid w:val="73BF77DA"/>
    <w:rsid w:val="73C05A2C"/>
    <w:rsid w:val="73C3605B"/>
    <w:rsid w:val="73C372CA"/>
    <w:rsid w:val="73C445EE"/>
    <w:rsid w:val="73C6500C"/>
    <w:rsid w:val="73C848E1"/>
    <w:rsid w:val="73C901C3"/>
    <w:rsid w:val="73C973F1"/>
    <w:rsid w:val="73CB43D1"/>
    <w:rsid w:val="73CB5ADB"/>
    <w:rsid w:val="73CB617F"/>
    <w:rsid w:val="73CD0149"/>
    <w:rsid w:val="73CD639B"/>
    <w:rsid w:val="73CF2113"/>
    <w:rsid w:val="73D03795"/>
    <w:rsid w:val="73D20082"/>
    <w:rsid w:val="73D239B1"/>
    <w:rsid w:val="73D2750D"/>
    <w:rsid w:val="73D43285"/>
    <w:rsid w:val="73D56FFD"/>
    <w:rsid w:val="73D72D76"/>
    <w:rsid w:val="73D903D6"/>
    <w:rsid w:val="73DB2866"/>
    <w:rsid w:val="73DC213A"/>
    <w:rsid w:val="73DF29C5"/>
    <w:rsid w:val="73E00E2F"/>
    <w:rsid w:val="73E35E8C"/>
    <w:rsid w:val="73E3796C"/>
    <w:rsid w:val="73E62FB9"/>
    <w:rsid w:val="73E765D7"/>
    <w:rsid w:val="73E8031B"/>
    <w:rsid w:val="73E9749F"/>
    <w:rsid w:val="73EA4857"/>
    <w:rsid w:val="73EE2845"/>
    <w:rsid w:val="73EF00BF"/>
    <w:rsid w:val="73F1482C"/>
    <w:rsid w:val="73F2451C"/>
    <w:rsid w:val="73F25E01"/>
    <w:rsid w:val="73F30AFC"/>
    <w:rsid w:val="73F336CD"/>
    <w:rsid w:val="73F352DB"/>
    <w:rsid w:val="73F44B5D"/>
    <w:rsid w:val="73F531FC"/>
    <w:rsid w:val="73F6144E"/>
    <w:rsid w:val="73F65A1C"/>
    <w:rsid w:val="73F676A0"/>
    <w:rsid w:val="73F751C6"/>
    <w:rsid w:val="73F834DE"/>
    <w:rsid w:val="73F90F3E"/>
    <w:rsid w:val="73F94DAE"/>
    <w:rsid w:val="73F97190"/>
    <w:rsid w:val="73FC27DC"/>
    <w:rsid w:val="73FD3F88"/>
    <w:rsid w:val="73FE53C6"/>
    <w:rsid w:val="73FE6554"/>
    <w:rsid w:val="73FF2075"/>
    <w:rsid w:val="73FF5D47"/>
    <w:rsid w:val="740022CC"/>
    <w:rsid w:val="74035927"/>
    <w:rsid w:val="74065409"/>
    <w:rsid w:val="74085625"/>
    <w:rsid w:val="740A58F3"/>
    <w:rsid w:val="740B0213"/>
    <w:rsid w:val="740C0C71"/>
    <w:rsid w:val="740D49E9"/>
    <w:rsid w:val="740D6797"/>
    <w:rsid w:val="740F0761"/>
    <w:rsid w:val="740F250F"/>
    <w:rsid w:val="74116D7A"/>
    <w:rsid w:val="74145D78"/>
    <w:rsid w:val="741C3B1A"/>
    <w:rsid w:val="741C4C2C"/>
    <w:rsid w:val="741C6781"/>
    <w:rsid w:val="741D2E7E"/>
    <w:rsid w:val="741E4551"/>
    <w:rsid w:val="7420296E"/>
    <w:rsid w:val="742534CF"/>
    <w:rsid w:val="742D0BE7"/>
    <w:rsid w:val="742D6E39"/>
    <w:rsid w:val="742E463B"/>
    <w:rsid w:val="742F2BB2"/>
    <w:rsid w:val="743106D8"/>
    <w:rsid w:val="7431692A"/>
    <w:rsid w:val="743374A1"/>
    <w:rsid w:val="7434641A"/>
    <w:rsid w:val="74380B51"/>
    <w:rsid w:val="7439758C"/>
    <w:rsid w:val="743B1556"/>
    <w:rsid w:val="743E7FA4"/>
    <w:rsid w:val="74405172"/>
    <w:rsid w:val="74421286"/>
    <w:rsid w:val="7443040B"/>
    <w:rsid w:val="74432040"/>
    <w:rsid w:val="744321B9"/>
    <w:rsid w:val="74454183"/>
    <w:rsid w:val="744A1799"/>
    <w:rsid w:val="744A3547"/>
    <w:rsid w:val="74501E58"/>
    <w:rsid w:val="745148D6"/>
    <w:rsid w:val="74532056"/>
    <w:rsid w:val="74534AF2"/>
    <w:rsid w:val="74535579"/>
    <w:rsid w:val="7456013E"/>
    <w:rsid w:val="745919DD"/>
    <w:rsid w:val="745B5755"/>
    <w:rsid w:val="745C4947"/>
    <w:rsid w:val="745E268C"/>
    <w:rsid w:val="74602D6B"/>
    <w:rsid w:val="746278CC"/>
    <w:rsid w:val="74640AAD"/>
    <w:rsid w:val="746740F9"/>
    <w:rsid w:val="746A3BEA"/>
    <w:rsid w:val="746A48C1"/>
    <w:rsid w:val="746C1710"/>
    <w:rsid w:val="746C21E9"/>
    <w:rsid w:val="746E5488"/>
    <w:rsid w:val="746F1200"/>
    <w:rsid w:val="74716D26"/>
    <w:rsid w:val="74730CF0"/>
    <w:rsid w:val="747607E0"/>
    <w:rsid w:val="7479207F"/>
    <w:rsid w:val="747B7557"/>
    <w:rsid w:val="747F3106"/>
    <w:rsid w:val="747F7695"/>
    <w:rsid w:val="74801C8A"/>
    <w:rsid w:val="7480340D"/>
    <w:rsid w:val="74820346"/>
    <w:rsid w:val="74850A24"/>
    <w:rsid w:val="7487479C"/>
    <w:rsid w:val="74886046"/>
    <w:rsid w:val="748864DD"/>
    <w:rsid w:val="748A428C"/>
    <w:rsid w:val="748C590E"/>
    <w:rsid w:val="749312CB"/>
    <w:rsid w:val="74940994"/>
    <w:rsid w:val="74956546"/>
    <w:rsid w:val="74956EB9"/>
    <w:rsid w:val="74982505"/>
    <w:rsid w:val="749D3FBF"/>
    <w:rsid w:val="749E3893"/>
    <w:rsid w:val="749E4CF0"/>
    <w:rsid w:val="749E5641"/>
    <w:rsid w:val="749F7D37"/>
    <w:rsid w:val="74A0585D"/>
    <w:rsid w:val="74A4534E"/>
    <w:rsid w:val="74A52E74"/>
    <w:rsid w:val="74A54C22"/>
    <w:rsid w:val="74A7099A"/>
    <w:rsid w:val="74A82608"/>
    <w:rsid w:val="74AB11EE"/>
    <w:rsid w:val="74AB66DC"/>
    <w:rsid w:val="74AC4202"/>
    <w:rsid w:val="74AC5174"/>
    <w:rsid w:val="74AE583F"/>
    <w:rsid w:val="74AF43A5"/>
    <w:rsid w:val="74AF5AA0"/>
    <w:rsid w:val="74B44E65"/>
    <w:rsid w:val="74B453E8"/>
    <w:rsid w:val="74B51309"/>
    <w:rsid w:val="74B577EC"/>
    <w:rsid w:val="74B70165"/>
    <w:rsid w:val="74B80DF9"/>
    <w:rsid w:val="74BA691F"/>
    <w:rsid w:val="74C01A29"/>
    <w:rsid w:val="74C257D4"/>
    <w:rsid w:val="74C27582"/>
    <w:rsid w:val="74C4154C"/>
    <w:rsid w:val="74C54F54"/>
    <w:rsid w:val="74C635F2"/>
    <w:rsid w:val="74C74B98"/>
    <w:rsid w:val="74C90910"/>
    <w:rsid w:val="74CD49CD"/>
    <w:rsid w:val="74CE4179"/>
    <w:rsid w:val="74CF1C9F"/>
    <w:rsid w:val="74D3353D"/>
    <w:rsid w:val="74D3398C"/>
    <w:rsid w:val="74DC4AE7"/>
    <w:rsid w:val="74E05C5A"/>
    <w:rsid w:val="74E120FE"/>
    <w:rsid w:val="74E12754"/>
    <w:rsid w:val="74E14FF5"/>
    <w:rsid w:val="74E219D2"/>
    <w:rsid w:val="74E25787"/>
    <w:rsid w:val="74E25E76"/>
    <w:rsid w:val="74E41BEE"/>
    <w:rsid w:val="74E4574A"/>
    <w:rsid w:val="74E65854"/>
    <w:rsid w:val="74E75396"/>
    <w:rsid w:val="74EC45FF"/>
    <w:rsid w:val="74EF5803"/>
    <w:rsid w:val="74F11F08"/>
    <w:rsid w:val="74F6547D"/>
    <w:rsid w:val="74F71921"/>
    <w:rsid w:val="74FA3D10"/>
    <w:rsid w:val="74FA4F6E"/>
    <w:rsid w:val="74FB14A6"/>
    <w:rsid w:val="74FE7ABF"/>
    <w:rsid w:val="75015288"/>
    <w:rsid w:val="75023E22"/>
    <w:rsid w:val="75041948"/>
    <w:rsid w:val="750551C9"/>
    <w:rsid w:val="75060B4A"/>
    <w:rsid w:val="75063912"/>
    <w:rsid w:val="75072A7D"/>
    <w:rsid w:val="750758DC"/>
    <w:rsid w:val="750765A4"/>
    <w:rsid w:val="7507768A"/>
    <w:rsid w:val="750802A9"/>
    <w:rsid w:val="750B1268"/>
    <w:rsid w:val="750C4747"/>
    <w:rsid w:val="750F3A04"/>
    <w:rsid w:val="750F78DA"/>
    <w:rsid w:val="7510653F"/>
    <w:rsid w:val="75137DDD"/>
    <w:rsid w:val="75151DA7"/>
    <w:rsid w:val="75153469"/>
    <w:rsid w:val="751D0C5C"/>
    <w:rsid w:val="751F12AB"/>
    <w:rsid w:val="7521074C"/>
    <w:rsid w:val="75226272"/>
    <w:rsid w:val="7524023C"/>
    <w:rsid w:val="75250343"/>
    <w:rsid w:val="752528EA"/>
    <w:rsid w:val="752B5127"/>
    <w:rsid w:val="752D66BF"/>
    <w:rsid w:val="752E2E69"/>
    <w:rsid w:val="7530098F"/>
    <w:rsid w:val="7530273D"/>
    <w:rsid w:val="7534582C"/>
    <w:rsid w:val="75385A96"/>
    <w:rsid w:val="753A7A60"/>
    <w:rsid w:val="753B10E2"/>
    <w:rsid w:val="753C37D8"/>
    <w:rsid w:val="753F2A72"/>
    <w:rsid w:val="753F5038"/>
    <w:rsid w:val="75410DEE"/>
    <w:rsid w:val="75432CCF"/>
    <w:rsid w:val="75491A51"/>
    <w:rsid w:val="75497CA3"/>
    <w:rsid w:val="754D26E4"/>
    <w:rsid w:val="754D7793"/>
    <w:rsid w:val="754E0E15"/>
    <w:rsid w:val="754E353B"/>
    <w:rsid w:val="754E6641"/>
    <w:rsid w:val="75501031"/>
    <w:rsid w:val="75504B8E"/>
    <w:rsid w:val="75510906"/>
    <w:rsid w:val="755723C0"/>
    <w:rsid w:val="755A5A0C"/>
    <w:rsid w:val="755C3532"/>
    <w:rsid w:val="75616D9B"/>
    <w:rsid w:val="75622B13"/>
    <w:rsid w:val="75630D65"/>
    <w:rsid w:val="75680129"/>
    <w:rsid w:val="756845CD"/>
    <w:rsid w:val="756920F3"/>
    <w:rsid w:val="756D573F"/>
    <w:rsid w:val="75706FDE"/>
    <w:rsid w:val="75717D36"/>
    <w:rsid w:val="75727362"/>
    <w:rsid w:val="75734D20"/>
    <w:rsid w:val="75736ACE"/>
    <w:rsid w:val="757403BC"/>
    <w:rsid w:val="75741AFD"/>
    <w:rsid w:val="757765BE"/>
    <w:rsid w:val="757840E4"/>
    <w:rsid w:val="75790588"/>
    <w:rsid w:val="757A06A2"/>
    <w:rsid w:val="757A1C0A"/>
    <w:rsid w:val="757A4300"/>
    <w:rsid w:val="757C0B1A"/>
    <w:rsid w:val="757C2E60"/>
    <w:rsid w:val="757D16FB"/>
    <w:rsid w:val="757E5B9F"/>
    <w:rsid w:val="757F1917"/>
    <w:rsid w:val="757F6C10"/>
    <w:rsid w:val="75812F99"/>
    <w:rsid w:val="75814D02"/>
    <w:rsid w:val="75840CDB"/>
    <w:rsid w:val="7584645D"/>
    <w:rsid w:val="75897CC2"/>
    <w:rsid w:val="758E5275"/>
    <w:rsid w:val="7590142E"/>
    <w:rsid w:val="7592164A"/>
    <w:rsid w:val="75925086"/>
    <w:rsid w:val="75947170"/>
    <w:rsid w:val="7595113B"/>
    <w:rsid w:val="75956A44"/>
    <w:rsid w:val="75963BE6"/>
    <w:rsid w:val="759A04C0"/>
    <w:rsid w:val="759A22AD"/>
    <w:rsid w:val="759F5B15"/>
    <w:rsid w:val="75A06E35"/>
    <w:rsid w:val="75A153E9"/>
    <w:rsid w:val="75A3600B"/>
    <w:rsid w:val="75A4749B"/>
    <w:rsid w:val="75A5092B"/>
    <w:rsid w:val="75A5137D"/>
    <w:rsid w:val="75A86778"/>
    <w:rsid w:val="75A924F0"/>
    <w:rsid w:val="75AB270C"/>
    <w:rsid w:val="75AB52C9"/>
    <w:rsid w:val="75B1627E"/>
    <w:rsid w:val="75B24E1F"/>
    <w:rsid w:val="75B5389C"/>
    <w:rsid w:val="75B61AC7"/>
    <w:rsid w:val="75B72E5F"/>
    <w:rsid w:val="75BA4767"/>
    <w:rsid w:val="75BB32E4"/>
    <w:rsid w:val="75BE41ED"/>
    <w:rsid w:val="75C25129"/>
    <w:rsid w:val="75C324F8"/>
    <w:rsid w:val="75C40BAB"/>
    <w:rsid w:val="75C630A2"/>
    <w:rsid w:val="75CB7C46"/>
    <w:rsid w:val="75CF01A8"/>
    <w:rsid w:val="75D03F20"/>
    <w:rsid w:val="75D05CCE"/>
    <w:rsid w:val="75D12ADD"/>
    <w:rsid w:val="75D164B8"/>
    <w:rsid w:val="75D237F5"/>
    <w:rsid w:val="75D250B0"/>
    <w:rsid w:val="75D31F92"/>
    <w:rsid w:val="75D532E5"/>
    <w:rsid w:val="75D82E78"/>
    <w:rsid w:val="75D86DE7"/>
    <w:rsid w:val="75D91D6C"/>
    <w:rsid w:val="75D94B83"/>
    <w:rsid w:val="75DA6B4D"/>
    <w:rsid w:val="75DC0B17"/>
    <w:rsid w:val="75E1612D"/>
    <w:rsid w:val="75E30167"/>
    <w:rsid w:val="75E31EA6"/>
    <w:rsid w:val="75E35A02"/>
    <w:rsid w:val="75E672A0"/>
    <w:rsid w:val="75E83018"/>
    <w:rsid w:val="75EF084A"/>
    <w:rsid w:val="75EF43A6"/>
    <w:rsid w:val="75F02ED1"/>
    <w:rsid w:val="75F23E97"/>
    <w:rsid w:val="75F419BD"/>
    <w:rsid w:val="75F53987"/>
    <w:rsid w:val="75F55735"/>
    <w:rsid w:val="75F66805"/>
    <w:rsid w:val="75FA2D4B"/>
    <w:rsid w:val="75FB1725"/>
    <w:rsid w:val="75FC4D15"/>
    <w:rsid w:val="75FC6AC3"/>
    <w:rsid w:val="75FE6CDF"/>
    <w:rsid w:val="75FF0A4C"/>
    <w:rsid w:val="75FF1536"/>
    <w:rsid w:val="7601057E"/>
    <w:rsid w:val="76024F88"/>
    <w:rsid w:val="76025374"/>
    <w:rsid w:val="76034BED"/>
    <w:rsid w:val="76053BCA"/>
    <w:rsid w:val="760553A8"/>
    <w:rsid w:val="7606693D"/>
    <w:rsid w:val="76067942"/>
    <w:rsid w:val="76083D29"/>
    <w:rsid w:val="76085468"/>
    <w:rsid w:val="760A5684"/>
    <w:rsid w:val="760D0CD1"/>
    <w:rsid w:val="760F67F7"/>
    <w:rsid w:val="760F78EA"/>
    <w:rsid w:val="761107C1"/>
    <w:rsid w:val="76120095"/>
    <w:rsid w:val="76143E0D"/>
    <w:rsid w:val="761453B1"/>
    <w:rsid w:val="7616632D"/>
    <w:rsid w:val="761B163F"/>
    <w:rsid w:val="761F2967"/>
    <w:rsid w:val="761F7059"/>
    <w:rsid w:val="7621477C"/>
    <w:rsid w:val="762304F4"/>
    <w:rsid w:val="76253251"/>
    <w:rsid w:val="7625426C"/>
    <w:rsid w:val="76263B40"/>
    <w:rsid w:val="762878B8"/>
    <w:rsid w:val="762C55FB"/>
    <w:rsid w:val="762D3121"/>
    <w:rsid w:val="762D3FE7"/>
    <w:rsid w:val="762F0C47"/>
    <w:rsid w:val="762F6E99"/>
    <w:rsid w:val="76312F35"/>
    <w:rsid w:val="763444AF"/>
    <w:rsid w:val="7634625D"/>
    <w:rsid w:val="763641D6"/>
    <w:rsid w:val="76375D4D"/>
    <w:rsid w:val="763A11D3"/>
    <w:rsid w:val="763B75EC"/>
    <w:rsid w:val="763E532E"/>
    <w:rsid w:val="764221C2"/>
    <w:rsid w:val="764741E2"/>
    <w:rsid w:val="764A0398"/>
    <w:rsid w:val="764A3CD3"/>
    <w:rsid w:val="764A5A81"/>
    <w:rsid w:val="764A782F"/>
    <w:rsid w:val="764B2878"/>
    <w:rsid w:val="764D37C3"/>
    <w:rsid w:val="76516E0F"/>
    <w:rsid w:val="7652226E"/>
    <w:rsid w:val="7653508C"/>
    <w:rsid w:val="76562678"/>
    <w:rsid w:val="765661D4"/>
    <w:rsid w:val="7657019E"/>
    <w:rsid w:val="76577566"/>
    <w:rsid w:val="76593F16"/>
    <w:rsid w:val="765B5EE0"/>
    <w:rsid w:val="765B7C8E"/>
    <w:rsid w:val="765E32DA"/>
    <w:rsid w:val="76612DCA"/>
    <w:rsid w:val="766308F1"/>
    <w:rsid w:val="76634D94"/>
    <w:rsid w:val="766543D8"/>
    <w:rsid w:val="76674885"/>
    <w:rsid w:val="76674F2A"/>
    <w:rsid w:val="76676633"/>
    <w:rsid w:val="7668056A"/>
    <w:rsid w:val="76684159"/>
    <w:rsid w:val="766C1E9B"/>
    <w:rsid w:val="766C59E6"/>
    <w:rsid w:val="766F4706"/>
    <w:rsid w:val="7671300D"/>
    <w:rsid w:val="767174B1"/>
    <w:rsid w:val="76721858"/>
    <w:rsid w:val="76764AC8"/>
    <w:rsid w:val="767825EE"/>
    <w:rsid w:val="76796366"/>
    <w:rsid w:val="767B20DE"/>
    <w:rsid w:val="767B290A"/>
    <w:rsid w:val="767C19B2"/>
    <w:rsid w:val="767F0A04"/>
    <w:rsid w:val="7680773A"/>
    <w:rsid w:val="76836616"/>
    <w:rsid w:val="768371E5"/>
    <w:rsid w:val="76852F5D"/>
    <w:rsid w:val="76872831"/>
    <w:rsid w:val="76876CD5"/>
    <w:rsid w:val="76894F0E"/>
    <w:rsid w:val="768A40CF"/>
    <w:rsid w:val="768A6E35"/>
    <w:rsid w:val="768C7E47"/>
    <w:rsid w:val="768E1E11"/>
    <w:rsid w:val="768E61AF"/>
    <w:rsid w:val="768F5B89"/>
    <w:rsid w:val="76963538"/>
    <w:rsid w:val="769A6A08"/>
    <w:rsid w:val="769D3E02"/>
    <w:rsid w:val="769E7B7B"/>
    <w:rsid w:val="769F431A"/>
    <w:rsid w:val="76A15D65"/>
    <w:rsid w:val="76A21419"/>
    <w:rsid w:val="76A333E3"/>
    <w:rsid w:val="76A35191"/>
    <w:rsid w:val="76A74C81"/>
    <w:rsid w:val="76AA4771"/>
    <w:rsid w:val="76AB4621"/>
    <w:rsid w:val="76AC27D3"/>
    <w:rsid w:val="76AC2D9E"/>
    <w:rsid w:val="76AC2E78"/>
    <w:rsid w:val="76AF3B36"/>
    <w:rsid w:val="76AF7FDA"/>
    <w:rsid w:val="76B63116"/>
    <w:rsid w:val="76B77F8B"/>
    <w:rsid w:val="76BA0E58"/>
    <w:rsid w:val="76BB697E"/>
    <w:rsid w:val="76BF021D"/>
    <w:rsid w:val="76C03F95"/>
    <w:rsid w:val="76C05D43"/>
    <w:rsid w:val="76C21ABB"/>
    <w:rsid w:val="76C43A85"/>
    <w:rsid w:val="76C577FD"/>
    <w:rsid w:val="76C70E7F"/>
    <w:rsid w:val="76C74A02"/>
    <w:rsid w:val="76C836B1"/>
    <w:rsid w:val="76CC0B8C"/>
    <w:rsid w:val="76D11CFE"/>
    <w:rsid w:val="76D17F50"/>
    <w:rsid w:val="76DA5057"/>
    <w:rsid w:val="76DB2B7D"/>
    <w:rsid w:val="76E00627"/>
    <w:rsid w:val="76E11AB7"/>
    <w:rsid w:val="76EE56B6"/>
    <w:rsid w:val="76F105F2"/>
    <w:rsid w:val="76F459ED"/>
    <w:rsid w:val="76F51E90"/>
    <w:rsid w:val="76FA1255"/>
    <w:rsid w:val="76FA1F58"/>
    <w:rsid w:val="76FB4FCD"/>
    <w:rsid w:val="76FD6F97"/>
    <w:rsid w:val="76FF358D"/>
    <w:rsid w:val="76FF6781"/>
    <w:rsid w:val="770025E3"/>
    <w:rsid w:val="77004391"/>
    <w:rsid w:val="77040325"/>
    <w:rsid w:val="77044E51"/>
    <w:rsid w:val="77057BFA"/>
    <w:rsid w:val="770737D2"/>
    <w:rsid w:val="7709593C"/>
    <w:rsid w:val="770976EA"/>
    <w:rsid w:val="770C2D36"/>
    <w:rsid w:val="770C64FD"/>
    <w:rsid w:val="770D26AD"/>
    <w:rsid w:val="77100A78"/>
    <w:rsid w:val="77133CA5"/>
    <w:rsid w:val="77147E3D"/>
    <w:rsid w:val="7715608F"/>
    <w:rsid w:val="77183DD1"/>
    <w:rsid w:val="7718792D"/>
    <w:rsid w:val="771C566F"/>
    <w:rsid w:val="771E05C9"/>
    <w:rsid w:val="771F0CBB"/>
    <w:rsid w:val="771F2A69"/>
    <w:rsid w:val="77235F82"/>
    <w:rsid w:val="77277DEF"/>
    <w:rsid w:val="772938E8"/>
    <w:rsid w:val="772E0EFE"/>
    <w:rsid w:val="772E551E"/>
    <w:rsid w:val="772E7150"/>
    <w:rsid w:val="7731279D"/>
    <w:rsid w:val="77316C41"/>
    <w:rsid w:val="77320701"/>
    <w:rsid w:val="77334767"/>
    <w:rsid w:val="77335A15"/>
    <w:rsid w:val="77336515"/>
    <w:rsid w:val="77337708"/>
    <w:rsid w:val="77381D7D"/>
    <w:rsid w:val="773D234D"/>
    <w:rsid w:val="773D55E5"/>
    <w:rsid w:val="773D7394"/>
    <w:rsid w:val="774150D6"/>
    <w:rsid w:val="77421009"/>
    <w:rsid w:val="77422BFC"/>
    <w:rsid w:val="774249AA"/>
    <w:rsid w:val="774405AC"/>
    <w:rsid w:val="7744462F"/>
    <w:rsid w:val="774954BE"/>
    <w:rsid w:val="774B1AB0"/>
    <w:rsid w:val="774C3647"/>
    <w:rsid w:val="774C75D7"/>
    <w:rsid w:val="774C794D"/>
    <w:rsid w:val="77504376"/>
    <w:rsid w:val="77514BED"/>
    <w:rsid w:val="77530965"/>
    <w:rsid w:val="77550B81"/>
    <w:rsid w:val="775A7F45"/>
    <w:rsid w:val="776070C7"/>
    <w:rsid w:val="77662047"/>
    <w:rsid w:val="7769429B"/>
    <w:rsid w:val="776963DA"/>
    <w:rsid w:val="77696E73"/>
    <w:rsid w:val="776B2153"/>
    <w:rsid w:val="776C1A27"/>
    <w:rsid w:val="776C7C79"/>
    <w:rsid w:val="776D40C1"/>
    <w:rsid w:val="776E39F1"/>
    <w:rsid w:val="777031CF"/>
    <w:rsid w:val="777340BC"/>
    <w:rsid w:val="777575B0"/>
    <w:rsid w:val="77785EA7"/>
    <w:rsid w:val="7778661E"/>
    <w:rsid w:val="777D1E86"/>
    <w:rsid w:val="777F175A"/>
    <w:rsid w:val="7782124A"/>
    <w:rsid w:val="7786309E"/>
    <w:rsid w:val="7789082B"/>
    <w:rsid w:val="778A35E9"/>
    <w:rsid w:val="778A7344"/>
    <w:rsid w:val="778B5F9F"/>
    <w:rsid w:val="778D031B"/>
    <w:rsid w:val="778E436B"/>
    <w:rsid w:val="778E5E41"/>
    <w:rsid w:val="7792494C"/>
    <w:rsid w:val="77933457"/>
    <w:rsid w:val="77934298"/>
    <w:rsid w:val="77935DDC"/>
    <w:rsid w:val="779571D0"/>
    <w:rsid w:val="77961B8C"/>
    <w:rsid w:val="77995ADA"/>
    <w:rsid w:val="77997D88"/>
    <w:rsid w:val="779A2EE6"/>
    <w:rsid w:val="779A6594"/>
    <w:rsid w:val="779F3BAA"/>
    <w:rsid w:val="77A10D31"/>
    <w:rsid w:val="77A56E9C"/>
    <w:rsid w:val="77A80CB1"/>
    <w:rsid w:val="77A94A29"/>
    <w:rsid w:val="77AA1D7B"/>
    <w:rsid w:val="77AD276B"/>
    <w:rsid w:val="77B0683C"/>
    <w:rsid w:val="77B27D81"/>
    <w:rsid w:val="77B77146"/>
    <w:rsid w:val="77B84C6C"/>
    <w:rsid w:val="77B94F26"/>
    <w:rsid w:val="77BC5328"/>
    <w:rsid w:val="77BC650A"/>
    <w:rsid w:val="77BF249E"/>
    <w:rsid w:val="77BF424C"/>
    <w:rsid w:val="77C3377A"/>
    <w:rsid w:val="77C35AEB"/>
    <w:rsid w:val="77C41863"/>
    <w:rsid w:val="77C5724C"/>
    <w:rsid w:val="77C6382D"/>
    <w:rsid w:val="77C67389"/>
    <w:rsid w:val="77C71A27"/>
    <w:rsid w:val="77C80D66"/>
    <w:rsid w:val="77C96E79"/>
    <w:rsid w:val="77CD162C"/>
    <w:rsid w:val="77D0645A"/>
    <w:rsid w:val="77D20625"/>
    <w:rsid w:val="77D31AA6"/>
    <w:rsid w:val="77D44DFB"/>
    <w:rsid w:val="77D575CC"/>
    <w:rsid w:val="77D73344"/>
    <w:rsid w:val="77D73CB6"/>
    <w:rsid w:val="77D777E8"/>
    <w:rsid w:val="77D9530E"/>
    <w:rsid w:val="77DC4DFE"/>
    <w:rsid w:val="77DF044B"/>
    <w:rsid w:val="77E030EF"/>
    <w:rsid w:val="77E141C3"/>
    <w:rsid w:val="77E16FD2"/>
    <w:rsid w:val="77E3618D"/>
    <w:rsid w:val="77E370B7"/>
    <w:rsid w:val="77E56778"/>
    <w:rsid w:val="77E720FB"/>
    <w:rsid w:val="77E93077"/>
    <w:rsid w:val="77EB6DF0"/>
    <w:rsid w:val="77EF417C"/>
    <w:rsid w:val="77EF68E0"/>
    <w:rsid w:val="77F02658"/>
    <w:rsid w:val="77F13C27"/>
    <w:rsid w:val="77F51A1C"/>
    <w:rsid w:val="77F739E6"/>
    <w:rsid w:val="77F9775E"/>
    <w:rsid w:val="77FA2FE2"/>
    <w:rsid w:val="77FA7033"/>
    <w:rsid w:val="77FA7843"/>
    <w:rsid w:val="77FC724F"/>
    <w:rsid w:val="77FD1DFD"/>
    <w:rsid w:val="77FF0693"/>
    <w:rsid w:val="78006D3F"/>
    <w:rsid w:val="78034139"/>
    <w:rsid w:val="780517B1"/>
    <w:rsid w:val="780B56E4"/>
    <w:rsid w:val="780C4AC2"/>
    <w:rsid w:val="780C7F28"/>
    <w:rsid w:val="780F0D30"/>
    <w:rsid w:val="78102922"/>
    <w:rsid w:val="78126A72"/>
    <w:rsid w:val="78174B98"/>
    <w:rsid w:val="78186DD1"/>
    <w:rsid w:val="781A1483"/>
    <w:rsid w:val="781B5927"/>
    <w:rsid w:val="781C392B"/>
    <w:rsid w:val="781C5848"/>
    <w:rsid w:val="781D3294"/>
    <w:rsid w:val="781F4CEB"/>
    <w:rsid w:val="78210A63"/>
    <w:rsid w:val="78224CA5"/>
    <w:rsid w:val="78236AB5"/>
    <w:rsid w:val="78287D8D"/>
    <w:rsid w:val="782A3DBC"/>
    <w:rsid w:val="782A5B6A"/>
    <w:rsid w:val="782B18E2"/>
    <w:rsid w:val="782E1286"/>
    <w:rsid w:val="78302D49"/>
    <w:rsid w:val="78307C29"/>
    <w:rsid w:val="78324A1E"/>
    <w:rsid w:val="78340796"/>
    <w:rsid w:val="783469E8"/>
    <w:rsid w:val="78370287"/>
    <w:rsid w:val="78372035"/>
    <w:rsid w:val="78373E11"/>
    <w:rsid w:val="783A38D3"/>
    <w:rsid w:val="783D6892"/>
    <w:rsid w:val="783E1615"/>
    <w:rsid w:val="783E7867"/>
    <w:rsid w:val="78405FDD"/>
    <w:rsid w:val="7840713B"/>
    <w:rsid w:val="78422590"/>
    <w:rsid w:val="78436C2C"/>
    <w:rsid w:val="78454752"/>
    <w:rsid w:val="78462278"/>
    <w:rsid w:val="7847671C"/>
    <w:rsid w:val="78482494"/>
    <w:rsid w:val="78484242"/>
    <w:rsid w:val="784A620C"/>
    <w:rsid w:val="784C3D32"/>
    <w:rsid w:val="785030F6"/>
    <w:rsid w:val="7851759A"/>
    <w:rsid w:val="78520C1D"/>
    <w:rsid w:val="78526E6F"/>
    <w:rsid w:val="7856695F"/>
    <w:rsid w:val="78566F3D"/>
    <w:rsid w:val="785957F2"/>
    <w:rsid w:val="785C1A9B"/>
    <w:rsid w:val="7860333A"/>
    <w:rsid w:val="786110AB"/>
    <w:rsid w:val="786178B9"/>
    <w:rsid w:val="7866291A"/>
    <w:rsid w:val="78662CFC"/>
    <w:rsid w:val="78672E54"/>
    <w:rsid w:val="786B1CDE"/>
    <w:rsid w:val="786D3CA8"/>
    <w:rsid w:val="786E1805"/>
    <w:rsid w:val="786F7A21"/>
    <w:rsid w:val="78753109"/>
    <w:rsid w:val="78764DC5"/>
    <w:rsid w:val="78770683"/>
    <w:rsid w:val="78775022"/>
    <w:rsid w:val="78783C62"/>
    <w:rsid w:val="787B7F18"/>
    <w:rsid w:val="787D213D"/>
    <w:rsid w:val="787E5EB6"/>
    <w:rsid w:val="788039DC"/>
    <w:rsid w:val="78811502"/>
    <w:rsid w:val="78832A30"/>
    <w:rsid w:val="7883527A"/>
    <w:rsid w:val="7885138D"/>
    <w:rsid w:val="78870DCA"/>
    <w:rsid w:val="78880AE2"/>
    <w:rsid w:val="788A03B6"/>
    <w:rsid w:val="788E75C3"/>
    <w:rsid w:val="789418E6"/>
    <w:rsid w:val="78947487"/>
    <w:rsid w:val="78970D25"/>
    <w:rsid w:val="78972AD3"/>
    <w:rsid w:val="78994A9D"/>
    <w:rsid w:val="7899684C"/>
    <w:rsid w:val="789A4489"/>
    <w:rsid w:val="789D458E"/>
    <w:rsid w:val="789D523F"/>
    <w:rsid w:val="78A064A8"/>
    <w:rsid w:val="78A07BDA"/>
    <w:rsid w:val="78A23952"/>
    <w:rsid w:val="78A30A77"/>
    <w:rsid w:val="78A3591C"/>
    <w:rsid w:val="78A413DB"/>
    <w:rsid w:val="78A53442"/>
    <w:rsid w:val="78A70F68"/>
    <w:rsid w:val="78A7675A"/>
    <w:rsid w:val="78AB0E83"/>
    <w:rsid w:val="78AC47D1"/>
    <w:rsid w:val="78B64C80"/>
    <w:rsid w:val="78B73659"/>
    <w:rsid w:val="78B813C8"/>
    <w:rsid w:val="78B93023"/>
    <w:rsid w:val="78BB4A14"/>
    <w:rsid w:val="78BD078C"/>
    <w:rsid w:val="78BE0E43"/>
    <w:rsid w:val="78BE2756"/>
    <w:rsid w:val="78BE4504"/>
    <w:rsid w:val="78BE62B2"/>
    <w:rsid w:val="78C22246"/>
    <w:rsid w:val="78C30B4D"/>
    <w:rsid w:val="78C31B1A"/>
    <w:rsid w:val="78C338C8"/>
    <w:rsid w:val="78C5717F"/>
    <w:rsid w:val="78C733B9"/>
    <w:rsid w:val="78C92418"/>
    <w:rsid w:val="78CA10FB"/>
    <w:rsid w:val="78CC09CF"/>
    <w:rsid w:val="78CE2973"/>
    <w:rsid w:val="78CF04BF"/>
    <w:rsid w:val="78CF226D"/>
    <w:rsid w:val="78CF4397"/>
    <w:rsid w:val="78D37FAF"/>
    <w:rsid w:val="78D679B2"/>
    <w:rsid w:val="78DB3308"/>
    <w:rsid w:val="78DB39C6"/>
    <w:rsid w:val="78DB6E64"/>
    <w:rsid w:val="78DD498A"/>
    <w:rsid w:val="78DE0702"/>
    <w:rsid w:val="78DE6954"/>
    <w:rsid w:val="78E17EBF"/>
    <w:rsid w:val="78E26444"/>
    <w:rsid w:val="78E55F84"/>
    <w:rsid w:val="78E57216"/>
    <w:rsid w:val="78E919AD"/>
    <w:rsid w:val="78EA70A7"/>
    <w:rsid w:val="78EC72C3"/>
    <w:rsid w:val="78ED1061"/>
    <w:rsid w:val="78EF46BD"/>
    <w:rsid w:val="78F10436"/>
    <w:rsid w:val="78F148D9"/>
    <w:rsid w:val="78F16688"/>
    <w:rsid w:val="78F477F3"/>
    <w:rsid w:val="78F56773"/>
    <w:rsid w:val="78F61EF0"/>
    <w:rsid w:val="78F817C4"/>
    <w:rsid w:val="78F85C68"/>
    <w:rsid w:val="78FB12B4"/>
    <w:rsid w:val="78FE2B52"/>
    <w:rsid w:val="79022643"/>
    <w:rsid w:val="79052133"/>
    <w:rsid w:val="79075EAB"/>
    <w:rsid w:val="790A14F7"/>
    <w:rsid w:val="790A5C0D"/>
    <w:rsid w:val="790A7749"/>
    <w:rsid w:val="790C1713"/>
    <w:rsid w:val="790E7239"/>
    <w:rsid w:val="79110AD8"/>
    <w:rsid w:val="791B3704"/>
    <w:rsid w:val="791D122B"/>
    <w:rsid w:val="792321E3"/>
    <w:rsid w:val="79234AE0"/>
    <w:rsid w:val="7924080B"/>
    <w:rsid w:val="792425B9"/>
    <w:rsid w:val="79254583"/>
    <w:rsid w:val="792620AF"/>
    <w:rsid w:val="792702FB"/>
    <w:rsid w:val="7927654D"/>
    <w:rsid w:val="792A1B99"/>
    <w:rsid w:val="792A1CA4"/>
    <w:rsid w:val="792E3438"/>
    <w:rsid w:val="792F1514"/>
    <w:rsid w:val="792F71B0"/>
    <w:rsid w:val="79312F28"/>
    <w:rsid w:val="79346574"/>
    <w:rsid w:val="793547C6"/>
    <w:rsid w:val="7936053E"/>
    <w:rsid w:val="793772DB"/>
    <w:rsid w:val="793842B6"/>
    <w:rsid w:val="79386064"/>
    <w:rsid w:val="793A1DDD"/>
    <w:rsid w:val="793A6280"/>
    <w:rsid w:val="793B3DA7"/>
    <w:rsid w:val="793C0BCE"/>
    <w:rsid w:val="793C27A7"/>
    <w:rsid w:val="794013BD"/>
    <w:rsid w:val="7940316B"/>
    <w:rsid w:val="79424F6E"/>
    <w:rsid w:val="79426EE3"/>
    <w:rsid w:val="794762A8"/>
    <w:rsid w:val="79490272"/>
    <w:rsid w:val="7949756C"/>
    <w:rsid w:val="794A5D98"/>
    <w:rsid w:val="794B10D1"/>
    <w:rsid w:val="794C38BE"/>
    <w:rsid w:val="794C7D62"/>
    <w:rsid w:val="795310F0"/>
    <w:rsid w:val="795402EE"/>
    <w:rsid w:val="79554E68"/>
    <w:rsid w:val="79555700"/>
    <w:rsid w:val="79584959"/>
    <w:rsid w:val="795C0904"/>
    <w:rsid w:val="795C12C1"/>
    <w:rsid w:val="795D3D1D"/>
    <w:rsid w:val="795F5CE7"/>
    <w:rsid w:val="79607369"/>
    <w:rsid w:val="79627585"/>
    <w:rsid w:val="79646E59"/>
    <w:rsid w:val="79652BD2"/>
    <w:rsid w:val="79660E24"/>
    <w:rsid w:val="79665D4F"/>
    <w:rsid w:val="79667075"/>
    <w:rsid w:val="79674B9C"/>
    <w:rsid w:val="79684BF5"/>
    <w:rsid w:val="796B5EF3"/>
    <w:rsid w:val="796C21B2"/>
    <w:rsid w:val="796E1A86"/>
    <w:rsid w:val="796F62A7"/>
    <w:rsid w:val="79703A50"/>
    <w:rsid w:val="79733540"/>
    <w:rsid w:val="797572B9"/>
    <w:rsid w:val="79766ADB"/>
    <w:rsid w:val="797846B3"/>
    <w:rsid w:val="79786DA9"/>
    <w:rsid w:val="797A2BC5"/>
    <w:rsid w:val="797B1A2A"/>
    <w:rsid w:val="797B484A"/>
    <w:rsid w:val="797D43BF"/>
    <w:rsid w:val="797D7AAD"/>
    <w:rsid w:val="797F3C93"/>
    <w:rsid w:val="797F79C2"/>
    <w:rsid w:val="79825F6B"/>
    <w:rsid w:val="79840BD1"/>
    <w:rsid w:val="79872B48"/>
    <w:rsid w:val="7989747E"/>
    <w:rsid w:val="798B088A"/>
    <w:rsid w:val="798E3ED6"/>
    <w:rsid w:val="79927E6B"/>
    <w:rsid w:val="799325F8"/>
    <w:rsid w:val="79975481"/>
    <w:rsid w:val="79984D55"/>
    <w:rsid w:val="79986942"/>
    <w:rsid w:val="799A6D1F"/>
    <w:rsid w:val="799B65F3"/>
    <w:rsid w:val="799C6753"/>
    <w:rsid w:val="799E4968"/>
    <w:rsid w:val="799F4335"/>
    <w:rsid w:val="79A26E60"/>
    <w:rsid w:val="79A33E26"/>
    <w:rsid w:val="79A47660"/>
    <w:rsid w:val="79A57791"/>
    <w:rsid w:val="79A6109B"/>
    <w:rsid w:val="79A67884"/>
    <w:rsid w:val="79A74F98"/>
    <w:rsid w:val="79A74FA7"/>
    <w:rsid w:val="79A90D10"/>
    <w:rsid w:val="79AB5E33"/>
    <w:rsid w:val="79AC0800"/>
    <w:rsid w:val="79AD6A52"/>
    <w:rsid w:val="79AE6381"/>
    <w:rsid w:val="79AF15AF"/>
    <w:rsid w:val="79B25E17"/>
    <w:rsid w:val="79B307CD"/>
    <w:rsid w:val="79B31B8F"/>
    <w:rsid w:val="79B50AEB"/>
    <w:rsid w:val="79B51190"/>
    <w:rsid w:val="79B64503"/>
    <w:rsid w:val="79B7342D"/>
    <w:rsid w:val="79B778D1"/>
    <w:rsid w:val="79B871A5"/>
    <w:rsid w:val="79B91595"/>
    <w:rsid w:val="79BA4CCB"/>
    <w:rsid w:val="79BB5628"/>
    <w:rsid w:val="79BC0A44"/>
    <w:rsid w:val="79BC6C95"/>
    <w:rsid w:val="79C3011E"/>
    <w:rsid w:val="79C45B4A"/>
    <w:rsid w:val="79C63A82"/>
    <w:rsid w:val="79C773E8"/>
    <w:rsid w:val="79C93160"/>
    <w:rsid w:val="79CA1BF9"/>
    <w:rsid w:val="79CA5238"/>
    <w:rsid w:val="79CD0EA3"/>
    <w:rsid w:val="79CD2C51"/>
    <w:rsid w:val="79D0629D"/>
    <w:rsid w:val="79D35D8D"/>
    <w:rsid w:val="79D815F5"/>
    <w:rsid w:val="79D923C1"/>
    <w:rsid w:val="79DB3429"/>
    <w:rsid w:val="79DC10E6"/>
    <w:rsid w:val="79E306C6"/>
    <w:rsid w:val="79E61F64"/>
    <w:rsid w:val="79E81839"/>
    <w:rsid w:val="79ED6E4F"/>
    <w:rsid w:val="79EE0E19"/>
    <w:rsid w:val="79EF706B"/>
    <w:rsid w:val="79F20909"/>
    <w:rsid w:val="79F3642F"/>
    <w:rsid w:val="79F53F55"/>
    <w:rsid w:val="79F63EA4"/>
    <w:rsid w:val="79FA77BE"/>
    <w:rsid w:val="79FC05FF"/>
    <w:rsid w:val="79FC20E6"/>
    <w:rsid w:val="79FF1FCA"/>
    <w:rsid w:val="7A0049E3"/>
    <w:rsid w:val="7A012FE1"/>
    <w:rsid w:val="7A032EEF"/>
    <w:rsid w:val="7A036672"/>
    <w:rsid w:val="7A06090D"/>
    <w:rsid w:val="7A066163"/>
    <w:rsid w:val="7A067F11"/>
    <w:rsid w:val="7A092C03"/>
    <w:rsid w:val="7A0D5743"/>
    <w:rsid w:val="7A146AD1"/>
    <w:rsid w:val="7A150154"/>
    <w:rsid w:val="7A1557C3"/>
    <w:rsid w:val="7A173ECC"/>
    <w:rsid w:val="7A1926F8"/>
    <w:rsid w:val="7A195E96"/>
    <w:rsid w:val="7A1C14E2"/>
    <w:rsid w:val="7A1C7734"/>
    <w:rsid w:val="7A1D648A"/>
    <w:rsid w:val="7A1E34AC"/>
    <w:rsid w:val="7A2117A6"/>
    <w:rsid w:val="7A222FBE"/>
    <w:rsid w:val="7A225C80"/>
    <w:rsid w:val="7A2326FC"/>
    <w:rsid w:val="7A236D15"/>
    <w:rsid w:val="7A252A8D"/>
    <w:rsid w:val="7A2605B3"/>
    <w:rsid w:val="7A262361"/>
    <w:rsid w:val="7A262C38"/>
    <w:rsid w:val="7A2D7B93"/>
    <w:rsid w:val="7A2F6206"/>
    <w:rsid w:val="7A3251AA"/>
    <w:rsid w:val="7A363361"/>
    <w:rsid w:val="7A3727C0"/>
    <w:rsid w:val="7A383EA6"/>
    <w:rsid w:val="7A3B22B0"/>
    <w:rsid w:val="7A3C3932"/>
    <w:rsid w:val="7A3C4F69"/>
    <w:rsid w:val="7A3C7DD6"/>
    <w:rsid w:val="7A3F4413"/>
    <w:rsid w:val="7A410F49"/>
    <w:rsid w:val="7A415E3A"/>
    <w:rsid w:val="7A432F13"/>
    <w:rsid w:val="7A4874F5"/>
    <w:rsid w:val="7A4A24F3"/>
    <w:rsid w:val="7A4B1DC7"/>
    <w:rsid w:val="7A4D1FE3"/>
    <w:rsid w:val="7A4D3D91"/>
    <w:rsid w:val="7A4F18B8"/>
    <w:rsid w:val="7A505398"/>
    <w:rsid w:val="7A546ECE"/>
    <w:rsid w:val="7A5C6203"/>
    <w:rsid w:val="7A600A67"/>
    <w:rsid w:val="7A6269DF"/>
    <w:rsid w:val="7A652E89"/>
    <w:rsid w:val="7A65337B"/>
    <w:rsid w:val="7A666614"/>
    <w:rsid w:val="7A680BCB"/>
    <w:rsid w:val="7A6B4218"/>
    <w:rsid w:val="7A6D61E2"/>
    <w:rsid w:val="7A6D6319"/>
    <w:rsid w:val="7A6D7F90"/>
    <w:rsid w:val="7A6F5AB6"/>
    <w:rsid w:val="7A715CD2"/>
    <w:rsid w:val="7A7237F8"/>
    <w:rsid w:val="7A730732"/>
    <w:rsid w:val="7A7509B3"/>
    <w:rsid w:val="7A7632E8"/>
    <w:rsid w:val="7A777060"/>
    <w:rsid w:val="7A7936AD"/>
    <w:rsid w:val="7A7C2EFB"/>
    <w:rsid w:val="7A7E3F4B"/>
    <w:rsid w:val="7A804167"/>
    <w:rsid w:val="7A8157E9"/>
    <w:rsid w:val="7A8167C9"/>
    <w:rsid w:val="7A8231AE"/>
    <w:rsid w:val="7A8507F7"/>
    <w:rsid w:val="7A861B7B"/>
    <w:rsid w:val="7A886B78"/>
    <w:rsid w:val="7A8B310D"/>
    <w:rsid w:val="7A8B6668"/>
    <w:rsid w:val="7A8D418E"/>
    <w:rsid w:val="7A8E4BF5"/>
    <w:rsid w:val="7A8F43AA"/>
    <w:rsid w:val="7A911ED0"/>
    <w:rsid w:val="7A9377CC"/>
    <w:rsid w:val="7A9419C0"/>
    <w:rsid w:val="7A967A1B"/>
    <w:rsid w:val="7A97500D"/>
    <w:rsid w:val="7A9814B1"/>
    <w:rsid w:val="7A996798"/>
    <w:rsid w:val="7A997C4B"/>
    <w:rsid w:val="7A9B4AFD"/>
    <w:rsid w:val="7A9B68AB"/>
    <w:rsid w:val="7A9E2300"/>
    <w:rsid w:val="7A9E45ED"/>
    <w:rsid w:val="7AA03EC1"/>
    <w:rsid w:val="7AA17C39"/>
    <w:rsid w:val="7AA339B1"/>
    <w:rsid w:val="7AA34926"/>
    <w:rsid w:val="7AA453E2"/>
    <w:rsid w:val="7AA634A2"/>
    <w:rsid w:val="7AA837EE"/>
    <w:rsid w:val="7AA8721A"/>
    <w:rsid w:val="7AAA2F04"/>
    <w:rsid w:val="7AAA4D40"/>
    <w:rsid w:val="7AAB2866"/>
    <w:rsid w:val="7AAF3204"/>
    <w:rsid w:val="7AB57A3E"/>
    <w:rsid w:val="7AB636E5"/>
    <w:rsid w:val="7AB67B89"/>
    <w:rsid w:val="7AB70577"/>
    <w:rsid w:val="7AB76D60"/>
    <w:rsid w:val="7AB7745D"/>
    <w:rsid w:val="7AB83901"/>
    <w:rsid w:val="7AB86E66"/>
    <w:rsid w:val="7AB94F83"/>
    <w:rsid w:val="7ABA3CDD"/>
    <w:rsid w:val="7ABB6F4D"/>
    <w:rsid w:val="7ABC4A73"/>
    <w:rsid w:val="7ABE6A3D"/>
    <w:rsid w:val="7AC027B5"/>
    <w:rsid w:val="7AC11659"/>
    <w:rsid w:val="7AC1208A"/>
    <w:rsid w:val="7AC202DC"/>
    <w:rsid w:val="7AC35E02"/>
    <w:rsid w:val="7AC54306"/>
    <w:rsid w:val="7AC6403B"/>
    <w:rsid w:val="7AC676A0"/>
    <w:rsid w:val="7AC72841"/>
    <w:rsid w:val="7AC91619"/>
    <w:rsid w:val="7ACB4CB6"/>
    <w:rsid w:val="7ACB52B7"/>
    <w:rsid w:val="7ACC7EAD"/>
    <w:rsid w:val="7AD324E9"/>
    <w:rsid w:val="7AD46EDE"/>
    <w:rsid w:val="7AD623EF"/>
    <w:rsid w:val="7AD65B35"/>
    <w:rsid w:val="7AD710E4"/>
    <w:rsid w:val="7AD77D75"/>
    <w:rsid w:val="7ADC2696"/>
    <w:rsid w:val="7ADC6EC3"/>
    <w:rsid w:val="7ADD3367"/>
    <w:rsid w:val="7AE04F1E"/>
    <w:rsid w:val="7AE27356"/>
    <w:rsid w:val="7AE364A4"/>
    <w:rsid w:val="7AE446F6"/>
    <w:rsid w:val="7AE5221C"/>
    <w:rsid w:val="7AE6195B"/>
    <w:rsid w:val="7AE91D0C"/>
    <w:rsid w:val="7AEA5A84"/>
    <w:rsid w:val="7AED115E"/>
    <w:rsid w:val="7AEE7323"/>
    <w:rsid w:val="7AF15F85"/>
    <w:rsid w:val="7AF16E13"/>
    <w:rsid w:val="7AF53977"/>
    <w:rsid w:val="7AF80155"/>
    <w:rsid w:val="7AF952B8"/>
    <w:rsid w:val="7AFB37ED"/>
    <w:rsid w:val="7AFE6E3A"/>
    <w:rsid w:val="7B000E04"/>
    <w:rsid w:val="7B024B7C"/>
    <w:rsid w:val="7B045647"/>
    <w:rsid w:val="7B0501C8"/>
    <w:rsid w:val="7B05641A"/>
    <w:rsid w:val="7B0E1773"/>
    <w:rsid w:val="7B0F1377"/>
    <w:rsid w:val="7B0F54EB"/>
    <w:rsid w:val="7B116B6D"/>
    <w:rsid w:val="7B125BD2"/>
    <w:rsid w:val="7B130B37"/>
    <w:rsid w:val="7B130F00"/>
    <w:rsid w:val="7B1339EF"/>
    <w:rsid w:val="7B136D89"/>
    <w:rsid w:val="7B1413AD"/>
    <w:rsid w:val="7B166879"/>
    <w:rsid w:val="7B18614D"/>
    <w:rsid w:val="7B1B79EC"/>
    <w:rsid w:val="7B1C6BA1"/>
    <w:rsid w:val="7B1E74DC"/>
    <w:rsid w:val="7B213B24"/>
    <w:rsid w:val="7B222136"/>
    <w:rsid w:val="7B2745E3"/>
    <w:rsid w:val="7B2A7C2F"/>
    <w:rsid w:val="7B2E3BC3"/>
    <w:rsid w:val="7B2E5EF7"/>
    <w:rsid w:val="7B2F5831"/>
    <w:rsid w:val="7B310FBD"/>
    <w:rsid w:val="7B315461"/>
    <w:rsid w:val="7B32218D"/>
    <w:rsid w:val="7B324E29"/>
    <w:rsid w:val="7B332F87"/>
    <w:rsid w:val="7B334D35"/>
    <w:rsid w:val="7B340AAD"/>
    <w:rsid w:val="7B353B37"/>
    <w:rsid w:val="7B362A78"/>
    <w:rsid w:val="7B391B36"/>
    <w:rsid w:val="7B3B010C"/>
    <w:rsid w:val="7B3B22B3"/>
    <w:rsid w:val="7B3B62E0"/>
    <w:rsid w:val="7B3C4A6B"/>
    <w:rsid w:val="7B3D5BB4"/>
    <w:rsid w:val="7B3F192C"/>
    <w:rsid w:val="7B3F7B7E"/>
    <w:rsid w:val="7B4056A4"/>
    <w:rsid w:val="7B441594"/>
    <w:rsid w:val="7B442A17"/>
    <w:rsid w:val="7B445194"/>
    <w:rsid w:val="7B451A19"/>
    <w:rsid w:val="7B46200C"/>
    <w:rsid w:val="7B4927AB"/>
    <w:rsid w:val="7B49555D"/>
    <w:rsid w:val="7B4B6523"/>
    <w:rsid w:val="7B4D0E37"/>
    <w:rsid w:val="7B4E6013"/>
    <w:rsid w:val="7B4E646D"/>
    <w:rsid w:val="7B4F58E7"/>
    <w:rsid w:val="7B5178B1"/>
    <w:rsid w:val="7B523868"/>
    <w:rsid w:val="7B537186"/>
    <w:rsid w:val="7B541AE3"/>
    <w:rsid w:val="7B5573A2"/>
    <w:rsid w:val="7B5770BD"/>
    <w:rsid w:val="7B5829EE"/>
    <w:rsid w:val="7B5B24DE"/>
    <w:rsid w:val="7B5B428C"/>
    <w:rsid w:val="7B5B603A"/>
    <w:rsid w:val="7B5B7C0F"/>
    <w:rsid w:val="7B5D0004"/>
    <w:rsid w:val="7B5F1FCE"/>
    <w:rsid w:val="7B5F6041"/>
    <w:rsid w:val="7B607AF4"/>
    <w:rsid w:val="7B6273C9"/>
    <w:rsid w:val="7B640A94"/>
    <w:rsid w:val="7B647440"/>
    <w:rsid w:val="7B6475E5"/>
    <w:rsid w:val="7B66335D"/>
    <w:rsid w:val="7B6716D6"/>
    <w:rsid w:val="7B694BFB"/>
    <w:rsid w:val="7B6E0463"/>
    <w:rsid w:val="7B6E2211"/>
    <w:rsid w:val="7B6E5D6D"/>
    <w:rsid w:val="7B707D38"/>
    <w:rsid w:val="7B713AB0"/>
    <w:rsid w:val="7B7315D6"/>
    <w:rsid w:val="7B735A7A"/>
    <w:rsid w:val="7B746E0D"/>
    <w:rsid w:val="7B783090"/>
    <w:rsid w:val="7B7A6E08"/>
    <w:rsid w:val="7B7B202A"/>
    <w:rsid w:val="7B7B492E"/>
    <w:rsid w:val="7B7D4202"/>
    <w:rsid w:val="7B7E5661"/>
    <w:rsid w:val="7B810197"/>
    <w:rsid w:val="7B821819"/>
    <w:rsid w:val="7B825CBD"/>
    <w:rsid w:val="7B841DB2"/>
    <w:rsid w:val="7B845591"/>
    <w:rsid w:val="7B862F60"/>
    <w:rsid w:val="7B8657AD"/>
    <w:rsid w:val="7B876E2F"/>
    <w:rsid w:val="7B8F3645"/>
    <w:rsid w:val="7B915F00"/>
    <w:rsid w:val="7B947887"/>
    <w:rsid w:val="7B953E2D"/>
    <w:rsid w:val="7B98728E"/>
    <w:rsid w:val="7B9A6B62"/>
    <w:rsid w:val="7B9B2EAA"/>
    <w:rsid w:val="7B9C4B10"/>
    <w:rsid w:val="7B9F061D"/>
    <w:rsid w:val="7B9F686F"/>
    <w:rsid w:val="7BA06143"/>
    <w:rsid w:val="7BA14395"/>
    <w:rsid w:val="7BA234CA"/>
    <w:rsid w:val="7BA45C33"/>
    <w:rsid w:val="7BA5368F"/>
    <w:rsid w:val="7BA63759"/>
    <w:rsid w:val="7BA67BFD"/>
    <w:rsid w:val="7BA75723"/>
    <w:rsid w:val="7BA9149B"/>
    <w:rsid w:val="7BAB6FC2"/>
    <w:rsid w:val="7BB0116A"/>
    <w:rsid w:val="7BB265A2"/>
    <w:rsid w:val="7BB318B1"/>
    <w:rsid w:val="7BB330E6"/>
    <w:rsid w:val="7BB57E40"/>
    <w:rsid w:val="7BB857F2"/>
    <w:rsid w:val="7BB87930"/>
    <w:rsid w:val="7BB90EFB"/>
    <w:rsid w:val="7BBD6FF0"/>
    <w:rsid w:val="7BBF0CBF"/>
    <w:rsid w:val="7BBF2A6D"/>
    <w:rsid w:val="7BBF481B"/>
    <w:rsid w:val="7BC167E5"/>
    <w:rsid w:val="7BC462D5"/>
    <w:rsid w:val="7BC46AE2"/>
    <w:rsid w:val="7BC57958"/>
    <w:rsid w:val="7BC65BA9"/>
    <w:rsid w:val="7BC938EC"/>
    <w:rsid w:val="7BCC0CE6"/>
    <w:rsid w:val="7BD007D6"/>
    <w:rsid w:val="7BD51053"/>
    <w:rsid w:val="7BD67AF8"/>
    <w:rsid w:val="7BD76009"/>
    <w:rsid w:val="7BD77DB7"/>
    <w:rsid w:val="7BDA3403"/>
    <w:rsid w:val="7BDB1CFE"/>
    <w:rsid w:val="7BDB4177"/>
    <w:rsid w:val="7BDD1145"/>
    <w:rsid w:val="7BDD3848"/>
    <w:rsid w:val="7BDE7397"/>
    <w:rsid w:val="7BDF0A19"/>
    <w:rsid w:val="7BE349AD"/>
    <w:rsid w:val="7BE40725"/>
    <w:rsid w:val="7BE44282"/>
    <w:rsid w:val="7BE57DD3"/>
    <w:rsid w:val="7BE7064E"/>
    <w:rsid w:val="7BEC3136"/>
    <w:rsid w:val="7BEC668E"/>
    <w:rsid w:val="7BF02DB2"/>
    <w:rsid w:val="7BF21DD7"/>
    <w:rsid w:val="7BF24BF0"/>
    <w:rsid w:val="7BF34E93"/>
    <w:rsid w:val="7BF5023D"/>
    <w:rsid w:val="7BF72207"/>
    <w:rsid w:val="7BFA287F"/>
    <w:rsid w:val="7BFC667B"/>
    <w:rsid w:val="7C0102FD"/>
    <w:rsid w:val="7C030BAC"/>
    <w:rsid w:val="7C036657"/>
    <w:rsid w:val="7C044924"/>
    <w:rsid w:val="7C084414"/>
    <w:rsid w:val="7C0A73F6"/>
    <w:rsid w:val="7C0B5CB2"/>
    <w:rsid w:val="7C0D1A2A"/>
    <w:rsid w:val="7C0E57A2"/>
    <w:rsid w:val="7C0E781F"/>
    <w:rsid w:val="7C103A06"/>
    <w:rsid w:val="7C1508DF"/>
    <w:rsid w:val="7C167239"/>
    <w:rsid w:val="7C195991"/>
    <w:rsid w:val="7C1E0CA1"/>
    <w:rsid w:val="7C1E59E5"/>
    <w:rsid w:val="7C217284"/>
    <w:rsid w:val="7C23124E"/>
    <w:rsid w:val="7C246D74"/>
    <w:rsid w:val="7C280612"/>
    <w:rsid w:val="7C286864"/>
    <w:rsid w:val="7C296138"/>
    <w:rsid w:val="7C2B1EB0"/>
    <w:rsid w:val="7C2D1965"/>
    <w:rsid w:val="7C2D348E"/>
    <w:rsid w:val="7C2F7BF3"/>
    <w:rsid w:val="7C324DF4"/>
    <w:rsid w:val="7C347CA5"/>
    <w:rsid w:val="7C352D2F"/>
    <w:rsid w:val="7C3832A0"/>
    <w:rsid w:val="7C38637B"/>
    <w:rsid w:val="7C3B7086"/>
    <w:rsid w:val="7C3E1BE4"/>
    <w:rsid w:val="7C3E7E36"/>
    <w:rsid w:val="7C3F1B77"/>
    <w:rsid w:val="7C43369E"/>
    <w:rsid w:val="7C442F72"/>
    <w:rsid w:val="7C447735"/>
    <w:rsid w:val="7C460A98"/>
    <w:rsid w:val="7C4B2553"/>
    <w:rsid w:val="7C4E5B9F"/>
    <w:rsid w:val="7C4F4251"/>
    <w:rsid w:val="7C507B69"/>
    <w:rsid w:val="7C520A0E"/>
    <w:rsid w:val="7C541A59"/>
    <w:rsid w:val="7C5C25FA"/>
    <w:rsid w:val="7C5C4760"/>
    <w:rsid w:val="7C5D0938"/>
    <w:rsid w:val="7C5F32C3"/>
    <w:rsid w:val="7C5F7DAC"/>
    <w:rsid w:val="7C627BFF"/>
    <w:rsid w:val="7C63164A"/>
    <w:rsid w:val="7C6333F8"/>
    <w:rsid w:val="7C63789C"/>
    <w:rsid w:val="7C6453C2"/>
    <w:rsid w:val="7C647170"/>
    <w:rsid w:val="7C66738C"/>
    <w:rsid w:val="7C667A6A"/>
    <w:rsid w:val="7C686C61"/>
    <w:rsid w:val="7C6B6751"/>
    <w:rsid w:val="7C6E5AA6"/>
    <w:rsid w:val="7C6F1677"/>
    <w:rsid w:val="7C741AA9"/>
    <w:rsid w:val="7C75137E"/>
    <w:rsid w:val="7C7935C3"/>
    <w:rsid w:val="7C794503"/>
    <w:rsid w:val="7C7970C0"/>
    <w:rsid w:val="7C7B2E38"/>
    <w:rsid w:val="7C7C5096"/>
    <w:rsid w:val="7C7E7CDC"/>
    <w:rsid w:val="7C7F136B"/>
    <w:rsid w:val="7C7F3FAA"/>
    <w:rsid w:val="7C833A9B"/>
    <w:rsid w:val="7C8415C1"/>
    <w:rsid w:val="7C843B4D"/>
    <w:rsid w:val="7C870D8D"/>
    <w:rsid w:val="7C887303"/>
    <w:rsid w:val="7C896115"/>
    <w:rsid w:val="7C896BD7"/>
    <w:rsid w:val="7C8E36D7"/>
    <w:rsid w:val="7C904B5B"/>
    <w:rsid w:val="7C920181"/>
    <w:rsid w:val="7C923CDE"/>
    <w:rsid w:val="7C925128"/>
    <w:rsid w:val="7C926444"/>
    <w:rsid w:val="7C961A20"/>
    <w:rsid w:val="7C9C2FD3"/>
    <w:rsid w:val="7C9C3264"/>
    <w:rsid w:val="7C9C4B5C"/>
    <w:rsid w:val="7C9C690A"/>
    <w:rsid w:val="7CA12173"/>
    <w:rsid w:val="7CA13F21"/>
    <w:rsid w:val="7CA21C7D"/>
    <w:rsid w:val="7CA57EB5"/>
    <w:rsid w:val="7CA66275"/>
    <w:rsid w:val="7CA81753"/>
    <w:rsid w:val="7CA83501"/>
    <w:rsid w:val="7CAD5781"/>
    <w:rsid w:val="7CAD7B21"/>
    <w:rsid w:val="7CB11CDC"/>
    <w:rsid w:val="7CB24380"/>
    <w:rsid w:val="7CB26E8E"/>
    <w:rsid w:val="7CB43637"/>
    <w:rsid w:val="7CBB1486"/>
    <w:rsid w:val="7CBB3234"/>
    <w:rsid w:val="7CBC5BAF"/>
    <w:rsid w:val="7CBE0F77"/>
    <w:rsid w:val="7CC073B5"/>
    <w:rsid w:val="7CC3033B"/>
    <w:rsid w:val="7CC51603"/>
    <w:rsid w:val="7CC876FF"/>
    <w:rsid w:val="7CCA791B"/>
    <w:rsid w:val="7CCB4BA1"/>
    <w:rsid w:val="7CCC5441"/>
    <w:rsid w:val="7CCD2092"/>
    <w:rsid w:val="7CCD5793"/>
    <w:rsid w:val="7CCF0A8E"/>
    <w:rsid w:val="7CCF4F32"/>
    <w:rsid w:val="7CD10CAA"/>
    <w:rsid w:val="7CD21EA3"/>
    <w:rsid w:val="7CD25682"/>
    <w:rsid w:val="7CD461A4"/>
    <w:rsid w:val="7CD6006E"/>
    <w:rsid w:val="7CD61CB4"/>
    <w:rsid w:val="7CD808E6"/>
    <w:rsid w:val="7CD9190C"/>
    <w:rsid w:val="7CDB5685"/>
    <w:rsid w:val="7CDC4E4D"/>
    <w:rsid w:val="7CDD1B87"/>
    <w:rsid w:val="7CDD43BF"/>
    <w:rsid w:val="7CDE33C7"/>
    <w:rsid w:val="7CDE6F23"/>
    <w:rsid w:val="7CE617A9"/>
    <w:rsid w:val="7CE65DD7"/>
    <w:rsid w:val="7CE9012A"/>
    <w:rsid w:val="7CE94EE1"/>
    <w:rsid w:val="7CE96A06"/>
    <w:rsid w:val="7CED53B8"/>
    <w:rsid w:val="7CF130FA"/>
    <w:rsid w:val="7CF35F88"/>
    <w:rsid w:val="7CF50338"/>
    <w:rsid w:val="7CF51023"/>
    <w:rsid w:val="7CF71650"/>
    <w:rsid w:val="7CF77FE5"/>
    <w:rsid w:val="7CF83BBE"/>
    <w:rsid w:val="7CF90201"/>
    <w:rsid w:val="7CF91FAF"/>
    <w:rsid w:val="7CF93585"/>
    <w:rsid w:val="7CFB1883"/>
    <w:rsid w:val="7CFB7AD5"/>
    <w:rsid w:val="7CFD1A9F"/>
    <w:rsid w:val="7CFD39FE"/>
    <w:rsid w:val="7CFD674B"/>
    <w:rsid w:val="7D0019DC"/>
    <w:rsid w:val="7D00333D"/>
    <w:rsid w:val="7D012C11"/>
    <w:rsid w:val="7D0270B5"/>
    <w:rsid w:val="7D060228"/>
    <w:rsid w:val="7D07647A"/>
    <w:rsid w:val="7D0806BE"/>
    <w:rsid w:val="7D0864CC"/>
    <w:rsid w:val="7D0B583E"/>
    <w:rsid w:val="7D0C35D2"/>
    <w:rsid w:val="7D0D7808"/>
    <w:rsid w:val="7D0F532E"/>
    <w:rsid w:val="7D1312C2"/>
    <w:rsid w:val="7D146DE8"/>
    <w:rsid w:val="7D157953"/>
    <w:rsid w:val="7D176D34"/>
    <w:rsid w:val="7D184638"/>
    <w:rsid w:val="7D1868D9"/>
    <w:rsid w:val="7D1D5C9D"/>
    <w:rsid w:val="7D22017B"/>
    <w:rsid w:val="7D221505"/>
    <w:rsid w:val="7D252DA4"/>
    <w:rsid w:val="7D256900"/>
    <w:rsid w:val="7D264FC3"/>
    <w:rsid w:val="7D2955BD"/>
    <w:rsid w:val="7D2C193A"/>
    <w:rsid w:val="7D2E7EAA"/>
    <w:rsid w:val="7D2E7F9F"/>
    <w:rsid w:val="7D2F59D0"/>
    <w:rsid w:val="7D2F777E"/>
    <w:rsid w:val="7D306D89"/>
    <w:rsid w:val="7D311748"/>
    <w:rsid w:val="7D374624"/>
    <w:rsid w:val="7D382AD7"/>
    <w:rsid w:val="7D3A1082"/>
    <w:rsid w:val="7D3A23FC"/>
    <w:rsid w:val="7D3A6705"/>
    <w:rsid w:val="7D3D1E9B"/>
    <w:rsid w:val="7D3F19B9"/>
    <w:rsid w:val="7D4025D5"/>
    <w:rsid w:val="7D4642E0"/>
    <w:rsid w:val="7D474AC8"/>
    <w:rsid w:val="7D48191E"/>
    <w:rsid w:val="7D4E16BD"/>
    <w:rsid w:val="7D5316BF"/>
    <w:rsid w:val="7D553689"/>
    <w:rsid w:val="7D5574EA"/>
    <w:rsid w:val="7D562F5D"/>
    <w:rsid w:val="7D572557"/>
    <w:rsid w:val="7D586CD5"/>
    <w:rsid w:val="7D5B2F52"/>
    <w:rsid w:val="7D5B67C5"/>
    <w:rsid w:val="7D5B68B0"/>
    <w:rsid w:val="7D5F5D12"/>
    <w:rsid w:val="7D603DDC"/>
    <w:rsid w:val="7D605B8A"/>
    <w:rsid w:val="7D625DA6"/>
    <w:rsid w:val="7D63567A"/>
    <w:rsid w:val="7D637428"/>
    <w:rsid w:val="7D657644"/>
    <w:rsid w:val="7D6733BC"/>
    <w:rsid w:val="7D676F18"/>
    <w:rsid w:val="7D697134"/>
    <w:rsid w:val="7D6B2EAC"/>
    <w:rsid w:val="7D6C1D7F"/>
    <w:rsid w:val="7D6C6800"/>
    <w:rsid w:val="7D6D630D"/>
    <w:rsid w:val="7D6E2861"/>
    <w:rsid w:val="7D7004C3"/>
    <w:rsid w:val="7D70472C"/>
    <w:rsid w:val="7D7176DD"/>
    <w:rsid w:val="7D781125"/>
    <w:rsid w:val="7D787377"/>
    <w:rsid w:val="7D796C4C"/>
    <w:rsid w:val="7D7A30EF"/>
    <w:rsid w:val="7D7B6E68"/>
    <w:rsid w:val="7D7D1955"/>
    <w:rsid w:val="7D7E4262"/>
    <w:rsid w:val="7D80064D"/>
    <w:rsid w:val="7D807FDA"/>
    <w:rsid w:val="7D8201F6"/>
    <w:rsid w:val="7D827CD7"/>
    <w:rsid w:val="7D834D23"/>
    <w:rsid w:val="7D834ED8"/>
    <w:rsid w:val="7D871368"/>
    <w:rsid w:val="7D8775BA"/>
    <w:rsid w:val="7D8B6677"/>
    <w:rsid w:val="7D8B70AB"/>
    <w:rsid w:val="7D8E2059"/>
    <w:rsid w:val="7D8F021D"/>
    <w:rsid w:val="7D8F40DE"/>
    <w:rsid w:val="7D8F646F"/>
    <w:rsid w:val="7D902913"/>
    <w:rsid w:val="7D9121E7"/>
    <w:rsid w:val="7D913864"/>
    <w:rsid w:val="7D937D0D"/>
    <w:rsid w:val="7D951CD7"/>
    <w:rsid w:val="7D957F29"/>
    <w:rsid w:val="7D960C66"/>
    <w:rsid w:val="7D9879F5"/>
    <w:rsid w:val="7D9A5540"/>
    <w:rsid w:val="7D9C40E6"/>
    <w:rsid w:val="7DA2115B"/>
    <w:rsid w:val="7DA32BE1"/>
    <w:rsid w:val="7DA71A0B"/>
    <w:rsid w:val="7DAC5BB7"/>
    <w:rsid w:val="7DAC7021"/>
    <w:rsid w:val="7DAE2D99"/>
    <w:rsid w:val="7DB02C3C"/>
    <w:rsid w:val="7DB163E5"/>
    <w:rsid w:val="7DB52379"/>
    <w:rsid w:val="7DB61C4E"/>
    <w:rsid w:val="7DB83C18"/>
    <w:rsid w:val="7DB87774"/>
    <w:rsid w:val="7DB91536"/>
    <w:rsid w:val="7DBA34EC"/>
    <w:rsid w:val="7DBA7990"/>
    <w:rsid w:val="7DBB7264"/>
    <w:rsid w:val="7DBC3788"/>
    <w:rsid w:val="7DBF2C63"/>
    <w:rsid w:val="7DC04AEA"/>
    <w:rsid w:val="7DC26844"/>
    <w:rsid w:val="7DC51E91"/>
    <w:rsid w:val="7DC600E3"/>
    <w:rsid w:val="7DC84D08"/>
    <w:rsid w:val="7DC974CD"/>
    <w:rsid w:val="7DCA179F"/>
    <w:rsid w:val="7DCB7F0E"/>
    <w:rsid w:val="7DCC321F"/>
    <w:rsid w:val="7DCE4366"/>
    <w:rsid w:val="7DD24CD9"/>
    <w:rsid w:val="7DD30A52"/>
    <w:rsid w:val="7DD34395"/>
    <w:rsid w:val="7DD4769B"/>
    <w:rsid w:val="7DD6409E"/>
    <w:rsid w:val="7DD81BC4"/>
    <w:rsid w:val="7DD91BFA"/>
    <w:rsid w:val="7DDC7906"/>
    <w:rsid w:val="7DDE6431"/>
    <w:rsid w:val="7DDF0F91"/>
    <w:rsid w:val="7DDF11A4"/>
    <w:rsid w:val="7DDF32C1"/>
    <w:rsid w:val="7DDF537D"/>
    <w:rsid w:val="7DE20C95"/>
    <w:rsid w:val="7DE20D43"/>
    <w:rsid w:val="7DE22447"/>
    <w:rsid w:val="7DE44A0D"/>
    <w:rsid w:val="7DE95B7F"/>
    <w:rsid w:val="7DEA43B4"/>
    <w:rsid w:val="7DEB18F7"/>
    <w:rsid w:val="7DF10ED8"/>
    <w:rsid w:val="7DF36428"/>
    <w:rsid w:val="7DF562E5"/>
    <w:rsid w:val="7DF82266"/>
    <w:rsid w:val="7DFC6489"/>
    <w:rsid w:val="7DFD162B"/>
    <w:rsid w:val="7E01736D"/>
    <w:rsid w:val="7E040C0B"/>
    <w:rsid w:val="7E046E5D"/>
    <w:rsid w:val="7E062BD5"/>
    <w:rsid w:val="7E074464"/>
    <w:rsid w:val="7E0871BD"/>
    <w:rsid w:val="7E0B1A97"/>
    <w:rsid w:val="7E0B1F99"/>
    <w:rsid w:val="7E0B3D48"/>
    <w:rsid w:val="7E0D5D12"/>
    <w:rsid w:val="7E0E3838"/>
    <w:rsid w:val="7E1150D6"/>
    <w:rsid w:val="7E130E4E"/>
    <w:rsid w:val="7E1370A0"/>
    <w:rsid w:val="7E1B3C67"/>
    <w:rsid w:val="7E1C0204"/>
    <w:rsid w:val="7E1C41A7"/>
    <w:rsid w:val="7E1E56F5"/>
    <w:rsid w:val="7E21356B"/>
    <w:rsid w:val="7E215319"/>
    <w:rsid w:val="7E221091"/>
    <w:rsid w:val="7E2237B2"/>
    <w:rsid w:val="7E241DDE"/>
    <w:rsid w:val="7E265025"/>
    <w:rsid w:val="7E2B06CC"/>
    <w:rsid w:val="7E2E3EDA"/>
    <w:rsid w:val="7E2F3AA9"/>
    <w:rsid w:val="7E325778"/>
    <w:rsid w:val="7E33329E"/>
    <w:rsid w:val="7E33504C"/>
    <w:rsid w:val="7E335249"/>
    <w:rsid w:val="7E3A462D"/>
    <w:rsid w:val="7E3A63DB"/>
    <w:rsid w:val="7E3C03A5"/>
    <w:rsid w:val="7E3F2705"/>
    <w:rsid w:val="7E402F74"/>
    <w:rsid w:val="7E41734E"/>
    <w:rsid w:val="7E417769"/>
    <w:rsid w:val="7E470AF8"/>
    <w:rsid w:val="7E482253"/>
    <w:rsid w:val="7E482A3A"/>
    <w:rsid w:val="7E490D14"/>
    <w:rsid w:val="7E4B2FD1"/>
    <w:rsid w:val="7E4B683A"/>
    <w:rsid w:val="7E4C19A5"/>
    <w:rsid w:val="7E4D47E1"/>
    <w:rsid w:val="7E4D7910"/>
    <w:rsid w:val="7E501C78"/>
    <w:rsid w:val="7E53749D"/>
    <w:rsid w:val="7E553215"/>
    <w:rsid w:val="7E584AB3"/>
    <w:rsid w:val="7E585886"/>
    <w:rsid w:val="7E5971A9"/>
    <w:rsid w:val="7E5E47BF"/>
    <w:rsid w:val="7E5F06D1"/>
    <w:rsid w:val="7E5F322E"/>
    <w:rsid w:val="7E5F5E41"/>
    <w:rsid w:val="7E5F7C24"/>
    <w:rsid w:val="7E61605D"/>
    <w:rsid w:val="7E616A05"/>
    <w:rsid w:val="7E6410D2"/>
    <w:rsid w:val="7E66131A"/>
    <w:rsid w:val="7E6727AA"/>
    <w:rsid w:val="7E683111"/>
    <w:rsid w:val="7E6B0C8A"/>
    <w:rsid w:val="7E6B6EDC"/>
    <w:rsid w:val="7E6D0329"/>
    <w:rsid w:val="7E6F3B0D"/>
    <w:rsid w:val="7E751B09"/>
    <w:rsid w:val="7E785B84"/>
    <w:rsid w:val="7E7933A7"/>
    <w:rsid w:val="7E7C5BB6"/>
    <w:rsid w:val="7E7E776C"/>
    <w:rsid w:val="7E8054AD"/>
    <w:rsid w:val="7E8104AE"/>
    <w:rsid w:val="7E810B60"/>
    <w:rsid w:val="7E885398"/>
    <w:rsid w:val="7E893B09"/>
    <w:rsid w:val="7E8A55B4"/>
    <w:rsid w:val="7E8D0C00"/>
    <w:rsid w:val="7E8D6E52"/>
    <w:rsid w:val="7E8F4979"/>
    <w:rsid w:val="7E9006F1"/>
    <w:rsid w:val="7E927FC5"/>
    <w:rsid w:val="7E963CAD"/>
    <w:rsid w:val="7E97382D"/>
    <w:rsid w:val="7E975577"/>
    <w:rsid w:val="7E991353"/>
    <w:rsid w:val="7E992A68"/>
    <w:rsid w:val="7E9A1E77"/>
    <w:rsid w:val="7E9C0E44"/>
    <w:rsid w:val="7E9D7B39"/>
    <w:rsid w:val="7EA06F82"/>
    <w:rsid w:val="7EA63A70"/>
    <w:rsid w:val="7EA83C8C"/>
    <w:rsid w:val="7EAA00E8"/>
    <w:rsid w:val="7EAA3560"/>
    <w:rsid w:val="7EAB1087"/>
    <w:rsid w:val="7EAB552B"/>
    <w:rsid w:val="7EAB72D9"/>
    <w:rsid w:val="7EAD12EA"/>
    <w:rsid w:val="7EAD3051"/>
    <w:rsid w:val="7EAE4F3F"/>
    <w:rsid w:val="7EAF501B"/>
    <w:rsid w:val="7EAF557B"/>
    <w:rsid w:val="7EAF6DC9"/>
    <w:rsid w:val="7EB05F55"/>
    <w:rsid w:val="7EB10D93"/>
    <w:rsid w:val="7EB42631"/>
    <w:rsid w:val="7EB536D1"/>
    <w:rsid w:val="7EB54C7D"/>
    <w:rsid w:val="7EB663A9"/>
    <w:rsid w:val="7EB85585"/>
    <w:rsid w:val="7EB919F5"/>
    <w:rsid w:val="7EBA6836"/>
    <w:rsid w:val="7EBC3294"/>
    <w:rsid w:val="7EC02D84"/>
    <w:rsid w:val="7EC108AA"/>
    <w:rsid w:val="7EC301BA"/>
    <w:rsid w:val="7EC87E8B"/>
    <w:rsid w:val="7ECD36F3"/>
    <w:rsid w:val="7ECF1219"/>
    <w:rsid w:val="7ED22AB7"/>
    <w:rsid w:val="7ED3400A"/>
    <w:rsid w:val="7ED44A81"/>
    <w:rsid w:val="7ED76320"/>
    <w:rsid w:val="7ED86C92"/>
    <w:rsid w:val="7EDA66D5"/>
    <w:rsid w:val="7EDC0A12"/>
    <w:rsid w:val="7EDE145C"/>
    <w:rsid w:val="7EDE320A"/>
    <w:rsid w:val="7EE06F82"/>
    <w:rsid w:val="7EE10F4C"/>
    <w:rsid w:val="7EE14AFA"/>
    <w:rsid w:val="7EE2719E"/>
    <w:rsid w:val="7EE460E6"/>
    <w:rsid w:val="7EE50A3C"/>
    <w:rsid w:val="7EE60311"/>
    <w:rsid w:val="7EE75906"/>
    <w:rsid w:val="7EEA7E01"/>
    <w:rsid w:val="7EEB2310"/>
    <w:rsid w:val="7EEB5927"/>
    <w:rsid w:val="7EEC5C98"/>
    <w:rsid w:val="7EED169F"/>
    <w:rsid w:val="7EF0118F"/>
    <w:rsid w:val="7EF02F3D"/>
    <w:rsid w:val="7EF255F7"/>
    <w:rsid w:val="7EF46244"/>
    <w:rsid w:val="7EF649F8"/>
    <w:rsid w:val="7EF96296"/>
    <w:rsid w:val="7EFB200E"/>
    <w:rsid w:val="7EFC5D86"/>
    <w:rsid w:val="7EFF0162"/>
    <w:rsid w:val="7F010848"/>
    <w:rsid w:val="7F030EC3"/>
    <w:rsid w:val="7F0314A2"/>
    <w:rsid w:val="7F03523F"/>
    <w:rsid w:val="7F052E8D"/>
    <w:rsid w:val="7F0569E9"/>
    <w:rsid w:val="7F0864D9"/>
    <w:rsid w:val="7F091139"/>
    <w:rsid w:val="7F0A2251"/>
    <w:rsid w:val="7F0C5047"/>
    <w:rsid w:val="7F0D7F93"/>
    <w:rsid w:val="7F121106"/>
    <w:rsid w:val="7F160BF6"/>
    <w:rsid w:val="7F1629A4"/>
    <w:rsid w:val="7F166F47"/>
    <w:rsid w:val="7F17496E"/>
    <w:rsid w:val="7F175B5D"/>
    <w:rsid w:val="7F1A029F"/>
    <w:rsid w:val="7F1B6BFC"/>
    <w:rsid w:val="7F1E2455"/>
    <w:rsid w:val="7F1E3F4E"/>
    <w:rsid w:val="7F2166F1"/>
    <w:rsid w:val="7F233313"/>
    <w:rsid w:val="7F233380"/>
    <w:rsid w:val="7F2350C1"/>
    <w:rsid w:val="7F25708B"/>
    <w:rsid w:val="7F274788"/>
    <w:rsid w:val="7F297554"/>
    <w:rsid w:val="7F2A644F"/>
    <w:rsid w:val="7F2A6E94"/>
    <w:rsid w:val="7F2D4191"/>
    <w:rsid w:val="7F2F7F0A"/>
    <w:rsid w:val="7F323556"/>
    <w:rsid w:val="7F33516B"/>
    <w:rsid w:val="7F364DF4"/>
    <w:rsid w:val="7F365FF7"/>
    <w:rsid w:val="7F370917"/>
    <w:rsid w:val="7F386A99"/>
    <w:rsid w:val="7F390D88"/>
    <w:rsid w:val="7F3D2627"/>
    <w:rsid w:val="7F3F1CCB"/>
    <w:rsid w:val="7F3F284E"/>
    <w:rsid w:val="7F40036D"/>
    <w:rsid w:val="7F413799"/>
    <w:rsid w:val="7F4145BF"/>
    <w:rsid w:val="7F4219EB"/>
    <w:rsid w:val="7F435763"/>
    <w:rsid w:val="7F435D04"/>
    <w:rsid w:val="7F453289"/>
    <w:rsid w:val="7F47362C"/>
    <w:rsid w:val="7F475253"/>
    <w:rsid w:val="7F48272D"/>
    <w:rsid w:val="7F484B27"/>
    <w:rsid w:val="7F4952C0"/>
    <w:rsid w:val="7F4C0ABC"/>
    <w:rsid w:val="7F4C4618"/>
    <w:rsid w:val="7F4C7455"/>
    <w:rsid w:val="7F4D0390"/>
    <w:rsid w:val="7F4F291E"/>
    <w:rsid w:val="7F4F5EB6"/>
    <w:rsid w:val="7F533BF8"/>
    <w:rsid w:val="7F575330"/>
    <w:rsid w:val="7F577F01"/>
    <w:rsid w:val="7F587460"/>
    <w:rsid w:val="7F592821"/>
    <w:rsid w:val="7F5D2632"/>
    <w:rsid w:val="7F5E77FA"/>
    <w:rsid w:val="7F625BE9"/>
    <w:rsid w:val="7F673200"/>
    <w:rsid w:val="7F67379A"/>
    <w:rsid w:val="7F694E44"/>
    <w:rsid w:val="7F6D458E"/>
    <w:rsid w:val="7F71407E"/>
    <w:rsid w:val="7F7153BB"/>
    <w:rsid w:val="7F737DF6"/>
    <w:rsid w:val="7F742CA8"/>
    <w:rsid w:val="7F765B38"/>
    <w:rsid w:val="7F7818B1"/>
    <w:rsid w:val="7F78523B"/>
    <w:rsid w:val="7F792F33"/>
    <w:rsid w:val="7F7A0C13"/>
    <w:rsid w:val="7F7A739C"/>
    <w:rsid w:val="7F7D0C75"/>
    <w:rsid w:val="7F7D7E21"/>
    <w:rsid w:val="7F800765"/>
    <w:rsid w:val="7F806879"/>
    <w:rsid w:val="7F853FCE"/>
    <w:rsid w:val="7F854C92"/>
    <w:rsid w:val="7F8A1CBA"/>
    <w:rsid w:val="7F8A5140"/>
    <w:rsid w:val="7F8D69DE"/>
    <w:rsid w:val="7F8E2E82"/>
    <w:rsid w:val="7F8F6BFA"/>
    <w:rsid w:val="7F906806"/>
    <w:rsid w:val="7F916950"/>
    <w:rsid w:val="7F932247"/>
    <w:rsid w:val="7F945FBF"/>
    <w:rsid w:val="7F9950E2"/>
    <w:rsid w:val="7F9A11C0"/>
    <w:rsid w:val="7F9A1827"/>
    <w:rsid w:val="7F9B559F"/>
    <w:rsid w:val="7F9C1053"/>
    <w:rsid w:val="7F9C51A4"/>
    <w:rsid w:val="7F9D1317"/>
    <w:rsid w:val="7F9E0BEB"/>
    <w:rsid w:val="7F9F0FE3"/>
    <w:rsid w:val="7F9F3B25"/>
    <w:rsid w:val="7FA04963"/>
    <w:rsid w:val="7FA2248A"/>
    <w:rsid w:val="7FA42DDC"/>
    <w:rsid w:val="7FA77AA0"/>
    <w:rsid w:val="7FAC3308"/>
    <w:rsid w:val="7FAC50B6"/>
    <w:rsid w:val="7FAE7080"/>
    <w:rsid w:val="7FB20B86"/>
    <w:rsid w:val="7FB331DD"/>
    <w:rsid w:val="7FB421BD"/>
    <w:rsid w:val="7FB43C60"/>
    <w:rsid w:val="7FB65F35"/>
    <w:rsid w:val="7FB80376"/>
    <w:rsid w:val="7FBA726B"/>
    <w:rsid w:val="7FBB79EF"/>
    <w:rsid w:val="7FBE053E"/>
    <w:rsid w:val="7FBF303C"/>
    <w:rsid w:val="7FC12FC4"/>
    <w:rsid w:val="7FC543CA"/>
    <w:rsid w:val="7FC56178"/>
    <w:rsid w:val="7FC65583"/>
    <w:rsid w:val="7FC71857"/>
    <w:rsid w:val="7FC73451"/>
    <w:rsid w:val="7FC815F0"/>
    <w:rsid w:val="7FC9210C"/>
    <w:rsid w:val="7FC93EBA"/>
    <w:rsid w:val="7FC95651"/>
    <w:rsid w:val="7FCB7F71"/>
    <w:rsid w:val="7FCC2858"/>
    <w:rsid w:val="7FCC4628"/>
    <w:rsid w:val="7FCE327F"/>
    <w:rsid w:val="7FD01448"/>
    <w:rsid w:val="7FD05249"/>
    <w:rsid w:val="7FD509D9"/>
    <w:rsid w:val="7FD64829"/>
    <w:rsid w:val="7FD665D7"/>
    <w:rsid w:val="7FD77C55"/>
    <w:rsid w:val="7FD8453F"/>
    <w:rsid w:val="7FD85EAB"/>
    <w:rsid w:val="7FD91A42"/>
    <w:rsid w:val="7FD91C23"/>
    <w:rsid w:val="7FDA7E75"/>
    <w:rsid w:val="7FDC1E3F"/>
    <w:rsid w:val="7FDD5BB8"/>
    <w:rsid w:val="7FDF723A"/>
    <w:rsid w:val="7FE06C56"/>
    <w:rsid w:val="7FE115B6"/>
    <w:rsid w:val="7FE231CE"/>
    <w:rsid w:val="7FE5681A"/>
    <w:rsid w:val="7FE66BA8"/>
    <w:rsid w:val="7FE93E1C"/>
    <w:rsid w:val="7FE9630A"/>
    <w:rsid w:val="7FEA1938"/>
    <w:rsid w:val="7FEA3E31"/>
    <w:rsid w:val="7FEB2083"/>
    <w:rsid w:val="7FEC7BA9"/>
    <w:rsid w:val="7FF01447"/>
    <w:rsid w:val="7FF036EA"/>
    <w:rsid w:val="7FF06159"/>
    <w:rsid w:val="7FF151BF"/>
    <w:rsid w:val="7FF37189"/>
    <w:rsid w:val="7FFB603E"/>
    <w:rsid w:val="7FFD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3"/>
    <w:link w:val="28"/>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54"/>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link w:val="30"/>
    <w:autoRedefine/>
    <w:qFormat/>
    <w:uiPriority w:val="0"/>
    <w:pPr>
      <w:outlineLvl w:val="2"/>
    </w:pPr>
    <w:rPr>
      <w:b/>
      <w:bCs/>
      <w:szCs w:val="32"/>
    </w:rPr>
  </w:style>
  <w:style w:type="paragraph" w:styleId="5">
    <w:name w:val="heading 4"/>
    <w:basedOn w:val="1"/>
    <w:next w:val="1"/>
    <w:link w:val="31"/>
    <w:autoRedefine/>
    <w:qFormat/>
    <w:uiPriority w:val="0"/>
    <w:pPr>
      <w:outlineLvl w:val="3"/>
    </w:pPr>
    <w:rPr>
      <w:rFonts w:ascii="Calibri Light" w:hAnsi="Calibri Light" w:cs="Times New Roman"/>
      <w:bCs/>
      <w:szCs w:val="28"/>
    </w:rPr>
  </w:style>
  <w:style w:type="paragraph" w:styleId="6">
    <w:name w:val="heading 5"/>
    <w:basedOn w:val="1"/>
    <w:next w:val="1"/>
    <w:link w:val="32"/>
    <w:autoRedefine/>
    <w:qFormat/>
    <w:uiPriority w:val="0"/>
    <w:pPr>
      <w:spacing w:line="360" w:lineRule="auto"/>
      <w:ind w:firstLine="0" w:firstLineChars="0"/>
      <w:jc w:val="center"/>
      <w:outlineLvl w:val="4"/>
    </w:pPr>
    <w:rPr>
      <w:b/>
      <w:sz w:val="28"/>
    </w:rPr>
  </w:style>
  <w:style w:type="paragraph" w:styleId="7">
    <w:name w:val="heading 6"/>
    <w:basedOn w:val="1"/>
    <w:next w:val="1"/>
    <w:link w:val="33"/>
    <w:autoRedefine/>
    <w:qFormat/>
    <w:uiPriority w:val="0"/>
    <w:pPr>
      <w:keepNext/>
      <w:keepLines/>
      <w:spacing w:before="240" w:after="64" w:line="317" w:lineRule="auto"/>
      <w:outlineLvl w:val="5"/>
    </w:pPr>
    <w:rPr>
      <w:rFonts w:ascii="Arial" w:hAnsi="Arial" w:eastAsia="黑体"/>
      <w:b/>
    </w:rPr>
  </w:style>
  <w:style w:type="character" w:default="1" w:styleId="24">
    <w:name w:val="Default Paragraph Font"/>
    <w:autoRedefine/>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unhideWhenUsed/>
    <w:qFormat/>
    <w:uiPriority w:val="0"/>
    <w:pPr>
      <w:adjustRightInd w:val="0"/>
      <w:spacing w:line="360" w:lineRule="atLeast"/>
      <w:ind w:firstLine="482"/>
    </w:pPr>
    <w:rPr>
      <w:sz w:val="24"/>
      <w:szCs w:val="20"/>
    </w:rPr>
  </w:style>
  <w:style w:type="paragraph" w:styleId="9">
    <w:name w:val="caption"/>
    <w:basedOn w:val="1"/>
    <w:next w:val="1"/>
    <w:autoRedefine/>
    <w:qFormat/>
    <w:uiPriority w:val="0"/>
    <w:pPr>
      <w:ind w:firstLine="0" w:firstLineChars="0"/>
      <w:jc w:val="center"/>
    </w:pPr>
    <w:rPr>
      <w:rFonts w:ascii="Times New Roman" w:hAnsi="Times New Roman"/>
      <w:sz w:val="24"/>
      <w:szCs w:val="24"/>
    </w:rPr>
  </w:style>
  <w:style w:type="paragraph" w:styleId="10">
    <w:name w:val="annotation text"/>
    <w:basedOn w:val="1"/>
    <w:next w:val="11"/>
    <w:autoRedefine/>
    <w:qFormat/>
    <w:uiPriority w:val="0"/>
    <w:pPr>
      <w:jc w:val="left"/>
    </w:pPr>
  </w:style>
  <w:style w:type="paragraph" w:styleId="11">
    <w:name w:val="toc 1"/>
    <w:basedOn w:val="1"/>
    <w:next w:val="1"/>
    <w:autoRedefine/>
    <w:qFormat/>
    <w:uiPriority w:val="0"/>
  </w:style>
  <w:style w:type="paragraph" w:styleId="12">
    <w:name w:val="Body Text"/>
    <w:basedOn w:val="1"/>
    <w:next w:val="13"/>
    <w:autoRedefine/>
    <w:qFormat/>
    <w:uiPriority w:val="0"/>
    <w:pPr>
      <w:spacing w:before="100" w:beforeAutospacing="1" w:after="120"/>
    </w:pPr>
  </w:style>
  <w:style w:type="paragraph" w:styleId="13">
    <w:name w:val="Body Text Indent"/>
    <w:basedOn w:val="1"/>
    <w:autoRedefine/>
    <w:qFormat/>
    <w:uiPriority w:val="0"/>
    <w:pPr>
      <w:spacing w:beforeLines="50" w:line="400" w:lineRule="exact"/>
      <w:ind w:left="150" w:leftChars="150"/>
    </w:pPr>
  </w:style>
  <w:style w:type="paragraph" w:styleId="14">
    <w:name w:val="Plain Text"/>
    <w:basedOn w:val="1"/>
    <w:autoRedefine/>
    <w:qFormat/>
    <w:uiPriority w:val="0"/>
    <w:rPr>
      <w:rFonts w:ascii="宋体" w:eastAsia="宋体"/>
      <w:spacing w:val="0"/>
      <w:sz w:val="21"/>
      <w:szCs w:val="21"/>
    </w:rPr>
  </w:style>
  <w:style w:type="paragraph" w:styleId="15">
    <w:name w:val="Body Text Indent 2"/>
    <w:basedOn w:val="1"/>
    <w:autoRedefine/>
    <w:qFormat/>
    <w:uiPriority w:val="0"/>
    <w:pPr>
      <w:spacing w:beforeLines="50" w:line="400" w:lineRule="exact"/>
      <w:ind w:firstLine="200" w:firstLineChars="200"/>
    </w:pPr>
  </w:style>
  <w:style w:type="paragraph" w:styleId="16">
    <w:name w:val="Balloon Text"/>
    <w:basedOn w:val="1"/>
    <w:autoRedefine/>
    <w:qFormat/>
    <w:uiPriority w:val="0"/>
    <w:pPr>
      <w:spacing w:line="240" w:lineRule="auto"/>
    </w:pPr>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9">
    <w:name w:val="Subtitle"/>
    <w:basedOn w:val="1"/>
    <w:autoRedefine/>
    <w:qFormat/>
    <w:uiPriority w:val="0"/>
    <w:pPr>
      <w:spacing w:before="240" w:after="60" w:line="312" w:lineRule="auto"/>
      <w:jc w:val="center"/>
      <w:outlineLvl w:val="1"/>
    </w:pPr>
    <w:rPr>
      <w:rFonts w:ascii="Arial" w:hAnsi="Arial"/>
      <w:b/>
      <w:kern w:val="28"/>
      <w:sz w:val="32"/>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10"/>
    <w:next w:val="10"/>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annotation reference"/>
    <w:basedOn w:val="24"/>
    <w:autoRedefine/>
    <w:qFormat/>
    <w:uiPriority w:val="0"/>
    <w:rPr>
      <w:sz w:val="21"/>
      <w:szCs w:val="21"/>
    </w:rPr>
  </w:style>
  <w:style w:type="character" w:customStyle="1" w:styleId="28">
    <w:name w:val="heading 1 Char"/>
    <w:basedOn w:val="24"/>
    <w:link w:val="2"/>
    <w:autoRedefine/>
    <w:qFormat/>
    <w:uiPriority w:val="0"/>
    <w:rPr>
      <w:rFonts w:ascii="宋体" w:hAnsi="宋体" w:eastAsia="宋体" w:cs="等线 Light"/>
      <w:b/>
      <w:snapToGrid w:val="0"/>
      <w:kern w:val="0"/>
      <w:sz w:val="44"/>
      <w:szCs w:val="44"/>
      <w:lang w:val="en-US" w:eastAsia="zh-CN" w:bidi="ar-SA"/>
    </w:rPr>
  </w:style>
  <w:style w:type="character" w:customStyle="1" w:styleId="29">
    <w:name w:val="heading 2 Char"/>
    <w:basedOn w:val="24"/>
    <w:link w:val="3"/>
    <w:autoRedefine/>
    <w:qFormat/>
    <w:uiPriority w:val="0"/>
    <w:rPr>
      <w:rFonts w:ascii="宋体" w:hAnsi="宋体" w:eastAsia="宋体" w:cs="Times New Roman"/>
      <w:b/>
      <w:bCs/>
      <w:snapToGrid w:val="0"/>
      <w:kern w:val="2"/>
      <w:sz w:val="24"/>
      <w:szCs w:val="24"/>
      <w:lang w:val="en-US" w:eastAsia="zh-CN" w:bidi="ar-SA"/>
    </w:rPr>
  </w:style>
  <w:style w:type="character" w:customStyle="1" w:styleId="30">
    <w:name w:val="heading 3 Char"/>
    <w:basedOn w:val="24"/>
    <w:link w:val="4"/>
    <w:autoRedefine/>
    <w:qFormat/>
    <w:uiPriority w:val="0"/>
    <w:rPr>
      <w:rFonts w:ascii="Cambria Math" w:hAnsi="Cambria Math" w:eastAsia="宋体" w:cs="Cambria Math"/>
      <w:b/>
      <w:bCs/>
      <w:kern w:val="2"/>
      <w:sz w:val="24"/>
      <w:szCs w:val="32"/>
      <w:lang w:val="en-US" w:eastAsia="zh-CN" w:bidi="ar-SA"/>
    </w:rPr>
  </w:style>
  <w:style w:type="character" w:customStyle="1" w:styleId="31">
    <w:name w:val="heading 4 Char"/>
    <w:basedOn w:val="24"/>
    <w:link w:val="5"/>
    <w:autoRedefine/>
    <w:qFormat/>
    <w:uiPriority w:val="0"/>
    <w:rPr>
      <w:rFonts w:ascii="Calibri Light" w:hAnsi="Calibri Light" w:eastAsia="宋体" w:cs="Times New Roman"/>
      <w:bCs/>
      <w:kern w:val="2"/>
      <w:sz w:val="24"/>
      <w:szCs w:val="28"/>
      <w:lang w:val="en-US" w:eastAsia="zh-CN" w:bidi="ar-SA"/>
    </w:rPr>
  </w:style>
  <w:style w:type="character" w:customStyle="1" w:styleId="32">
    <w:name w:val="heading 5 Char"/>
    <w:basedOn w:val="24"/>
    <w:link w:val="6"/>
    <w:autoRedefine/>
    <w:qFormat/>
    <w:uiPriority w:val="0"/>
    <w:rPr>
      <w:rFonts w:ascii="Cambria Math" w:hAnsi="Cambria Math" w:eastAsia="宋体" w:cs="Cambria Math"/>
      <w:b/>
      <w:kern w:val="2"/>
      <w:sz w:val="28"/>
      <w:szCs w:val="20"/>
      <w:lang w:val="en-US" w:eastAsia="zh-CN" w:bidi="ar-SA"/>
    </w:rPr>
  </w:style>
  <w:style w:type="character" w:customStyle="1" w:styleId="33">
    <w:name w:val="heading 6 Char"/>
    <w:basedOn w:val="24"/>
    <w:link w:val="7"/>
    <w:autoRedefine/>
    <w:qFormat/>
    <w:uiPriority w:val="0"/>
    <w:rPr>
      <w:rFonts w:ascii="Arial" w:hAnsi="Arial" w:eastAsia="黑体" w:cs="Cambria Math"/>
      <w:b/>
      <w:kern w:val="2"/>
      <w:sz w:val="24"/>
      <w:szCs w:val="20"/>
      <w:lang w:val="en-US" w:eastAsia="zh-CN" w:bidi="ar-SA"/>
    </w:rPr>
  </w:style>
  <w:style w:type="paragraph" w:customStyle="1" w:styleId="34">
    <w:name w:val="参选文件格式1"/>
    <w:basedOn w:val="1"/>
    <w:next w:val="1"/>
    <w:link w:val="35"/>
    <w:autoRedefine/>
    <w:qFormat/>
    <w:uiPriority w:val="0"/>
    <w:pPr>
      <w:spacing w:line="360" w:lineRule="auto"/>
      <w:ind w:firstLine="0" w:firstLineChars="0"/>
      <w:jc w:val="center"/>
      <w:outlineLvl w:val="1"/>
    </w:pPr>
    <w:rPr>
      <w:b/>
      <w:sz w:val="28"/>
    </w:rPr>
  </w:style>
  <w:style w:type="character" w:customStyle="1" w:styleId="35">
    <w:name w:val="参选文件格式1 Char"/>
    <w:basedOn w:val="24"/>
    <w:link w:val="34"/>
    <w:autoRedefine/>
    <w:qFormat/>
    <w:uiPriority w:val="0"/>
    <w:rPr>
      <w:rFonts w:ascii="Cambria Math" w:hAnsi="Cambria Math" w:eastAsia="宋体" w:cs="Cambria Math"/>
      <w:b/>
      <w:kern w:val="2"/>
      <w:sz w:val="28"/>
      <w:szCs w:val="20"/>
      <w:lang w:val="en-US" w:eastAsia="zh-CN" w:bidi="ar-SA"/>
    </w:rPr>
  </w:style>
  <w:style w:type="paragraph" w:customStyle="1" w:styleId="36">
    <w:name w:val="参选文件格式2"/>
    <w:basedOn w:val="1"/>
    <w:next w:val="1"/>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8">
    <w:name w:val="参选文件格式3 Char"/>
    <w:basedOn w:val="24"/>
    <w:link w:val="37"/>
    <w:autoRedefine/>
    <w:qFormat/>
    <w:uiPriority w:val="0"/>
    <w:rPr>
      <w:rFonts w:ascii="宋体" w:hAnsi="宋体" w:eastAsia="宋体" w:cs="Cambria Math"/>
      <w:b/>
      <w:snapToGrid w:val="0"/>
      <w:kern w:val="0"/>
      <w:sz w:val="24"/>
      <w:szCs w:val="20"/>
      <w:lang w:val="en-US" w:eastAsia="zh-CN" w:bidi="ar-SA"/>
    </w:rPr>
  </w:style>
  <w:style w:type="character" w:customStyle="1" w:styleId="39">
    <w:name w:val="font11"/>
    <w:basedOn w:val="24"/>
    <w:autoRedefine/>
    <w:qFormat/>
    <w:uiPriority w:val="0"/>
    <w:rPr>
      <w:rFonts w:ascii="宋体" w:hAnsi="宋体" w:eastAsia="宋体" w:cs="宋体"/>
      <w:b/>
      <w:bCs/>
      <w:color w:val="000000"/>
      <w:sz w:val="21"/>
      <w:szCs w:val="21"/>
      <w:u w:val="none"/>
    </w:rPr>
  </w:style>
  <w:style w:type="character" w:customStyle="1" w:styleId="40">
    <w:name w:val="font21"/>
    <w:basedOn w:val="24"/>
    <w:autoRedefine/>
    <w:qFormat/>
    <w:uiPriority w:val="0"/>
    <w:rPr>
      <w:rFonts w:ascii="宋体" w:hAnsi="宋体" w:eastAsia="宋体" w:cs="宋体"/>
      <w:color w:val="000000"/>
      <w:sz w:val="21"/>
      <w:szCs w:val="21"/>
      <w:u w:val="none"/>
    </w:rPr>
  </w:style>
  <w:style w:type="character" w:customStyle="1" w:styleId="41">
    <w:name w:val="font31"/>
    <w:basedOn w:val="24"/>
    <w:autoRedefine/>
    <w:qFormat/>
    <w:uiPriority w:val="0"/>
    <w:rPr>
      <w:rFonts w:ascii="宋体" w:hAnsi="宋体" w:eastAsia="宋体" w:cs="宋体"/>
      <w:color w:val="FF0000"/>
      <w:sz w:val="21"/>
      <w:szCs w:val="21"/>
      <w:u w:val="none"/>
    </w:rPr>
  </w:style>
  <w:style w:type="paragraph" w:styleId="42">
    <w:name w:val="List Paragraph"/>
    <w:basedOn w:val="1"/>
    <w:autoRedefine/>
    <w:qFormat/>
    <w:uiPriority w:val="0"/>
  </w:style>
  <w:style w:type="paragraph" w:customStyle="1" w:styleId="43">
    <w:name w:val="列出段落2"/>
    <w:basedOn w:val="1"/>
    <w:autoRedefine/>
    <w:qFormat/>
    <w:uiPriority w:val="0"/>
    <w:pPr>
      <w:spacing w:line="360" w:lineRule="auto"/>
    </w:pPr>
    <w:rPr>
      <w:rFonts w:ascii="Calibri" w:hAnsi="Calibri" w:eastAsia="宋体" w:cs="Arial"/>
      <w:szCs w:val="22"/>
    </w:rPr>
  </w:style>
  <w:style w:type="paragraph" w:customStyle="1" w:styleId="44">
    <w:name w:val="第四行"/>
    <w:basedOn w:val="1"/>
    <w:autoRedefine/>
    <w:qFormat/>
    <w:uiPriority w:val="0"/>
    <w:pPr>
      <w:tabs>
        <w:tab w:val="left" w:pos="1200"/>
      </w:tabs>
      <w:spacing w:line="360" w:lineRule="auto"/>
      <w:jc w:val="center"/>
    </w:pPr>
    <w:rPr>
      <w:rFonts w:ascii="宋体" w:hAnsi="Arial Narrow" w:eastAsia="宋体" w:cs="Times New Roman"/>
      <w:b/>
      <w:spacing w:val="40"/>
      <w:kern w:val="2"/>
      <w:sz w:val="28"/>
      <w:szCs w:val="20"/>
      <w:lang w:eastAsia="zh-CN"/>
    </w:rPr>
  </w:style>
  <w:style w:type="paragraph" w:customStyle="1" w:styleId="45">
    <w:name w:val="列表段落"/>
    <w:basedOn w:val="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46">
    <w:name w:val="一级"/>
    <w:basedOn w:val="1"/>
    <w:autoRedefine/>
    <w:qFormat/>
    <w:uiPriority w:val="0"/>
    <w:pPr>
      <w:spacing w:before="20" w:beforeLines="20" w:after="20" w:afterLines="20"/>
      <w:jc w:val="left"/>
    </w:pPr>
    <w:rPr>
      <w:rFonts w:ascii="Times New Roman" w:hAnsi="Times New Roman" w:eastAsia="方正黑体_GBK" w:cs="Times New Roman"/>
      <w:szCs w:val="28"/>
    </w:rPr>
  </w:style>
  <w:style w:type="paragraph" w:customStyle="1" w:styleId="47">
    <w:name w:val="列出段落1"/>
    <w:basedOn w:val="1"/>
    <w:autoRedefine/>
    <w:qFormat/>
    <w:uiPriority w:val="34"/>
    <w:pPr>
      <w:ind w:firstLine="420" w:firstLineChars="200"/>
    </w:pPr>
  </w:style>
  <w:style w:type="character" w:customStyle="1" w:styleId="48">
    <w:name w:val="font51"/>
    <w:basedOn w:val="24"/>
    <w:autoRedefine/>
    <w:qFormat/>
    <w:uiPriority w:val="0"/>
    <w:rPr>
      <w:rFonts w:hint="eastAsia" w:ascii="宋体" w:hAnsi="宋体" w:eastAsia="宋体" w:cs="宋体"/>
      <w:b/>
      <w:bCs/>
      <w:color w:val="000000"/>
      <w:sz w:val="21"/>
      <w:szCs w:val="21"/>
      <w:u w:val="none"/>
    </w:rPr>
  </w:style>
  <w:style w:type="character" w:customStyle="1" w:styleId="49">
    <w:name w:val="font_text_1"/>
    <w:basedOn w:val="24"/>
    <w:autoRedefine/>
    <w:qFormat/>
    <w:uiPriority w:val="0"/>
  </w:style>
  <w:style w:type="paragraph" w:customStyle="1" w:styleId="50">
    <w:name w:val="*正文"/>
    <w:basedOn w:val="1"/>
    <w:autoRedefine/>
    <w:qFormat/>
    <w:uiPriority w:val="0"/>
    <w:pPr>
      <w:widowControl/>
      <w:ind w:firstLine="200" w:firstLineChars="200"/>
    </w:pPr>
    <w:rPr>
      <w:rFonts w:ascii="仿宋_GB2312" w:eastAsia="仿宋_GB2312"/>
      <w:kern w:val="0"/>
      <w:sz w:val="24"/>
      <w:szCs w:val="28"/>
    </w:rPr>
  </w:style>
  <w:style w:type="character" w:customStyle="1" w:styleId="51">
    <w:name w:val="font61"/>
    <w:basedOn w:val="24"/>
    <w:autoRedefine/>
    <w:qFormat/>
    <w:uiPriority w:val="0"/>
    <w:rPr>
      <w:rFonts w:hint="default" w:ascii="Times New Roman" w:hAnsi="Times New Roman" w:cs="Times New Roman"/>
      <w:color w:val="000000"/>
      <w:sz w:val="28"/>
      <w:szCs w:val="28"/>
      <w:u w:val="none"/>
    </w:rPr>
  </w:style>
  <w:style w:type="character" w:customStyle="1" w:styleId="52">
    <w:name w:val="font41"/>
    <w:basedOn w:val="24"/>
    <w:autoRedefine/>
    <w:qFormat/>
    <w:uiPriority w:val="0"/>
    <w:rPr>
      <w:rFonts w:hint="eastAsia" w:ascii="宋体" w:hAnsi="宋体" w:eastAsia="宋体" w:cs="宋体"/>
      <w:color w:val="FF0000"/>
      <w:sz w:val="28"/>
      <w:szCs w:val="28"/>
      <w:u w:val="none"/>
    </w:rPr>
  </w:style>
  <w:style w:type="character" w:customStyle="1" w:styleId="53">
    <w:name w:val="font71"/>
    <w:basedOn w:val="24"/>
    <w:autoRedefine/>
    <w:qFormat/>
    <w:uiPriority w:val="0"/>
    <w:rPr>
      <w:rFonts w:hint="eastAsia" w:ascii="宋体" w:hAnsi="宋体" w:eastAsia="宋体" w:cs="宋体"/>
      <w:color w:val="FF0000"/>
      <w:sz w:val="28"/>
      <w:szCs w:val="28"/>
      <w:u w:val="none"/>
    </w:rPr>
  </w:style>
  <w:style w:type="character" w:customStyle="1" w:styleId="54">
    <w:name w:val="标题 2 Char"/>
    <w:basedOn w:val="24"/>
    <w:link w:val="3"/>
    <w:autoRedefine/>
    <w:qFormat/>
    <w:uiPriority w:val="9"/>
    <w:rPr>
      <w:rFonts w:ascii="宋体" w:hAnsi="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D9D2-AE98-411B-A263-417897A7E577}">
  <ds:schemaRefs/>
</ds:datastoreItem>
</file>

<file path=docProps/app.xml><?xml version="1.0" encoding="utf-8"?>
<Properties xmlns="http://schemas.openxmlformats.org/officeDocument/2006/extended-properties" xmlns:vt="http://schemas.openxmlformats.org/officeDocument/2006/docPropsVTypes">
  <Template>Normal.eit</Template>
  <Pages>156</Pages>
  <Words>70883</Words>
  <Characters>74958</Characters>
  <Lines>0</Lines>
  <Paragraphs>719</Paragraphs>
  <TotalTime>3</TotalTime>
  <ScaleCrop>false</ScaleCrop>
  <LinksUpToDate>false</LinksUpToDate>
  <CharactersWithSpaces>76058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张婷</cp:lastModifiedBy>
  <cp:lastPrinted>2024-01-19T17:29:00Z</cp:lastPrinted>
  <dcterms:modified xsi:type="dcterms:W3CDTF">2024-09-29T07:32:38Z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ECEEBE38B1044DA089DACFFBE31078B4_13</vt:lpwstr>
  </property>
</Properties>
</file>