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20" w:type="dxa"/>
        <w:tblInd w:w="113" w:type="dxa"/>
        <w:tblLook w:val="04A0" w:firstRow="1" w:lastRow="0" w:firstColumn="1" w:lastColumn="0" w:noHBand="0" w:noVBand="1"/>
      </w:tblPr>
      <w:tblGrid>
        <w:gridCol w:w="1400"/>
        <w:gridCol w:w="960"/>
        <w:gridCol w:w="1920"/>
        <w:gridCol w:w="1180"/>
        <w:gridCol w:w="1600"/>
        <w:gridCol w:w="1660"/>
      </w:tblGrid>
      <w:tr w:rsidR="00E97C9F" w:rsidRPr="00E97C9F" w:rsidTr="00E97C9F">
        <w:trPr>
          <w:trHeight w:val="996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EB5FD0" w:rsidRDefault="007300CD" w:rsidP="00E97C9F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 w:rsidR="009B49FC">
              <w:rPr>
                <w:rFonts w:ascii="Times New Roman" w:eastAsia="方正小标宋_GBK" w:hAnsi="Times New Roman" w:cs="Times New Roman" w:hint="eastAsia"/>
                <w:sz w:val="44"/>
                <w:szCs w:val="44"/>
              </w:rPr>
              <w:t>配合全国统一集中账户管理系统改造</w:t>
            </w:r>
            <w:r w:rsidR="00FE455E">
              <w:rPr>
                <w:rFonts w:ascii="Times New Roman" w:eastAsia="方正小标宋_GBK" w:hAnsi="Times New Roman" w:cs="Times New Roman" w:hint="eastAsia"/>
                <w:sz w:val="44"/>
                <w:szCs w:val="44"/>
              </w:rPr>
              <w:t>（银清发</w:t>
            </w:r>
            <w:r w:rsidR="00FE455E">
              <w:rPr>
                <w:rFonts w:ascii="Times New Roman" w:eastAsia="方正小标宋_GBK" w:hAnsi="Times New Roman" w:cs="Times New Roman" w:hint="eastAsia"/>
                <w:sz w:val="44"/>
                <w:szCs w:val="44"/>
              </w:rPr>
              <w:t>3</w:t>
            </w:r>
            <w:r w:rsidR="00FE455E">
              <w:rPr>
                <w:rFonts w:ascii="Times New Roman" w:eastAsia="方正小标宋_GBK" w:hAnsi="Times New Roman" w:cs="Times New Roman"/>
                <w:sz w:val="44"/>
                <w:szCs w:val="44"/>
              </w:rPr>
              <w:t>3</w:t>
            </w:r>
            <w:r w:rsidR="00FE455E">
              <w:rPr>
                <w:rFonts w:ascii="Times New Roman" w:eastAsia="方正小标宋_GBK" w:hAnsi="Times New Roman" w:cs="Times New Roman"/>
                <w:sz w:val="44"/>
                <w:szCs w:val="44"/>
              </w:rPr>
              <w:t>号文</w:t>
            </w:r>
            <w:r w:rsidR="00FE455E">
              <w:rPr>
                <w:rFonts w:ascii="Times New Roman" w:eastAsia="方正小标宋_GBK" w:hAnsi="Times New Roman" w:cs="Times New Roman" w:hint="eastAsia"/>
                <w:sz w:val="44"/>
                <w:szCs w:val="44"/>
              </w:rPr>
              <w:t>）</w:t>
            </w:r>
            <w:r w:rsidR="009B49FC">
              <w:rPr>
                <w:rFonts w:ascii="Times New Roman" w:eastAsia="方正小标宋_GBK" w:hAnsi="Times New Roman" w:cs="Times New Roman" w:hint="eastAsia"/>
                <w:sz w:val="44"/>
                <w:szCs w:val="44"/>
              </w:rPr>
              <w:t>项目</w:t>
            </w:r>
            <w:r w:rsidR="00E97C9F" w:rsidRPr="00EB5FD0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采购结果公告</w:t>
            </w:r>
          </w:p>
        </w:tc>
      </w:tr>
      <w:tr w:rsidR="00E97C9F" w:rsidRPr="00E97C9F" w:rsidTr="00E97C9F">
        <w:trPr>
          <w:trHeight w:val="744"/>
        </w:trPr>
        <w:tc>
          <w:tcPr>
            <w:tcW w:w="8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97C9F" w:rsidRPr="00E97C9F" w:rsidTr="006B132D">
        <w:trPr>
          <w:trHeight w:val="1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D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9B49FC" w:rsidP="009B49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B49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配合全国统一集中账户管理系统改造</w:t>
            </w:r>
            <w:r w:rsidR="00FE455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（银清发3</w:t>
            </w:r>
            <w:r w:rsidR="00FE455E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3号文</w:t>
            </w:r>
            <w:r w:rsidR="00FE455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  <w:r w:rsidRPr="009B49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单一来源</w:t>
            </w:r>
          </w:p>
        </w:tc>
      </w:tr>
      <w:tr w:rsidR="00E97C9F" w:rsidRPr="00040F08" w:rsidTr="00E97C9F">
        <w:trPr>
          <w:trHeight w:val="1416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9B49FC" w:rsidP="009B49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B49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浙江省易得融信软件有限公司</w:t>
            </w:r>
            <w:r w:rsidR="00B73F7D" w:rsidRPr="00B73F7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</w:p>
        </w:tc>
      </w:tr>
      <w:tr w:rsidR="00E97C9F" w:rsidRPr="00E97C9F" w:rsidTr="005051E0">
        <w:trPr>
          <w:trHeight w:val="484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5051E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5051E0" w:rsidRDefault="005051E0" w:rsidP="005051E0">
            <w:pPr>
              <w:spacing w:line="594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浙江省易得融信软件有限公司</w:t>
            </w:r>
          </w:p>
        </w:tc>
      </w:tr>
      <w:tr w:rsidR="00E97C9F" w:rsidRPr="00E97C9F" w:rsidTr="000F3047">
        <w:trPr>
          <w:trHeight w:val="553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F3047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9B49FC" w:rsidP="006B132D">
            <w:pPr>
              <w:widowControl/>
              <w:ind w:firstLineChars="700" w:firstLine="224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20.5</w:t>
            </w:r>
            <w:r w:rsidR="006F5220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万</w:t>
            </w:r>
            <w:r w:rsidR="00E97C9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元</w:t>
            </w:r>
          </w:p>
        </w:tc>
      </w:tr>
      <w:tr w:rsidR="00E97C9F" w:rsidRPr="00E97C9F" w:rsidTr="005051E0">
        <w:trPr>
          <w:trHeight w:val="3871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385C59" w:rsidRDefault="005051E0" w:rsidP="005051E0">
            <w:pPr>
              <w:spacing w:line="594" w:lineRule="exac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5051E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根据中国人民银行清算总中心发布的《清算总中心关于发布全国统一结算账户管理系统报文交换标准V1.1.0的通知》（银清发【2024】33号）要求，对账户管理系统进行升级，增加个人银行账户报送功能，满足人行关于账户集中报送、管理的要求。</w:t>
            </w:r>
            <w:r w:rsidR="009B49F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</w:t>
            </w:r>
          </w:p>
        </w:tc>
      </w:tr>
      <w:tr w:rsidR="00E97C9F" w:rsidRPr="00E97C9F" w:rsidTr="005051E0">
        <w:trPr>
          <w:trHeight w:val="694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63A5F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  <w:r w:rsidR="0032545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三峡银行股份有限公司法律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合规部</w:t>
            </w:r>
          </w:p>
        </w:tc>
      </w:tr>
      <w:tr w:rsidR="00E97C9F" w:rsidRPr="00E97C9F" w:rsidTr="00C20AB0">
        <w:trPr>
          <w:trHeight w:val="702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9F" w:rsidRPr="009A0961" w:rsidRDefault="0032545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 w:rsidR="00E97C9F" w:rsidRPr="00E97C9F" w:rsidTr="005051E0">
        <w:trPr>
          <w:trHeight w:val="417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B22B5" w:rsidRPr="00E97C9F" w:rsidRDefault="000B22B5" w:rsidP="00C20AB0"/>
    <w:sectPr w:rsidR="000B22B5" w:rsidRPr="00E97C9F" w:rsidSect="000B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617" w:rsidRDefault="00617617" w:rsidP="007300CD">
      <w:r>
        <w:separator/>
      </w:r>
    </w:p>
  </w:endnote>
  <w:endnote w:type="continuationSeparator" w:id="0">
    <w:p w:rsidR="00617617" w:rsidRDefault="00617617" w:rsidP="007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617" w:rsidRDefault="00617617" w:rsidP="007300CD">
      <w:r>
        <w:separator/>
      </w:r>
    </w:p>
  </w:footnote>
  <w:footnote w:type="continuationSeparator" w:id="0">
    <w:p w:rsidR="00617617" w:rsidRDefault="00617617" w:rsidP="0073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E06"/>
    <w:rsid w:val="00040F08"/>
    <w:rsid w:val="000B22B5"/>
    <w:rsid w:val="000C575D"/>
    <w:rsid w:val="000F3047"/>
    <w:rsid w:val="00154AD5"/>
    <w:rsid w:val="002501EE"/>
    <w:rsid w:val="00261532"/>
    <w:rsid w:val="002E7215"/>
    <w:rsid w:val="0032545F"/>
    <w:rsid w:val="00385C59"/>
    <w:rsid w:val="0042616A"/>
    <w:rsid w:val="004A5337"/>
    <w:rsid w:val="004B6052"/>
    <w:rsid w:val="005051E0"/>
    <w:rsid w:val="005368A9"/>
    <w:rsid w:val="005520DA"/>
    <w:rsid w:val="00617617"/>
    <w:rsid w:val="006A1172"/>
    <w:rsid w:val="006B132D"/>
    <w:rsid w:val="006F5220"/>
    <w:rsid w:val="007300CD"/>
    <w:rsid w:val="007F1E06"/>
    <w:rsid w:val="00961CDC"/>
    <w:rsid w:val="009A0961"/>
    <w:rsid w:val="009B49FC"/>
    <w:rsid w:val="00B26DFA"/>
    <w:rsid w:val="00B73F7D"/>
    <w:rsid w:val="00BB0315"/>
    <w:rsid w:val="00BB27F4"/>
    <w:rsid w:val="00BE3541"/>
    <w:rsid w:val="00C20AB0"/>
    <w:rsid w:val="00CC40F1"/>
    <w:rsid w:val="00CE6BED"/>
    <w:rsid w:val="00D96F6F"/>
    <w:rsid w:val="00DC54E2"/>
    <w:rsid w:val="00E63A5F"/>
    <w:rsid w:val="00E97C9F"/>
    <w:rsid w:val="00EB5FD0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DB12A-8E39-4A88-A1E4-1C8A5CF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25</cp:revision>
  <dcterms:created xsi:type="dcterms:W3CDTF">2024-08-12T07:58:00Z</dcterms:created>
  <dcterms:modified xsi:type="dcterms:W3CDTF">2024-09-25T01:29:00Z</dcterms:modified>
</cp:coreProperties>
</file>