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5CC3F">
      <w:pPr>
        <w:keepNext w:val="0"/>
        <w:keepLines w:val="0"/>
        <w:pageBreakBefore w:val="0"/>
        <w:widowControl w:val="0"/>
        <w:tabs>
          <w:tab w:val="center" w:pos="4201"/>
          <w:tab w:val="right" w:leader="dot" w:pos="9298"/>
        </w:tabs>
        <w:kinsoku/>
        <w:wordWrap/>
        <w:overflowPunct/>
        <w:topLinePunct w:val="0"/>
        <w:autoSpaceDE w:val="0"/>
        <w:autoSpaceDN w:val="0"/>
        <w:bidi w:val="0"/>
        <w:adjustRightInd/>
        <w:spacing w:after="0" w:line="360" w:lineRule="auto"/>
        <w:ind w:firstLine="0" w:firstLineChars="0"/>
        <w:textAlignment w:val="auto"/>
        <w:rPr>
          <w:color w:val="auto"/>
          <w:highlight w:val="none"/>
        </w:rPr>
      </w:pPr>
    </w:p>
    <w:p w14:paraId="77309DEE">
      <w:pPr>
        <w:keepNext w:val="0"/>
        <w:keepLines w:val="0"/>
        <w:pageBreakBefore w:val="0"/>
        <w:widowControl w:val="0"/>
        <w:kinsoku/>
        <w:wordWrap/>
        <w:overflowPunct/>
        <w:topLinePunct w:val="0"/>
        <w:autoSpaceDE w:val="0"/>
        <w:autoSpaceDN w:val="0"/>
        <w:bidi w:val="0"/>
        <w:adjustRightInd/>
        <w:spacing w:line="360" w:lineRule="auto"/>
        <w:ind w:firstLine="0" w:firstLineChars="0"/>
        <w:textAlignment w:val="auto"/>
        <w:rPr>
          <w:rFonts w:ascii="宋体" w:hAnsi="宋体" w:cs="Cambria"/>
          <w:b/>
          <w:snapToGrid w:val="0"/>
          <w:color w:val="auto"/>
          <w:kern w:val="0"/>
          <w:sz w:val="52"/>
          <w:szCs w:val="84"/>
          <w:highlight w:val="none"/>
        </w:rPr>
      </w:pPr>
    </w:p>
    <w:p w14:paraId="02FB569B">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hint="eastAsia"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重庆三峡银行</w:t>
      </w:r>
    </w:p>
    <w:p w14:paraId="4E933703">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48"/>
          <w:szCs w:val="84"/>
          <w:highlight w:val="none"/>
        </w:rPr>
      </w:pPr>
      <w:r>
        <w:rPr>
          <w:rFonts w:hint="eastAsia" w:ascii="Times New Roman" w:hAnsi="Times New Roman" w:cs="Times New Roman"/>
          <w:b/>
          <w:snapToGrid w:val="0"/>
          <w:color w:val="auto"/>
          <w:kern w:val="0"/>
          <w:sz w:val="48"/>
          <w:szCs w:val="84"/>
          <w:highlight w:val="none"/>
        </w:rPr>
        <w:t>智能柜员机（现金版）采购项目</w:t>
      </w:r>
    </w:p>
    <w:p w14:paraId="35FB5267">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18"/>
          <w:highlight w:val="none"/>
        </w:rPr>
      </w:pPr>
    </w:p>
    <w:p w14:paraId="416BCC24">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03111831">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3251EDD7">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00AB5973">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4AF51BCD">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60AE5EDA">
      <w:pPr>
        <w:keepNext w:val="0"/>
        <w:keepLines w:val="0"/>
        <w:pageBreakBefore w:val="0"/>
        <w:widowControl w:val="0"/>
        <w:kinsoku/>
        <w:wordWrap/>
        <w:overflowPunct/>
        <w:topLinePunct w:val="0"/>
        <w:autoSpaceDE w:val="0"/>
        <w:autoSpaceDN w:val="0"/>
        <w:bidi w:val="0"/>
        <w:adjustRightInd/>
        <w:spacing w:line="360" w:lineRule="auto"/>
        <w:ind w:firstLine="0" w:firstLineChars="0"/>
        <w:jc w:val="left"/>
        <w:textAlignment w:val="auto"/>
        <w:rPr>
          <w:rFonts w:ascii="Times New Roman" w:hAnsi="Times New Roman" w:cs="Times New Roman"/>
          <w:snapToGrid w:val="0"/>
          <w:color w:val="auto"/>
          <w:kern w:val="0"/>
          <w:sz w:val="20"/>
          <w:highlight w:val="none"/>
        </w:rPr>
      </w:pPr>
    </w:p>
    <w:p w14:paraId="41B9311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 w:val="84"/>
          <w:szCs w:val="84"/>
          <w:highlight w:val="none"/>
        </w:rPr>
      </w:pPr>
      <w:r>
        <w:rPr>
          <w:rFonts w:hint="eastAsia" w:ascii="Times New Roman" w:hAnsi="Times New Roman" w:cs="Times New Roman"/>
          <w:b/>
          <w:snapToGrid w:val="0"/>
          <w:color w:val="auto"/>
          <w:kern w:val="0"/>
          <w:sz w:val="96"/>
          <w:szCs w:val="96"/>
          <w:highlight w:val="none"/>
          <w:lang w:eastAsia="zh-CN"/>
        </w:rPr>
        <w:t>比选</w:t>
      </w:r>
      <w:r>
        <w:rPr>
          <w:rFonts w:ascii="Times New Roman" w:hAnsi="Times New Roman" w:cs="Times New Roman"/>
          <w:b/>
          <w:snapToGrid w:val="0"/>
          <w:color w:val="auto"/>
          <w:kern w:val="0"/>
          <w:sz w:val="96"/>
          <w:szCs w:val="96"/>
          <w:highlight w:val="none"/>
        </w:rPr>
        <w:t>文件</w:t>
      </w:r>
    </w:p>
    <w:p w14:paraId="592DC64C">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14:paraId="0EA68E05">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14:paraId="41154932">
      <w:pPr>
        <w:keepNext w:val="0"/>
        <w:keepLines w:val="0"/>
        <w:pageBreakBefore w:val="0"/>
        <w:widowControl w:val="0"/>
        <w:kinsoku/>
        <w:wordWrap/>
        <w:overflowPunct/>
        <w:topLinePunct w:val="0"/>
        <w:autoSpaceDE w:val="0"/>
        <w:autoSpaceDN w:val="0"/>
        <w:bidi w:val="0"/>
        <w:adjustRightInd/>
        <w:spacing w:line="360" w:lineRule="auto"/>
        <w:ind w:firstLine="0" w:firstLineChars="0"/>
        <w:jc w:val="center"/>
        <w:textAlignment w:val="auto"/>
        <w:rPr>
          <w:rFonts w:ascii="Times New Roman" w:hAnsi="Times New Roman" w:cs="Times New Roman"/>
          <w:b/>
          <w:snapToGrid w:val="0"/>
          <w:color w:val="auto"/>
          <w:kern w:val="0"/>
          <w:szCs w:val="28"/>
          <w:highlight w:val="none"/>
        </w:rPr>
      </w:pPr>
    </w:p>
    <w:p w14:paraId="3CA47920">
      <w:pPr>
        <w:ind w:left="0" w:firstLine="0" w:firstLineChars="0"/>
        <w:rPr>
          <w:color w:val="auto"/>
          <w:highlight w:val="none"/>
        </w:rPr>
      </w:pPr>
    </w:p>
    <w:p w14:paraId="360A8FFB">
      <w:pPr>
        <w:pStyle w:val="9"/>
        <w:rPr>
          <w:color w:val="auto"/>
          <w:highlight w:val="none"/>
        </w:rPr>
      </w:pPr>
    </w:p>
    <w:p w14:paraId="7442F1A6">
      <w:pPr>
        <w:rPr>
          <w:color w:val="auto"/>
          <w:highlight w:val="none"/>
        </w:rPr>
      </w:pPr>
    </w:p>
    <w:p w14:paraId="7C4908FF">
      <w:pPr>
        <w:rPr>
          <w:color w:val="auto"/>
          <w:highlight w:val="none"/>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181F6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E557A24">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hint="eastAsia"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比选人</w:t>
            </w:r>
          </w:p>
        </w:tc>
        <w:tc>
          <w:tcPr>
            <w:tcW w:w="4744" w:type="dxa"/>
            <w:tcBorders>
              <w:tl2br w:val="nil"/>
              <w:tr2bl w:val="nil"/>
            </w:tcBorders>
            <w:vAlign w:val="center"/>
          </w:tcPr>
          <w:p w14:paraId="6A4C0E2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rPr>
              <w:t>重庆三峡银行股份有限公司</w:t>
            </w:r>
          </w:p>
        </w:tc>
        <w:tc>
          <w:tcPr>
            <w:tcW w:w="2020" w:type="dxa"/>
            <w:vMerge w:val="restart"/>
            <w:tcBorders>
              <w:tl2br w:val="nil"/>
              <w:tr2bl w:val="nil"/>
            </w:tcBorders>
            <w:vAlign w:val="center"/>
          </w:tcPr>
          <w:p w14:paraId="0E232EA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Times New Roman" w:hAnsi="Times New Roman" w:eastAsia="宋体" w:cs="Times New Roman"/>
                <w:b/>
                <w:snapToGrid w:val="0"/>
                <w:color w:val="auto"/>
                <w:kern w:val="0"/>
                <w:sz w:val="30"/>
                <w:szCs w:val="30"/>
                <w:highlight w:val="none"/>
                <w:lang w:eastAsia="zh-CN"/>
              </w:rPr>
            </w:pPr>
            <w:r>
              <w:rPr>
                <w:rFonts w:hint="eastAsia" w:ascii="Times New Roman" w:hAnsi="Times New Roman" w:cs="Times New Roman"/>
                <w:b w:val="0"/>
                <w:bCs/>
                <w:snapToGrid w:val="0"/>
                <w:color w:val="auto"/>
                <w:kern w:val="0"/>
                <w:sz w:val="24"/>
                <w:szCs w:val="24"/>
                <w:highlight w:val="none"/>
                <w:lang w:eastAsia="zh-CN"/>
              </w:rPr>
              <w:t>（</w:t>
            </w:r>
            <w:r>
              <w:rPr>
                <w:rFonts w:hint="eastAsia" w:ascii="Times New Roman" w:hAnsi="Times New Roman" w:cs="Times New Roman"/>
                <w:b w:val="0"/>
                <w:bCs/>
                <w:snapToGrid w:val="0"/>
                <w:color w:val="auto"/>
                <w:kern w:val="0"/>
                <w:sz w:val="24"/>
                <w:szCs w:val="24"/>
                <w:highlight w:val="none"/>
                <w:lang w:val="en-US" w:eastAsia="zh-CN"/>
              </w:rPr>
              <w:t>盖单位法人章</w:t>
            </w:r>
            <w:r>
              <w:rPr>
                <w:rFonts w:hint="eastAsia" w:ascii="Times New Roman" w:hAnsi="Times New Roman" w:cs="Times New Roman"/>
                <w:b w:val="0"/>
                <w:bCs/>
                <w:snapToGrid w:val="0"/>
                <w:color w:val="auto"/>
                <w:kern w:val="0"/>
                <w:sz w:val="24"/>
                <w:szCs w:val="24"/>
                <w:highlight w:val="none"/>
                <w:lang w:eastAsia="zh-CN"/>
              </w:rPr>
              <w:t>）</w:t>
            </w:r>
          </w:p>
        </w:tc>
      </w:tr>
      <w:tr w14:paraId="0605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5C291885">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distribute"/>
              <w:textAlignment w:val="auto"/>
              <w:rPr>
                <w:rFonts w:ascii="Times New Roman" w:hAnsi="Times New Roman" w:eastAsia="宋体" w:cs="Times New Roman"/>
                <w:b/>
                <w:snapToGrid w:val="0"/>
                <w:color w:val="auto"/>
                <w:kern w:val="0"/>
                <w:sz w:val="30"/>
                <w:szCs w:val="30"/>
                <w:highlight w:val="none"/>
                <w:vertAlign w:val="baseline"/>
                <w:lang w:val="en-US" w:eastAsia="zh-CN"/>
              </w:rPr>
            </w:pPr>
            <w:r>
              <w:rPr>
                <w:rFonts w:hint="eastAsia" w:ascii="Times New Roman" w:hAnsi="Times New Roman" w:cs="Times New Roman"/>
                <w:b/>
                <w:snapToGrid w:val="0"/>
                <w:color w:val="auto"/>
                <w:kern w:val="0"/>
                <w:sz w:val="30"/>
                <w:szCs w:val="30"/>
                <w:highlight w:val="none"/>
                <w:vertAlign w:val="baseline"/>
                <w:lang w:val="en-US" w:eastAsia="zh-CN"/>
              </w:rPr>
              <w:t>发布时间</w:t>
            </w:r>
          </w:p>
        </w:tc>
        <w:tc>
          <w:tcPr>
            <w:tcW w:w="4744" w:type="dxa"/>
            <w:tcBorders>
              <w:tl2br w:val="nil"/>
              <w:tr2bl w:val="nil"/>
            </w:tcBorders>
            <w:vAlign w:val="center"/>
          </w:tcPr>
          <w:p w14:paraId="1F551D1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Times New Roman" w:hAnsi="Times New Roman" w:cs="Times New Roman"/>
                <w:b/>
                <w:snapToGrid w:val="0"/>
                <w:color w:val="auto"/>
                <w:kern w:val="0"/>
                <w:sz w:val="30"/>
                <w:szCs w:val="30"/>
                <w:highlight w:val="none"/>
                <w:vertAlign w:val="baseline"/>
              </w:rPr>
            </w:pPr>
            <w:r>
              <w:rPr>
                <w:rFonts w:hint="eastAsia" w:ascii="Times New Roman" w:hAnsi="Times New Roman" w:cs="Times New Roman"/>
                <w:b/>
                <w:snapToGrid w:val="0"/>
                <w:color w:val="auto"/>
                <w:kern w:val="0"/>
                <w:sz w:val="30"/>
                <w:szCs w:val="30"/>
                <w:highlight w:val="none"/>
                <w:lang w:val="en-US" w:eastAsia="zh-CN"/>
              </w:rPr>
              <w:t>2024</w:t>
            </w:r>
            <w:r>
              <w:rPr>
                <w:rFonts w:ascii="Times New Roman" w:hAnsi="Times New Roman" w:cs="Times New Roman"/>
                <w:b/>
                <w:snapToGrid w:val="0"/>
                <w:color w:val="auto"/>
                <w:kern w:val="0"/>
                <w:sz w:val="30"/>
                <w:szCs w:val="30"/>
                <w:highlight w:val="none"/>
              </w:rPr>
              <w:t>年</w:t>
            </w:r>
            <w:r>
              <w:rPr>
                <w:rFonts w:hint="eastAsia" w:ascii="Times New Roman" w:hAnsi="Times New Roman" w:cs="Times New Roman"/>
                <w:b/>
                <w:snapToGrid w:val="0"/>
                <w:color w:val="auto"/>
                <w:kern w:val="0"/>
                <w:sz w:val="30"/>
                <w:szCs w:val="30"/>
                <w:highlight w:val="none"/>
                <w:lang w:val="en-US" w:eastAsia="zh-CN"/>
              </w:rPr>
              <w:t>7</w:t>
            </w:r>
            <w:r>
              <w:rPr>
                <w:rFonts w:ascii="Times New Roman" w:hAnsi="Times New Roman" w:cs="Times New Roman"/>
                <w:b/>
                <w:snapToGrid w:val="0"/>
                <w:color w:val="auto"/>
                <w:kern w:val="0"/>
                <w:sz w:val="30"/>
                <w:szCs w:val="30"/>
                <w:highlight w:val="none"/>
              </w:rPr>
              <w:t>月</w:t>
            </w:r>
          </w:p>
        </w:tc>
        <w:tc>
          <w:tcPr>
            <w:tcW w:w="2020" w:type="dxa"/>
            <w:vMerge w:val="continue"/>
            <w:tcBorders>
              <w:tl2br w:val="nil"/>
              <w:tr2bl w:val="nil"/>
            </w:tcBorders>
            <w:vAlign w:val="center"/>
          </w:tcPr>
          <w:p w14:paraId="21355043">
            <w:pPr>
              <w:rPr>
                <w:color w:val="auto"/>
                <w:highlight w:val="none"/>
              </w:rPr>
            </w:pPr>
          </w:p>
        </w:tc>
      </w:tr>
    </w:tbl>
    <w:p w14:paraId="59C982E2">
      <w:pPr>
        <w:bidi w:val="0"/>
        <w:rPr>
          <w:rFonts w:ascii="Times New Roman" w:hAnsi="Times New Roman" w:cs="Times New Roman"/>
          <w:b/>
          <w:snapToGrid w:val="0"/>
          <w:color w:val="auto"/>
          <w:kern w:val="0"/>
          <w:sz w:val="30"/>
          <w:szCs w:val="30"/>
          <w:highlight w:val="none"/>
        </w:rPr>
      </w:pPr>
    </w:p>
    <w:p w14:paraId="28C82D5B">
      <w:pPr>
        <w:bidi w:val="0"/>
        <w:rPr>
          <w:color w:val="auto"/>
          <w:highlight w:val="none"/>
        </w:rPr>
        <w:sectPr>
          <w:pgSz w:w="11906" w:h="16838"/>
          <w:pgMar w:top="1440" w:right="1800" w:bottom="1440" w:left="1800" w:header="851" w:footer="992" w:gutter="0"/>
          <w:pgNumType w:start="1"/>
          <w:cols w:space="720" w:num="1"/>
          <w:docGrid w:type="lines" w:linePitch="312" w:charSpace="0"/>
        </w:sectPr>
      </w:pPr>
    </w:p>
    <w:p w14:paraId="61893384">
      <w:pPr>
        <w:keepNext w:val="0"/>
        <w:keepLines w:val="0"/>
        <w:pageBreakBefore w:val="0"/>
        <w:widowControl w:val="0"/>
        <w:kinsoku/>
        <w:wordWrap/>
        <w:overflowPunct/>
        <w:topLinePunct w:val="0"/>
        <w:autoSpaceDE w:val="0"/>
        <w:autoSpaceDN w:val="0"/>
        <w:bidi w:val="0"/>
        <w:adjustRightInd/>
        <w:snapToGrid w:val="0"/>
        <w:spacing w:line="360" w:lineRule="auto"/>
        <w:ind w:firstLine="0" w:firstLineChars="0"/>
        <w:jc w:val="center"/>
        <w:textAlignment w:val="auto"/>
        <w:rPr>
          <w:rFonts w:ascii="宋体" w:hAnsi="宋体"/>
          <w:b/>
          <w:snapToGrid w:val="0"/>
          <w:color w:val="auto"/>
          <w:kern w:val="0"/>
          <w:sz w:val="44"/>
          <w:szCs w:val="44"/>
          <w:highlight w:val="none"/>
        </w:rPr>
      </w:pPr>
      <w:r>
        <w:rPr>
          <w:rFonts w:hint="eastAsia" w:ascii="宋体" w:hAnsi="宋体"/>
          <w:b/>
          <w:snapToGrid w:val="0"/>
          <w:color w:val="auto"/>
          <w:kern w:val="0"/>
          <w:sz w:val="44"/>
          <w:szCs w:val="44"/>
          <w:highlight w:val="none"/>
        </w:rPr>
        <w:t>目录</w:t>
      </w:r>
    </w:p>
    <w:p w14:paraId="7591156A">
      <w:pPr>
        <w:pStyle w:val="13"/>
        <w:tabs>
          <w:tab w:val="right" w:leader="dot" w:pos="8306"/>
        </w:tabs>
      </w:pPr>
      <w:r>
        <w:rPr>
          <w:rFonts w:hint="eastAsia" w:ascii="宋体" w:hAnsi="宋体"/>
          <w:snapToGrid w:val="0"/>
          <w:color w:val="auto"/>
          <w:kern w:val="0"/>
          <w:sz w:val="24"/>
          <w:szCs w:val="24"/>
          <w:highlight w:val="none"/>
        </w:rPr>
        <w:fldChar w:fldCharType="begin"/>
      </w:r>
      <w:r>
        <w:rPr>
          <w:rFonts w:hint="eastAsia" w:ascii="宋体" w:hAnsi="宋体"/>
          <w:snapToGrid w:val="0"/>
          <w:color w:val="auto"/>
          <w:kern w:val="0"/>
          <w:sz w:val="24"/>
          <w:szCs w:val="24"/>
          <w:highlight w:val="none"/>
        </w:rPr>
        <w:instrText xml:space="preserve">TOC \o "1-1" \h \z \u</w:instrText>
      </w:r>
      <w:r>
        <w:rPr>
          <w:rFonts w:ascii="宋体" w:hAnsi="宋体"/>
          <w:snapToGrid w:val="0"/>
          <w:color w:val="auto"/>
          <w:kern w:val="0"/>
          <w:sz w:val="24"/>
          <w:szCs w:val="24"/>
          <w:highlight w:val="none"/>
        </w:rPr>
        <w:instrText xml:space="preserve"> </w:instrText>
      </w:r>
      <w:r>
        <w:rPr>
          <w:rFonts w:ascii="宋体" w:hAnsi="宋体"/>
          <w:snapToGrid w:val="0"/>
          <w:color w:val="auto"/>
          <w:kern w:val="0"/>
          <w:sz w:val="24"/>
          <w:szCs w:val="24"/>
          <w:highlight w:val="none"/>
        </w:rPr>
        <w:fldChar w:fldCharType="separate"/>
      </w: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_Toc29755 </w:instrText>
      </w:r>
      <w:r>
        <w:rPr>
          <w:rFonts w:ascii="宋体" w:hAnsi="宋体"/>
          <w:snapToGrid w:val="0"/>
          <w:kern w:val="0"/>
          <w:szCs w:val="24"/>
          <w:highlight w:val="none"/>
        </w:rPr>
        <w:fldChar w:fldCharType="separate"/>
      </w:r>
      <w:r>
        <w:rPr>
          <w:rFonts w:hint="eastAsia"/>
          <w:highlight w:val="none"/>
        </w:rPr>
        <w:t>第一章 比选公告</w:t>
      </w:r>
      <w:r>
        <w:tab/>
      </w:r>
      <w:r>
        <w:fldChar w:fldCharType="begin"/>
      </w:r>
      <w:r>
        <w:instrText xml:space="preserve"> PAGEREF _Toc29755 \h </w:instrText>
      </w:r>
      <w:r>
        <w:fldChar w:fldCharType="separate"/>
      </w:r>
      <w:r>
        <w:t>1</w:t>
      </w:r>
      <w:r>
        <w:fldChar w:fldCharType="end"/>
      </w:r>
      <w:r>
        <w:rPr>
          <w:rFonts w:ascii="宋体" w:hAnsi="宋体"/>
          <w:snapToGrid w:val="0"/>
          <w:color w:val="auto"/>
          <w:kern w:val="0"/>
          <w:szCs w:val="24"/>
          <w:highlight w:val="none"/>
        </w:rPr>
        <w:fldChar w:fldCharType="end"/>
      </w:r>
    </w:p>
    <w:p w14:paraId="7305F84D">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_Toc13360 </w:instrText>
      </w:r>
      <w:r>
        <w:rPr>
          <w:rFonts w:ascii="宋体" w:hAnsi="宋体"/>
          <w:snapToGrid w:val="0"/>
          <w:kern w:val="0"/>
          <w:szCs w:val="24"/>
          <w:highlight w:val="none"/>
        </w:rPr>
        <w:fldChar w:fldCharType="separate"/>
      </w:r>
      <w:r>
        <w:rPr>
          <w:rFonts w:hint="eastAsia"/>
          <w:highlight w:val="none"/>
        </w:rPr>
        <w:t>第二章 参选人须知</w:t>
      </w:r>
      <w:r>
        <w:tab/>
      </w:r>
      <w:r>
        <w:fldChar w:fldCharType="begin"/>
      </w:r>
      <w:r>
        <w:instrText xml:space="preserve"> PAGEREF _Toc13360 \h </w:instrText>
      </w:r>
      <w:r>
        <w:fldChar w:fldCharType="separate"/>
      </w:r>
      <w:r>
        <w:t>5</w:t>
      </w:r>
      <w:r>
        <w:fldChar w:fldCharType="end"/>
      </w:r>
      <w:r>
        <w:rPr>
          <w:rFonts w:ascii="宋体" w:hAnsi="宋体"/>
          <w:snapToGrid w:val="0"/>
          <w:color w:val="auto"/>
          <w:kern w:val="0"/>
          <w:szCs w:val="24"/>
          <w:highlight w:val="none"/>
        </w:rPr>
        <w:fldChar w:fldCharType="end"/>
      </w:r>
    </w:p>
    <w:p w14:paraId="6143146E">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_Toc32389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三</w:t>
      </w:r>
      <w:r>
        <w:rPr>
          <w:rFonts w:hint="eastAsia"/>
          <w:highlight w:val="none"/>
        </w:rPr>
        <w:t xml:space="preserve">章 </w:t>
      </w:r>
      <w:r>
        <w:rPr>
          <w:rFonts w:hint="eastAsia"/>
          <w:highlight w:val="none"/>
          <w:lang w:val="en-US" w:eastAsia="zh-CN"/>
        </w:rPr>
        <w:t>项目要求</w:t>
      </w:r>
      <w:r>
        <w:tab/>
      </w:r>
      <w:r>
        <w:fldChar w:fldCharType="begin"/>
      </w:r>
      <w:r>
        <w:instrText xml:space="preserve"> PAGEREF _Toc32389 \h </w:instrText>
      </w:r>
      <w:r>
        <w:fldChar w:fldCharType="separate"/>
      </w:r>
      <w:r>
        <w:t>14</w:t>
      </w:r>
      <w:r>
        <w:fldChar w:fldCharType="end"/>
      </w:r>
      <w:r>
        <w:rPr>
          <w:rFonts w:ascii="宋体" w:hAnsi="宋体"/>
          <w:snapToGrid w:val="0"/>
          <w:color w:val="auto"/>
          <w:kern w:val="0"/>
          <w:szCs w:val="24"/>
          <w:highlight w:val="none"/>
        </w:rPr>
        <w:fldChar w:fldCharType="end"/>
      </w:r>
    </w:p>
    <w:p w14:paraId="1F63F245">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_Toc28759 </w:instrText>
      </w:r>
      <w:r>
        <w:rPr>
          <w:rFonts w:ascii="宋体" w:hAnsi="宋体"/>
          <w:snapToGrid w:val="0"/>
          <w:kern w:val="0"/>
          <w:szCs w:val="24"/>
          <w:highlight w:val="none"/>
        </w:rPr>
        <w:fldChar w:fldCharType="separate"/>
      </w:r>
      <w:r>
        <w:rPr>
          <w:rFonts w:hint="eastAsia"/>
          <w:highlight w:val="none"/>
          <w:lang w:val="en-US" w:eastAsia="zh-CN"/>
        </w:rPr>
        <w:t>第四章 评审办法（综合评估法）</w:t>
      </w:r>
      <w:r>
        <w:tab/>
      </w:r>
      <w:r>
        <w:fldChar w:fldCharType="begin"/>
      </w:r>
      <w:r>
        <w:instrText xml:space="preserve"> PAGEREF _Toc28759 \h </w:instrText>
      </w:r>
      <w:r>
        <w:fldChar w:fldCharType="separate"/>
      </w:r>
      <w:r>
        <w:t>21</w:t>
      </w:r>
      <w:r>
        <w:fldChar w:fldCharType="end"/>
      </w:r>
      <w:r>
        <w:rPr>
          <w:rFonts w:ascii="宋体" w:hAnsi="宋体"/>
          <w:snapToGrid w:val="0"/>
          <w:color w:val="auto"/>
          <w:kern w:val="0"/>
          <w:szCs w:val="24"/>
          <w:highlight w:val="none"/>
        </w:rPr>
        <w:fldChar w:fldCharType="end"/>
      </w:r>
    </w:p>
    <w:p w14:paraId="3B1FB986">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_Toc6686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五</w:t>
      </w:r>
      <w:r>
        <w:rPr>
          <w:rFonts w:hint="eastAsia"/>
          <w:highlight w:val="none"/>
        </w:rPr>
        <w:t>章 合同</w:t>
      </w:r>
      <w:r>
        <w:rPr>
          <w:highlight w:val="none"/>
        </w:rPr>
        <w:t>模板</w:t>
      </w:r>
      <w:r>
        <w:tab/>
      </w:r>
      <w:r>
        <w:fldChar w:fldCharType="begin"/>
      </w:r>
      <w:r>
        <w:instrText xml:space="preserve"> PAGEREF _Toc6686 \h </w:instrText>
      </w:r>
      <w:r>
        <w:fldChar w:fldCharType="separate"/>
      </w:r>
      <w:r>
        <w:t>27</w:t>
      </w:r>
      <w:r>
        <w:fldChar w:fldCharType="end"/>
      </w:r>
      <w:r>
        <w:rPr>
          <w:rFonts w:ascii="宋体" w:hAnsi="宋体"/>
          <w:snapToGrid w:val="0"/>
          <w:color w:val="auto"/>
          <w:kern w:val="0"/>
          <w:szCs w:val="24"/>
          <w:highlight w:val="none"/>
        </w:rPr>
        <w:fldChar w:fldCharType="end"/>
      </w:r>
    </w:p>
    <w:p w14:paraId="47061F05">
      <w:pPr>
        <w:pStyle w:val="13"/>
        <w:tabs>
          <w:tab w:val="right" w:leader="dot" w:pos="8306"/>
        </w:tabs>
      </w:pPr>
      <w:r>
        <w:rPr>
          <w:rFonts w:ascii="宋体" w:hAnsi="宋体"/>
          <w:snapToGrid w:val="0"/>
          <w:color w:val="auto"/>
          <w:kern w:val="0"/>
          <w:szCs w:val="24"/>
          <w:highlight w:val="none"/>
        </w:rPr>
        <w:fldChar w:fldCharType="begin"/>
      </w:r>
      <w:r>
        <w:rPr>
          <w:rFonts w:ascii="宋体" w:hAnsi="宋体"/>
          <w:snapToGrid w:val="0"/>
          <w:kern w:val="0"/>
          <w:szCs w:val="24"/>
          <w:highlight w:val="none"/>
        </w:rPr>
        <w:instrText xml:space="preserve"> HYPERLINK \l _Toc2560 </w:instrText>
      </w:r>
      <w:r>
        <w:rPr>
          <w:rFonts w:ascii="宋体" w:hAnsi="宋体"/>
          <w:snapToGrid w:val="0"/>
          <w:kern w:val="0"/>
          <w:szCs w:val="24"/>
          <w:highlight w:val="none"/>
        </w:rPr>
        <w:fldChar w:fldCharType="separate"/>
      </w:r>
      <w:r>
        <w:rPr>
          <w:rFonts w:hint="eastAsia"/>
          <w:highlight w:val="none"/>
        </w:rPr>
        <w:t>第</w:t>
      </w:r>
      <w:r>
        <w:rPr>
          <w:rFonts w:hint="eastAsia"/>
          <w:highlight w:val="none"/>
          <w:lang w:val="en-US" w:eastAsia="zh-CN"/>
        </w:rPr>
        <w:t>六</w:t>
      </w:r>
      <w:r>
        <w:rPr>
          <w:rFonts w:hint="eastAsia"/>
          <w:highlight w:val="none"/>
        </w:rPr>
        <w:t>章 参选文件格式</w:t>
      </w:r>
      <w:r>
        <w:tab/>
      </w:r>
      <w:r>
        <w:fldChar w:fldCharType="begin"/>
      </w:r>
      <w:r>
        <w:instrText xml:space="preserve"> PAGEREF _Toc2560 \h </w:instrText>
      </w:r>
      <w:r>
        <w:fldChar w:fldCharType="separate"/>
      </w:r>
      <w:r>
        <w:t>44</w:t>
      </w:r>
      <w:r>
        <w:fldChar w:fldCharType="end"/>
      </w:r>
      <w:r>
        <w:rPr>
          <w:rFonts w:ascii="宋体" w:hAnsi="宋体"/>
          <w:snapToGrid w:val="0"/>
          <w:color w:val="auto"/>
          <w:kern w:val="0"/>
          <w:szCs w:val="24"/>
          <w:highlight w:val="none"/>
        </w:rPr>
        <w:fldChar w:fldCharType="end"/>
      </w:r>
    </w:p>
    <w:p w14:paraId="5AF16268">
      <w:pPr>
        <w:widowControl/>
        <w:jc w:val="left"/>
        <w:rPr>
          <w:rFonts w:ascii="宋体" w:hAnsi="宋体"/>
          <w:snapToGrid w:val="0"/>
          <w:color w:val="auto"/>
          <w:kern w:val="0"/>
          <w:sz w:val="24"/>
          <w:szCs w:val="24"/>
          <w:highlight w:val="none"/>
        </w:rPr>
      </w:pPr>
      <w:r>
        <w:rPr>
          <w:rFonts w:ascii="宋体" w:hAnsi="宋体"/>
          <w:snapToGrid w:val="0"/>
          <w:color w:val="auto"/>
          <w:kern w:val="0"/>
          <w:szCs w:val="24"/>
          <w:highlight w:val="none"/>
        </w:rPr>
        <w:fldChar w:fldCharType="end"/>
      </w:r>
    </w:p>
    <w:p w14:paraId="42427528">
      <w:pPr>
        <w:widowControl/>
        <w:jc w:val="left"/>
        <w:rPr>
          <w:rFonts w:ascii="宋体" w:hAnsi="宋体"/>
          <w:snapToGrid w:val="0"/>
          <w:color w:val="auto"/>
          <w:kern w:val="0"/>
          <w:sz w:val="24"/>
          <w:szCs w:val="24"/>
          <w:highlight w:val="none"/>
        </w:rPr>
        <w:sectPr>
          <w:footerReference r:id="rId5" w:type="default"/>
          <w:pgSz w:w="11906" w:h="16838"/>
          <w:pgMar w:top="1440" w:right="1800" w:bottom="1440" w:left="1800" w:header="851" w:footer="992" w:gutter="0"/>
          <w:pgNumType w:start="1"/>
          <w:cols w:space="720" w:num="1"/>
          <w:docGrid w:type="lines" w:linePitch="312" w:charSpace="0"/>
        </w:sectPr>
      </w:pPr>
    </w:p>
    <w:p w14:paraId="0906F687">
      <w:pPr>
        <w:pStyle w:val="3"/>
        <w:bidi w:val="0"/>
        <w:rPr>
          <w:rFonts w:hint="eastAsia"/>
          <w:color w:val="auto"/>
          <w:highlight w:val="none"/>
          <w:lang w:val="en-US" w:eastAsia="zh-CN"/>
        </w:rPr>
      </w:pPr>
      <w:bookmarkStart w:id="0" w:name="_Toc440628903"/>
      <w:bookmarkStart w:id="1" w:name="_Toc6745"/>
      <w:bookmarkStart w:id="2" w:name="_Toc469574661"/>
      <w:bookmarkStart w:id="3" w:name="_Toc29755"/>
      <w:r>
        <w:rPr>
          <w:rFonts w:hint="eastAsia"/>
          <w:color w:val="auto"/>
          <w:highlight w:val="none"/>
        </w:rPr>
        <w:t>第一章</w:t>
      </w:r>
      <w:bookmarkEnd w:id="0"/>
      <w:r>
        <w:rPr>
          <w:rFonts w:hint="eastAsia"/>
          <w:color w:val="auto"/>
          <w:highlight w:val="none"/>
        </w:rPr>
        <w:t xml:space="preserve"> 比选公告</w:t>
      </w:r>
      <w:bookmarkEnd w:id="1"/>
      <w:bookmarkEnd w:id="2"/>
      <w:bookmarkEnd w:id="3"/>
    </w:p>
    <w:p w14:paraId="535391F8">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color w:val="auto"/>
          <w:sz w:val="44"/>
          <w:szCs w:val="32"/>
          <w:highlight w:val="none"/>
          <w:lang w:val="en-US" w:eastAsia="zh-CN"/>
        </w:rPr>
      </w:pPr>
      <w:r>
        <w:rPr>
          <w:rFonts w:hint="eastAsia"/>
          <w:color w:val="auto"/>
          <w:sz w:val="44"/>
          <w:szCs w:val="32"/>
          <w:highlight w:val="none"/>
          <w:lang w:val="en-US" w:eastAsia="zh-CN"/>
        </w:rPr>
        <w:t>重庆三峡银行智能柜员机（现金版）采购项目比选</w:t>
      </w:r>
      <w:r>
        <w:rPr>
          <w:rFonts w:hint="eastAsia"/>
          <w:color w:val="auto"/>
          <w:sz w:val="44"/>
          <w:szCs w:val="32"/>
          <w:highlight w:val="none"/>
          <w:lang w:eastAsia="zh-CN"/>
        </w:rPr>
        <w:t>公告</w:t>
      </w:r>
    </w:p>
    <w:p w14:paraId="61390D4B">
      <w:pPr>
        <w:bidi w:val="0"/>
        <w:rPr>
          <w:color w:val="auto"/>
          <w:highlight w:val="none"/>
        </w:rPr>
      </w:pPr>
      <w:bookmarkStart w:id="4" w:name="_Toc89675127"/>
      <w:bookmarkStart w:id="5" w:name="_Toc55379218"/>
      <w:r>
        <w:rPr>
          <w:rFonts w:hint="eastAsia" w:ascii="宋体" w:eastAsia="宋体" w:cs="仿宋_GB2312"/>
          <w:color w:val="auto"/>
          <w:highlight w:val="none"/>
          <w:lang w:bidi="ar-SA"/>
        </w:rPr>
        <w:t>本次比选</w:t>
      </w:r>
      <w:r>
        <w:rPr>
          <w:rFonts w:hint="eastAsia" w:ascii="宋体" w:eastAsia="宋体" w:cs="仿宋_GB2312"/>
          <w:color w:val="auto"/>
          <w:highlight w:val="none"/>
          <w:lang w:bidi="ar-SA"/>
        </w:rPr>
        <w:t>以满足本行业务发展及自助渠道建设需要、维护本行利益为目的，</w:t>
      </w:r>
      <w:r>
        <w:rPr>
          <w:rFonts w:hint="eastAsia" w:ascii="宋体" w:eastAsia="宋体" w:cs="仿宋_GB2312"/>
          <w:color w:val="auto"/>
          <w:highlight w:val="none"/>
          <w:lang w:eastAsia="zh-CN" w:bidi="ar-SA"/>
        </w:rPr>
        <w:t>现对</w:t>
      </w:r>
      <w:r>
        <w:rPr>
          <w:rFonts w:hint="eastAsia" w:ascii="宋体" w:eastAsia="宋体" w:cs="仿宋_GB2312"/>
          <w:color w:val="auto"/>
          <w:highlight w:val="none"/>
          <w:lang w:bidi="ar-SA"/>
        </w:rPr>
        <w:t>大额现金机</w:t>
      </w:r>
      <w:r>
        <w:rPr>
          <w:rFonts w:hint="eastAsia" w:ascii="宋体" w:eastAsia="宋体" w:cs="仿宋_GB2312"/>
          <w:color w:val="auto"/>
          <w:highlight w:val="none"/>
          <w:lang w:eastAsia="zh-CN" w:bidi="ar-SA"/>
        </w:rPr>
        <w:t>进</w:t>
      </w:r>
      <w:bookmarkStart w:id="263" w:name="_GoBack"/>
      <w:bookmarkEnd w:id="263"/>
      <w:r>
        <w:rPr>
          <w:rFonts w:hint="eastAsia" w:ascii="宋体" w:eastAsia="宋体" w:cs="仿宋_GB2312"/>
          <w:color w:val="auto"/>
          <w:highlight w:val="none"/>
          <w:lang w:eastAsia="zh-CN" w:bidi="ar-SA"/>
        </w:rPr>
        <w:t>行</w:t>
      </w:r>
      <w:r>
        <w:rPr>
          <w:rFonts w:hint="eastAsia" w:ascii="宋体" w:eastAsia="宋体" w:cs="仿宋_GB2312"/>
          <w:color w:val="auto"/>
          <w:highlight w:val="none"/>
          <w:lang w:bidi="ar-SA"/>
        </w:rPr>
        <w:t>公开比选，确定未来一定时期内本行大额现金机的品牌、型号及供货商。现对重庆三峡银行智能</w:t>
      </w:r>
      <w:r>
        <w:rPr>
          <w:rFonts w:hint="eastAsia"/>
          <w:color w:val="auto"/>
          <w:highlight w:val="none"/>
        </w:rPr>
        <w:t>柜员机（现金版）采购项目进行公开比选，</w:t>
      </w:r>
      <w:r>
        <w:rPr>
          <w:color w:val="auto"/>
          <w:highlight w:val="none"/>
        </w:rPr>
        <w:t>特邀请有</w:t>
      </w:r>
      <w:bookmarkStart w:id="6" w:name="_Hlk59455120"/>
      <w:r>
        <w:rPr>
          <w:color w:val="auto"/>
          <w:highlight w:val="none"/>
        </w:rPr>
        <w:t>意向</w:t>
      </w:r>
      <w:bookmarkEnd w:id="6"/>
      <w:r>
        <w:rPr>
          <w:color w:val="auto"/>
          <w:highlight w:val="none"/>
        </w:rPr>
        <w:t>的潜在</w:t>
      </w:r>
      <w:r>
        <w:rPr>
          <w:rFonts w:hint="eastAsia"/>
          <w:color w:val="auto"/>
          <w:highlight w:val="none"/>
          <w:lang w:eastAsia="zh-CN"/>
        </w:rPr>
        <w:t>参选</w:t>
      </w:r>
      <w:r>
        <w:rPr>
          <w:color w:val="auto"/>
          <w:highlight w:val="none"/>
        </w:rPr>
        <w:t>人进行</w:t>
      </w:r>
      <w:r>
        <w:rPr>
          <w:rFonts w:hint="eastAsia"/>
          <w:color w:val="auto"/>
          <w:highlight w:val="none"/>
          <w:lang w:eastAsia="zh-CN"/>
        </w:rPr>
        <w:t>参选</w:t>
      </w:r>
      <w:r>
        <w:rPr>
          <w:color w:val="auto"/>
          <w:highlight w:val="none"/>
        </w:rPr>
        <w:t>。</w:t>
      </w:r>
    </w:p>
    <w:p w14:paraId="3E3811C1">
      <w:pPr>
        <w:pStyle w:val="4"/>
        <w:bidi w:val="0"/>
        <w:rPr>
          <w:color w:val="auto"/>
          <w:highlight w:val="none"/>
        </w:rPr>
      </w:pPr>
      <w:r>
        <w:rPr>
          <w:rFonts w:hint="eastAsia"/>
          <w:color w:val="auto"/>
          <w:highlight w:val="none"/>
          <w:lang w:val="en-US" w:eastAsia="zh-CN"/>
        </w:rPr>
        <w:t xml:space="preserve">1. </w:t>
      </w:r>
      <w:r>
        <w:rPr>
          <w:rFonts w:hint="eastAsia"/>
          <w:color w:val="auto"/>
          <w:highlight w:val="none"/>
        </w:rPr>
        <w:t>比选项目内容</w:t>
      </w:r>
      <w:bookmarkEnd w:id="4"/>
      <w:bookmarkEnd w:id="5"/>
    </w:p>
    <w:tbl>
      <w:tblPr>
        <w:tblStyle w:val="15"/>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1B1FF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7F199190">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序号</w:t>
            </w:r>
          </w:p>
        </w:tc>
        <w:tc>
          <w:tcPr>
            <w:tcW w:w="2826" w:type="dxa"/>
            <w:vAlign w:val="center"/>
          </w:tcPr>
          <w:p w14:paraId="39DCE03D">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项目名称</w:t>
            </w:r>
          </w:p>
        </w:tc>
        <w:tc>
          <w:tcPr>
            <w:tcW w:w="1646" w:type="dxa"/>
            <w:vAlign w:val="center"/>
          </w:tcPr>
          <w:p w14:paraId="53D76DA9">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rPr>
              <w:t>最高限价</w:t>
            </w:r>
          </w:p>
        </w:tc>
        <w:tc>
          <w:tcPr>
            <w:tcW w:w="1798" w:type="dxa"/>
            <w:vAlign w:val="center"/>
          </w:tcPr>
          <w:p w14:paraId="20A030B4">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b/>
                <w:snapToGrid w:val="0"/>
                <w:color w:val="auto"/>
                <w:kern w:val="0"/>
                <w:sz w:val="21"/>
                <w:szCs w:val="21"/>
                <w:highlight w:val="none"/>
              </w:rPr>
            </w:pPr>
            <w:r>
              <w:rPr>
                <w:rFonts w:hint="eastAsia" w:ascii="宋体" w:hAnsi="宋体" w:cs="Cambria"/>
                <w:b/>
                <w:snapToGrid w:val="0"/>
                <w:color w:val="auto"/>
                <w:kern w:val="0"/>
                <w:sz w:val="21"/>
                <w:szCs w:val="21"/>
                <w:highlight w:val="none"/>
                <w:lang w:eastAsia="zh-CN"/>
              </w:rPr>
              <w:t>中选</w:t>
            </w:r>
            <w:r>
              <w:rPr>
                <w:rFonts w:hint="eastAsia" w:ascii="宋体" w:hAnsi="宋体" w:cs="Cambria"/>
                <w:b/>
                <w:snapToGrid w:val="0"/>
                <w:color w:val="auto"/>
                <w:kern w:val="0"/>
                <w:sz w:val="21"/>
                <w:szCs w:val="21"/>
                <w:highlight w:val="none"/>
              </w:rPr>
              <w:t>人数量</w:t>
            </w:r>
          </w:p>
        </w:tc>
        <w:tc>
          <w:tcPr>
            <w:tcW w:w="1798" w:type="dxa"/>
            <w:vAlign w:val="center"/>
          </w:tcPr>
          <w:p w14:paraId="13C9EC7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b/>
                <w:snapToGrid w:val="0"/>
                <w:color w:val="auto"/>
                <w:kern w:val="0"/>
                <w:sz w:val="21"/>
                <w:szCs w:val="21"/>
                <w:highlight w:val="none"/>
                <w:lang w:eastAsia="zh-CN"/>
              </w:rPr>
            </w:pPr>
            <w:r>
              <w:rPr>
                <w:rFonts w:hint="eastAsia" w:ascii="宋体" w:hAnsi="宋体" w:cs="Cambria"/>
                <w:b/>
                <w:snapToGrid w:val="0"/>
                <w:color w:val="auto"/>
                <w:kern w:val="0"/>
                <w:sz w:val="21"/>
                <w:szCs w:val="21"/>
                <w:highlight w:val="none"/>
                <w:lang w:val="en-US" w:eastAsia="zh-CN"/>
              </w:rPr>
              <w:t>备注</w:t>
            </w:r>
          </w:p>
        </w:tc>
      </w:tr>
      <w:tr w14:paraId="1632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07CEC76E">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snapToGrid w:val="0"/>
                <w:color w:val="auto"/>
                <w:kern w:val="0"/>
                <w:sz w:val="21"/>
                <w:szCs w:val="21"/>
                <w:highlight w:val="none"/>
              </w:rPr>
            </w:pPr>
            <w:r>
              <w:rPr>
                <w:rFonts w:hint="eastAsia" w:ascii="宋体" w:hAnsi="宋体" w:cs="Cambria"/>
                <w:snapToGrid w:val="0"/>
                <w:color w:val="auto"/>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6FF99E25">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snapToGrid w:val="0"/>
                <w:color w:val="auto"/>
                <w:kern w:val="0"/>
                <w:sz w:val="21"/>
                <w:szCs w:val="21"/>
                <w:highlight w:val="none"/>
                <w:lang w:val="en-US" w:eastAsia="zh-CN"/>
              </w:rPr>
            </w:pPr>
            <w:r>
              <w:rPr>
                <w:rFonts w:hint="eastAsia" w:ascii="宋体" w:hAnsi="宋体" w:cs="Cambria"/>
                <w:snapToGrid w:val="0"/>
                <w:color w:val="auto"/>
                <w:kern w:val="0"/>
                <w:sz w:val="21"/>
                <w:szCs w:val="21"/>
                <w:highlight w:val="none"/>
                <w:lang w:val="en-US" w:eastAsia="zh-CN"/>
              </w:rPr>
              <w:t>重庆三峡银行</w:t>
            </w:r>
            <w:r>
              <w:rPr>
                <w:rFonts w:hint="eastAsia" w:ascii="宋体" w:hAnsi="宋体" w:cs="Cambria"/>
                <w:snapToGrid w:val="0"/>
                <w:color w:val="auto"/>
                <w:kern w:val="0"/>
                <w:sz w:val="21"/>
                <w:szCs w:val="21"/>
                <w:highlight w:val="none"/>
              </w:rPr>
              <w:t>智能柜员机（现金版）采购</w:t>
            </w:r>
            <w:r>
              <w:rPr>
                <w:rFonts w:hint="eastAsia" w:ascii="宋体" w:hAnsi="宋体" w:cs="Cambria"/>
                <w:snapToGrid w:val="0"/>
                <w:color w:val="auto"/>
                <w:kern w:val="0"/>
                <w:sz w:val="21"/>
                <w:szCs w:val="21"/>
                <w:highlight w:val="none"/>
                <w:lang w:val="en-US" w:eastAsia="zh-CN"/>
              </w:rPr>
              <w:t>项目</w:t>
            </w:r>
          </w:p>
        </w:tc>
        <w:tc>
          <w:tcPr>
            <w:tcW w:w="1646" w:type="dxa"/>
            <w:tcBorders>
              <w:top w:val="single" w:color="auto" w:sz="4" w:space="0"/>
              <w:left w:val="single" w:color="auto" w:sz="4" w:space="0"/>
              <w:right w:val="single" w:color="auto" w:sz="4" w:space="0"/>
            </w:tcBorders>
            <w:vAlign w:val="center"/>
          </w:tcPr>
          <w:p w14:paraId="6D05EA5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eastAsia="宋体" w:cs="Cambria"/>
                <w:snapToGrid w:val="0"/>
                <w:color w:val="auto"/>
                <w:kern w:val="0"/>
                <w:sz w:val="21"/>
                <w:szCs w:val="21"/>
                <w:highlight w:val="none"/>
                <w:lang w:val="en-US" w:eastAsia="zh-CN"/>
              </w:rPr>
            </w:pPr>
            <w:r>
              <w:rPr>
                <w:rFonts w:hint="eastAsia" w:ascii="宋体" w:hAnsi="宋体" w:cs="Cambria"/>
                <w:snapToGrid w:val="0"/>
                <w:color w:val="auto"/>
                <w:kern w:val="0"/>
                <w:sz w:val="21"/>
                <w:szCs w:val="21"/>
                <w:highlight w:val="none"/>
                <w:lang w:val="en-US" w:eastAsia="zh-CN"/>
              </w:rPr>
              <w:t>8.5万元/台</w:t>
            </w:r>
          </w:p>
        </w:tc>
        <w:tc>
          <w:tcPr>
            <w:tcW w:w="1798" w:type="dxa"/>
            <w:tcBorders>
              <w:top w:val="single" w:color="auto" w:sz="4" w:space="0"/>
              <w:left w:val="single" w:color="auto" w:sz="4" w:space="0"/>
              <w:right w:val="single" w:color="auto" w:sz="4" w:space="0"/>
            </w:tcBorders>
            <w:vAlign w:val="center"/>
          </w:tcPr>
          <w:p w14:paraId="6D44FE9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Cambria"/>
                <w:snapToGrid w:val="0"/>
                <w:color w:val="auto"/>
                <w:kern w:val="0"/>
                <w:sz w:val="21"/>
                <w:szCs w:val="21"/>
                <w:highlight w:val="none"/>
                <w:lang w:val="en-US" w:eastAsia="zh-CN"/>
              </w:rPr>
            </w:pPr>
            <w:r>
              <w:rPr>
                <w:rFonts w:hint="eastAsia" w:ascii="宋体" w:hAnsi="宋体" w:cs="Cambria"/>
                <w:snapToGrid w:val="0"/>
                <w:color w:val="auto"/>
                <w:kern w:val="0"/>
                <w:sz w:val="21"/>
                <w:szCs w:val="21"/>
                <w:highlight w:val="none"/>
                <w:lang w:val="en-US" w:eastAsia="zh-CN"/>
              </w:rPr>
              <w:t>1</w:t>
            </w:r>
          </w:p>
        </w:tc>
        <w:tc>
          <w:tcPr>
            <w:tcW w:w="1798" w:type="dxa"/>
            <w:vAlign w:val="center"/>
          </w:tcPr>
          <w:p w14:paraId="1BF9C5BA">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firstLine="0" w:firstLineChars="0"/>
              <w:jc w:val="center"/>
              <w:textAlignment w:val="auto"/>
              <w:rPr>
                <w:rFonts w:ascii="宋体" w:hAnsi="宋体" w:cs="Cambria"/>
                <w:snapToGrid w:val="0"/>
                <w:color w:val="auto"/>
                <w:kern w:val="0"/>
                <w:sz w:val="21"/>
                <w:szCs w:val="21"/>
                <w:highlight w:val="none"/>
              </w:rPr>
            </w:pPr>
          </w:p>
        </w:tc>
      </w:tr>
    </w:tbl>
    <w:p w14:paraId="1BD35E7D">
      <w:pPr>
        <w:pStyle w:val="4"/>
        <w:bidi w:val="0"/>
        <w:rPr>
          <w:color w:val="auto"/>
          <w:highlight w:val="none"/>
        </w:rPr>
      </w:pPr>
      <w:bookmarkStart w:id="7" w:name="_Toc89675128"/>
      <w:bookmarkStart w:id="8" w:name="_Toc55379219"/>
      <w:bookmarkStart w:id="9" w:name="_Toc469574664"/>
      <w:bookmarkStart w:id="10" w:name="_Toc297817088"/>
      <w:bookmarkStart w:id="11" w:name="_Toc288224935"/>
      <w:r>
        <w:rPr>
          <w:rFonts w:hint="eastAsia"/>
          <w:color w:val="auto"/>
          <w:highlight w:val="none"/>
          <w:lang w:val="en-US" w:eastAsia="zh-CN"/>
        </w:rPr>
        <w:t xml:space="preserve">2. </w:t>
      </w:r>
      <w:r>
        <w:rPr>
          <w:rFonts w:hint="eastAsia"/>
          <w:color w:val="auto"/>
          <w:highlight w:val="none"/>
        </w:rPr>
        <w:t>参选人资格要求</w:t>
      </w:r>
      <w:bookmarkEnd w:id="7"/>
      <w:bookmarkEnd w:id="8"/>
      <w:bookmarkEnd w:id="9"/>
      <w:bookmarkEnd w:id="10"/>
      <w:bookmarkEnd w:id="11"/>
    </w:p>
    <w:p w14:paraId="41CCA1E7">
      <w:pPr>
        <w:bidi w:val="0"/>
        <w:rPr>
          <w:rFonts w:hint="eastAsia"/>
          <w:color w:val="auto"/>
          <w:highlight w:val="none"/>
          <w:lang w:val="en-US" w:eastAsia="zh-CN"/>
        </w:rPr>
      </w:pPr>
      <w:bookmarkStart w:id="12" w:name="_Hlk55488870"/>
      <w:r>
        <w:rPr>
          <w:rFonts w:hint="eastAsia"/>
          <w:color w:val="auto"/>
          <w:highlight w:val="none"/>
          <w:lang w:val="en-US" w:eastAsia="zh-CN"/>
        </w:rPr>
        <w:t>2.1 参选人应当具备承担比选项目的能力</w:t>
      </w:r>
    </w:p>
    <w:p w14:paraId="2C860981">
      <w:pPr>
        <w:bidi w:val="0"/>
        <w:rPr>
          <w:rFonts w:hint="eastAsia"/>
          <w:color w:val="auto"/>
          <w:highlight w:val="none"/>
          <w:lang w:val="en-US" w:eastAsia="zh-CN"/>
        </w:rPr>
      </w:pPr>
      <w:r>
        <w:rPr>
          <w:rFonts w:hint="eastAsia"/>
          <w:color w:val="auto"/>
          <w:highlight w:val="none"/>
          <w:lang w:val="en-US" w:eastAsia="zh-CN"/>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分支机构负责人授权委托书）。】</w:t>
      </w:r>
    </w:p>
    <w:p w14:paraId="7D35D403">
      <w:pPr>
        <w:bidi w:val="0"/>
        <w:rPr>
          <w:color w:val="auto"/>
          <w:highlight w:val="none"/>
          <w:lang w:val="en-US" w:eastAsia="zh-CN"/>
        </w:rPr>
      </w:pPr>
      <w:r>
        <w:rPr>
          <w:rFonts w:hint="eastAsia"/>
          <w:color w:val="auto"/>
          <w:highlight w:val="none"/>
          <w:lang w:val="en-US" w:eastAsia="zh-CN"/>
        </w:rPr>
        <w:t>注：若为法定代表人（分支机构负责人）办理并签署参选文件的，不提供授权代表委托书。</w:t>
      </w:r>
    </w:p>
    <w:p w14:paraId="17FE31E8">
      <w:pPr>
        <w:bidi w:val="0"/>
        <w:rPr>
          <w:rFonts w:hint="eastAsia"/>
          <w:color w:val="auto"/>
          <w:highlight w:val="none"/>
          <w:lang w:val="en-US" w:eastAsia="zh-CN"/>
        </w:rPr>
      </w:pPr>
      <w:r>
        <w:rPr>
          <w:rFonts w:hint="eastAsia"/>
          <w:color w:val="auto"/>
          <w:highlight w:val="none"/>
          <w:lang w:val="en-US" w:eastAsia="zh-CN"/>
        </w:rPr>
        <w:t>2.2 具有良好的商业信誉和健全的财务会计制度【提供书面声明】；</w:t>
      </w:r>
    </w:p>
    <w:p w14:paraId="0E8121DA">
      <w:pPr>
        <w:bidi w:val="0"/>
        <w:rPr>
          <w:rFonts w:hint="eastAsia"/>
          <w:color w:val="auto"/>
          <w:highlight w:val="none"/>
          <w:lang w:val="en-US" w:eastAsia="zh-CN"/>
        </w:rPr>
      </w:pPr>
      <w:r>
        <w:rPr>
          <w:rFonts w:hint="eastAsia"/>
          <w:color w:val="auto"/>
          <w:highlight w:val="none"/>
          <w:lang w:val="en-US" w:eastAsia="zh-CN"/>
        </w:rPr>
        <w:t>2.3 具有履行合同所必需的设备和专业技术能力【提供书面声明】；</w:t>
      </w:r>
    </w:p>
    <w:p w14:paraId="12A10061">
      <w:pPr>
        <w:bidi w:val="0"/>
        <w:rPr>
          <w:rFonts w:hint="eastAsia"/>
          <w:color w:val="auto"/>
          <w:highlight w:val="none"/>
          <w:lang w:val="en-US" w:eastAsia="zh-CN"/>
        </w:rPr>
      </w:pPr>
      <w:r>
        <w:rPr>
          <w:rFonts w:hint="eastAsia"/>
          <w:color w:val="auto"/>
          <w:highlight w:val="none"/>
          <w:lang w:val="en-US" w:eastAsia="zh-CN"/>
        </w:rPr>
        <w:t>2.4 有依法缴纳税收和社会保障金的良好记录【提供书面声明】；</w:t>
      </w:r>
    </w:p>
    <w:p w14:paraId="3F0F2BFD">
      <w:pPr>
        <w:bidi w:val="0"/>
        <w:rPr>
          <w:rFonts w:hint="eastAsia"/>
          <w:color w:val="auto"/>
          <w:highlight w:val="none"/>
          <w:lang w:val="en-US" w:eastAsia="zh-CN"/>
        </w:rPr>
      </w:pPr>
      <w:r>
        <w:rPr>
          <w:rFonts w:hint="eastAsia"/>
          <w:color w:val="auto"/>
          <w:highlight w:val="none"/>
          <w:lang w:val="en-US" w:eastAsia="zh-CN"/>
        </w:rPr>
        <w:t>2.5 三年内在经营活动中没有重大违法记录【提供书面声明】；</w:t>
      </w:r>
    </w:p>
    <w:p w14:paraId="26F3D039">
      <w:pPr>
        <w:bidi w:val="0"/>
        <w:rPr>
          <w:rFonts w:hint="eastAsia"/>
          <w:color w:val="auto"/>
          <w:highlight w:val="none"/>
          <w:lang w:val="en-US" w:eastAsia="zh-CN"/>
        </w:rPr>
      </w:pPr>
      <w:r>
        <w:rPr>
          <w:rFonts w:hint="eastAsia"/>
          <w:color w:val="auto"/>
          <w:highlight w:val="none"/>
          <w:lang w:val="en-US" w:eastAsia="zh-CN"/>
        </w:rPr>
        <w:t>2.6 法人及法定代表人没有被人民法院列为失信被执行人名单（分支机构提供总公司法人及法定代表人在中国执行信息公开网截图）【提供中国执行信息公开网截图</w:t>
      </w:r>
      <w:r>
        <w:rPr>
          <w:rFonts w:hint="eastAsia" w:eastAsia="宋体"/>
          <w:color w:val="auto"/>
          <w:highlight w:val="none"/>
          <w:lang w:val="en-US" w:eastAsia="zh-CN"/>
        </w:rPr>
        <w:t>并加盖单位鲜章</w:t>
      </w:r>
      <w:r>
        <w:rPr>
          <w:rFonts w:hint="eastAsia"/>
          <w:color w:val="auto"/>
          <w:highlight w:val="none"/>
          <w:lang w:val="en-US" w:eastAsia="zh-CN"/>
        </w:rPr>
        <w:t>】；</w:t>
      </w:r>
    </w:p>
    <w:p w14:paraId="489EEA22">
      <w:pPr>
        <w:bidi w:val="0"/>
        <w:rPr>
          <w:rFonts w:hint="eastAsia"/>
          <w:color w:val="auto"/>
          <w:highlight w:val="none"/>
          <w:lang w:val="en-US" w:eastAsia="zh-CN"/>
        </w:rPr>
      </w:pPr>
      <w:r>
        <w:rPr>
          <w:rFonts w:hint="eastAsia"/>
          <w:color w:val="auto"/>
          <w:highlight w:val="none"/>
          <w:lang w:val="en-US" w:eastAsia="zh-CN"/>
        </w:rPr>
        <w:t>2.7 本项目不允许任何形式的转包【提供书面声明】；</w:t>
      </w:r>
    </w:p>
    <w:p w14:paraId="45068492">
      <w:pPr>
        <w:bidi w:val="0"/>
        <w:rPr>
          <w:rFonts w:hint="eastAsia"/>
          <w:color w:val="auto"/>
          <w:highlight w:val="none"/>
          <w:lang w:val="en-US" w:eastAsia="zh-CN"/>
        </w:rPr>
      </w:pPr>
      <w:r>
        <w:rPr>
          <w:rFonts w:hint="eastAsia"/>
          <w:color w:val="auto"/>
          <w:highlight w:val="none"/>
          <w:lang w:val="en-US" w:eastAsia="zh-CN"/>
        </w:rPr>
        <w:t>2.8 本次比选不接受联合体参选；</w:t>
      </w:r>
    </w:p>
    <w:p w14:paraId="77EE3357">
      <w:pPr>
        <w:bidi w:val="0"/>
        <w:rPr>
          <w:rFonts w:hint="eastAsia"/>
          <w:color w:val="auto"/>
          <w:highlight w:val="none"/>
          <w:lang w:val="en-US" w:eastAsia="zh-CN"/>
        </w:rPr>
      </w:pPr>
      <w:r>
        <w:rPr>
          <w:rFonts w:hint="eastAsia"/>
          <w:color w:val="auto"/>
          <w:highlight w:val="none"/>
          <w:lang w:val="en-US" w:eastAsia="zh-CN"/>
        </w:rPr>
        <w:t xml:space="preserve">2.9 </w:t>
      </w:r>
      <w:r>
        <w:rPr>
          <w:rFonts w:hint="eastAsia" w:ascii="宋体" w:eastAsia="宋体" w:cs="宋体"/>
          <w:color w:val="auto"/>
          <w:highlight w:val="none"/>
          <w:lang w:bidi="ar-SA"/>
        </w:rPr>
        <w:t>本地具备维护人员和配件库</w:t>
      </w:r>
      <w:r>
        <w:rPr>
          <w:rFonts w:hint="eastAsia" w:ascii="宋体" w:cs="宋体"/>
          <w:color w:val="auto"/>
          <w:highlight w:val="none"/>
          <w:lang w:eastAsia="zh-CN" w:bidi="ar-SA"/>
        </w:rPr>
        <w:t>【提供重庆市内内房屋租赁合同</w:t>
      </w:r>
      <w:r>
        <w:rPr>
          <w:rFonts w:hint="eastAsia" w:ascii="宋体" w:cs="宋体"/>
          <w:color w:val="auto"/>
          <w:highlight w:val="none"/>
          <w:lang w:val="en-US" w:eastAsia="zh-CN" w:bidi="ar-SA"/>
        </w:rPr>
        <w:t>或</w:t>
      </w:r>
      <w:r>
        <w:rPr>
          <w:rFonts w:hint="eastAsia" w:ascii="宋体" w:cs="宋体"/>
          <w:color w:val="auto"/>
          <w:highlight w:val="none"/>
          <w:lang w:eastAsia="zh-CN" w:bidi="ar-SA"/>
        </w:rPr>
        <w:t>产权证明】</w:t>
      </w:r>
      <w:r>
        <w:rPr>
          <w:rFonts w:hint="eastAsia"/>
          <w:color w:val="auto"/>
          <w:highlight w:val="none"/>
        </w:rPr>
        <w:t>；</w:t>
      </w:r>
    </w:p>
    <w:p w14:paraId="484BDD5E">
      <w:pPr>
        <w:bidi w:val="0"/>
        <w:rPr>
          <w:color w:val="auto"/>
          <w:highlight w:val="none"/>
          <w:lang w:val="en-US" w:eastAsia="zh-CN"/>
        </w:rPr>
      </w:pPr>
      <w:r>
        <w:rPr>
          <w:rFonts w:hint="eastAsia"/>
          <w:color w:val="auto"/>
          <w:highlight w:val="none"/>
          <w:lang w:val="en-US" w:eastAsia="zh-CN"/>
        </w:rPr>
        <w:t>2.10 本次参选设备必须支持国产操作系统和国产芯片的应用。【提供书面声明】</w:t>
      </w:r>
    </w:p>
    <w:p w14:paraId="371E599A">
      <w:pPr>
        <w:bidi w:val="0"/>
        <w:rPr>
          <w:color w:val="auto"/>
          <w:highlight w:val="none"/>
        </w:rPr>
      </w:pPr>
      <w:r>
        <w:rPr>
          <w:rFonts w:hint="eastAsia"/>
          <w:color w:val="auto"/>
          <w:highlight w:val="none"/>
        </w:rPr>
        <w:t>注:以上证明文件若比选人存疑，参选人需提供原件备查，参选文件中须附相关证明文件复印件并逐页加盖公章。</w:t>
      </w:r>
    </w:p>
    <w:p w14:paraId="247BBB93">
      <w:pPr>
        <w:rPr>
          <w:color w:val="auto"/>
          <w:highlight w:val="none"/>
        </w:rPr>
      </w:pPr>
      <w:r>
        <w:rPr>
          <w:rFonts w:hint="eastAsia"/>
          <w:color w:val="auto"/>
          <w:highlight w:val="none"/>
        </w:rPr>
        <w:t>本次</w:t>
      </w:r>
      <w:r>
        <w:rPr>
          <w:color w:val="auto"/>
          <w:highlight w:val="none"/>
        </w:rPr>
        <w:t>比选</w:t>
      </w:r>
      <w:r>
        <w:rPr>
          <w:rFonts w:hint="eastAsia"/>
          <w:color w:val="auto"/>
          <w:highlight w:val="none"/>
        </w:rPr>
        <w:t>不接受曾因参选人的违约行为与比选人发生过纠纷的参选人；</w:t>
      </w:r>
      <w:r>
        <w:rPr>
          <w:color w:val="auto"/>
          <w:highlight w:val="none"/>
        </w:rPr>
        <w:t>不接受</w:t>
      </w:r>
      <w:r>
        <w:rPr>
          <w:rFonts w:hint="eastAsia"/>
          <w:color w:val="auto"/>
          <w:highlight w:val="none"/>
        </w:rPr>
        <w:t>与比选人合作过程中不遵守比选文件及合同约定的</w:t>
      </w:r>
      <w:r>
        <w:rPr>
          <w:color w:val="auto"/>
          <w:highlight w:val="none"/>
        </w:rPr>
        <w:t>参选人</w:t>
      </w:r>
      <w:r>
        <w:rPr>
          <w:rFonts w:hint="eastAsia"/>
          <w:color w:val="auto"/>
          <w:highlight w:val="none"/>
        </w:rPr>
        <w:t>；</w:t>
      </w:r>
      <w:r>
        <w:rPr>
          <w:color w:val="auto"/>
          <w:highlight w:val="none"/>
        </w:rPr>
        <w:t>不接受</w:t>
      </w:r>
      <w:r>
        <w:rPr>
          <w:rFonts w:hint="eastAsia"/>
          <w:color w:val="auto"/>
          <w:highlight w:val="none"/>
        </w:rPr>
        <w:t>曾在</w:t>
      </w:r>
      <w:r>
        <w:rPr>
          <w:color w:val="auto"/>
          <w:highlight w:val="none"/>
        </w:rPr>
        <w:t>比选人</w:t>
      </w:r>
      <w:r>
        <w:rPr>
          <w:rFonts w:hint="eastAsia"/>
          <w:color w:val="auto"/>
          <w:highlight w:val="none"/>
        </w:rPr>
        <w:t>项目</w:t>
      </w:r>
      <w:r>
        <w:rPr>
          <w:color w:val="auto"/>
          <w:highlight w:val="none"/>
        </w:rPr>
        <w:t>中存在</w:t>
      </w:r>
      <w:r>
        <w:rPr>
          <w:rFonts w:hint="eastAsia"/>
          <w:color w:val="auto"/>
          <w:highlight w:val="none"/>
        </w:rPr>
        <w:t>弄虚作假行为的</w:t>
      </w:r>
      <w:r>
        <w:rPr>
          <w:color w:val="auto"/>
          <w:highlight w:val="none"/>
        </w:rPr>
        <w:t>参选人。若</w:t>
      </w:r>
      <w:r>
        <w:rPr>
          <w:rFonts w:hint="eastAsia"/>
          <w:color w:val="auto"/>
          <w:highlight w:val="none"/>
        </w:rPr>
        <w:t>参选人</w:t>
      </w:r>
      <w:r>
        <w:rPr>
          <w:color w:val="auto"/>
          <w:highlight w:val="none"/>
        </w:rPr>
        <w:t>存在上述情况，比选人</w:t>
      </w:r>
      <w:r>
        <w:rPr>
          <w:rFonts w:hint="eastAsia"/>
          <w:color w:val="auto"/>
          <w:highlight w:val="none"/>
        </w:rPr>
        <w:t>将</w:t>
      </w:r>
      <w:r>
        <w:rPr>
          <w:color w:val="auto"/>
          <w:highlight w:val="none"/>
        </w:rPr>
        <w:t>有权</w:t>
      </w:r>
      <w:r>
        <w:rPr>
          <w:rFonts w:hint="eastAsia"/>
          <w:color w:val="auto"/>
          <w:highlight w:val="none"/>
        </w:rPr>
        <w:t>随时</w:t>
      </w:r>
      <w:r>
        <w:rPr>
          <w:color w:val="auto"/>
          <w:highlight w:val="none"/>
        </w:rPr>
        <w:t>取消其参选资格或</w:t>
      </w:r>
      <w:r>
        <w:rPr>
          <w:rFonts w:hint="eastAsia"/>
          <w:color w:val="auto"/>
          <w:highlight w:val="none"/>
        </w:rPr>
        <w:t>中选</w:t>
      </w:r>
      <w:r>
        <w:rPr>
          <w:color w:val="auto"/>
          <w:highlight w:val="none"/>
        </w:rPr>
        <w:t>资格（</w:t>
      </w:r>
      <w:r>
        <w:rPr>
          <w:rFonts w:hint="eastAsia"/>
          <w:color w:val="auto"/>
          <w:highlight w:val="none"/>
        </w:rPr>
        <w:t>若</w:t>
      </w:r>
      <w:r>
        <w:rPr>
          <w:color w:val="auto"/>
          <w:highlight w:val="none"/>
        </w:rPr>
        <w:t>签署合同后发现的则有权解除合同）</w:t>
      </w:r>
      <w:r>
        <w:rPr>
          <w:rFonts w:hint="eastAsia"/>
          <w:color w:val="auto"/>
          <w:highlight w:val="none"/>
        </w:rPr>
        <w:t>，没收</w:t>
      </w:r>
      <w:r>
        <w:rPr>
          <w:color w:val="auto"/>
          <w:highlight w:val="none"/>
        </w:rPr>
        <w:t>其</w:t>
      </w:r>
      <w:r>
        <w:rPr>
          <w:rFonts w:hint="eastAsia"/>
          <w:color w:val="auto"/>
          <w:highlight w:val="none"/>
        </w:rPr>
        <w:t>参选</w:t>
      </w:r>
      <w:r>
        <w:rPr>
          <w:color w:val="auto"/>
          <w:highlight w:val="none"/>
        </w:rPr>
        <w:t>保证金，并追究其相应的法律责任。</w:t>
      </w:r>
      <w:bookmarkEnd w:id="12"/>
      <w:bookmarkStart w:id="13" w:name="_Toc55379220"/>
      <w:bookmarkStart w:id="14" w:name="_Toc89675130"/>
      <w:bookmarkStart w:id="15" w:name="_Toc469574667"/>
      <w:bookmarkStart w:id="16" w:name="_Toc297817090"/>
    </w:p>
    <w:p w14:paraId="5A051EF3">
      <w:pPr>
        <w:pStyle w:val="4"/>
        <w:bidi w:val="0"/>
        <w:rPr>
          <w:color w:val="auto"/>
          <w:highlight w:val="none"/>
        </w:rPr>
      </w:pPr>
      <w:r>
        <w:rPr>
          <w:rFonts w:hint="eastAsia"/>
          <w:color w:val="auto"/>
          <w:highlight w:val="none"/>
          <w:lang w:val="en-US" w:eastAsia="zh-CN"/>
        </w:rPr>
        <w:t xml:space="preserve">3. </w:t>
      </w:r>
      <w:r>
        <w:rPr>
          <w:rFonts w:hint="eastAsia"/>
          <w:color w:val="auto"/>
          <w:highlight w:val="none"/>
        </w:rPr>
        <w:t>比选文件的获取</w:t>
      </w:r>
      <w:bookmarkEnd w:id="13"/>
    </w:p>
    <w:p w14:paraId="55966020">
      <w:pPr>
        <w:bidi w:val="0"/>
        <w:rPr>
          <w:rFonts w:hint="eastAsia"/>
          <w:color w:val="auto"/>
          <w:highlight w:val="none"/>
        </w:rPr>
      </w:pPr>
      <w:r>
        <w:rPr>
          <w:rFonts w:hint="eastAsia"/>
          <w:color w:val="auto"/>
          <w:highlight w:val="none"/>
          <w:lang w:val="en-US" w:eastAsia="zh-CN"/>
        </w:rPr>
        <w:t xml:space="preserve">3.1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22</w:t>
      </w:r>
      <w:r>
        <w:rPr>
          <w:rFonts w:hint="eastAsia"/>
          <w:color w:val="auto"/>
          <w:highlight w:val="none"/>
        </w:rPr>
        <w:t>日到</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8</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分（北京时间），在重庆市公共资源交易网（www.cqggzy.com）下载比选文件。</w:t>
      </w:r>
    </w:p>
    <w:p w14:paraId="116E3AAB">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7</w:t>
      </w:r>
      <w:r>
        <w:rPr>
          <w:rFonts w:hint="eastAsia"/>
          <w:color w:val="auto"/>
          <w:highlight w:val="none"/>
        </w:rPr>
        <w:t>月</w:t>
      </w:r>
      <w:r>
        <w:rPr>
          <w:rFonts w:hint="eastAsia"/>
          <w:color w:val="auto"/>
          <w:highlight w:val="none"/>
          <w:u w:val="single"/>
          <w:lang w:val="en-US" w:eastAsia="zh-CN"/>
        </w:rPr>
        <w:t>25</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26A8A1E9">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3C77674">
      <w:pPr>
        <w:pStyle w:val="4"/>
        <w:bidi w:val="0"/>
        <w:rPr>
          <w:color w:val="auto"/>
          <w:highlight w:val="none"/>
        </w:rPr>
      </w:pPr>
      <w:bookmarkStart w:id="17" w:name="_Toc55379221"/>
      <w:r>
        <w:rPr>
          <w:rFonts w:hint="eastAsia"/>
          <w:color w:val="auto"/>
          <w:highlight w:val="none"/>
          <w:lang w:val="en-US" w:eastAsia="zh-CN"/>
        </w:rPr>
        <w:t>4. 参选</w:t>
      </w:r>
      <w:r>
        <w:rPr>
          <w:rFonts w:hint="eastAsia"/>
          <w:color w:val="auto"/>
          <w:highlight w:val="none"/>
        </w:rPr>
        <w:t>保证金的递交</w:t>
      </w:r>
      <w:bookmarkEnd w:id="14"/>
      <w:bookmarkEnd w:id="15"/>
      <w:bookmarkEnd w:id="16"/>
      <w:bookmarkEnd w:id="17"/>
    </w:p>
    <w:p w14:paraId="789112D7">
      <w:pPr>
        <w:bidi w:val="0"/>
        <w:rPr>
          <w:color w:val="auto"/>
          <w:highlight w:val="none"/>
        </w:rPr>
      </w:pPr>
      <w:bookmarkStart w:id="18" w:name="_Toc469574668"/>
      <w:bookmarkStart w:id="19" w:name="_Toc89675131"/>
      <w:bookmarkStart w:id="20" w:name="_Toc297817091"/>
      <w:bookmarkStart w:id="21" w:name="_Toc55379222"/>
      <w:r>
        <w:rPr>
          <w:rFonts w:hint="eastAsia"/>
          <w:color w:val="auto"/>
          <w:highlight w:val="none"/>
          <w:lang w:val="en-US" w:eastAsia="zh-CN"/>
        </w:rPr>
        <w:t>4.</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参选保证金的金额：</w:t>
      </w:r>
      <w:r>
        <w:rPr>
          <w:rFonts w:hint="eastAsia"/>
          <w:b/>
          <w:bCs/>
          <w:color w:val="auto"/>
          <w:highlight w:val="none"/>
          <w:u w:val="single"/>
          <w:lang w:val="en-US" w:eastAsia="zh-CN"/>
        </w:rPr>
        <w:t xml:space="preserve"> 10000 </w:t>
      </w:r>
      <w:r>
        <w:rPr>
          <w:rFonts w:hint="eastAsia"/>
          <w:b/>
          <w:bCs/>
          <w:color w:val="auto"/>
          <w:highlight w:val="none"/>
        </w:rPr>
        <w:t>元整（大写：</w:t>
      </w:r>
      <w:r>
        <w:rPr>
          <w:rFonts w:hint="eastAsia"/>
          <w:b/>
          <w:bCs/>
          <w:color w:val="auto"/>
          <w:highlight w:val="none"/>
          <w:u w:val="single"/>
          <w:lang w:val="en-US" w:eastAsia="zh-CN"/>
        </w:rPr>
        <w:t xml:space="preserve"> 壹万元整 </w:t>
      </w:r>
      <w:r>
        <w:rPr>
          <w:rFonts w:hint="eastAsia"/>
          <w:b/>
          <w:bCs/>
          <w:color w:val="auto"/>
          <w:highlight w:val="none"/>
        </w:rPr>
        <w:t>）</w:t>
      </w:r>
      <w:r>
        <w:rPr>
          <w:rFonts w:hint="eastAsia"/>
          <w:color w:val="auto"/>
          <w:highlight w:val="none"/>
        </w:rPr>
        <w:t>。</w:t>
      </w:r>
    </w:p>
    <w:p w14:paraId="6D011520">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7893AEE1">
      <w:pPr>
        <w:bidi w:val="0"/>
        <w:rPr>
          <w:rFonts w:hint="eastAsia"/>
          <w:color w:val="auto"/>
          <w:highlight w:val="none"/>
        </w:rPr>
      </w:pPr>
      <w:r>
        <w:rPr>
          <w:rFonts w:hint="eastAsia"/>
          <w:b/>
          <w:bCs/>
          <w:color w:val="auto"/>
          <w:highlight w:val="none"/>
        </w:rPr>
        <w:t>参选人必须在付款凭证备注栏中注明</w:t>
      </w:r>
      <w:r>
        <w:rPr>
          <w:rFonts w:hint="eastAsia"/>
          <w:b/>
          <w:bCs/>
          <w:color w:val="auto"/>
          <w:highlight w:val="none"/>
          <w:lang w:val="en-US" w:eastAsia="zh-CN"/>
        </w:rPr>
        <w:t>项目简称</w:t>
      </w:r>
      <w:r>
        <w:rPr>
          <w:rFonts w:hint="eastAsia"/>
          <w:b/>
          <w:bCs/>
          <w:color w:val="auto"/>
          <w:highlight w:val="none"/>
        </w:rPr>
        <w:t>。可简写成：</w:t>
      </w:r>
      <w:r>
        <w:rPr>
          <w:rFonts w:hint="eastAsia"/>
          <w:b/>
          <w:bCs/>
          <w:color w:val="auto"/>
          <w:highlight w:val="none"/>
          <w:u w:val="single"/>
          <w:lang w:val="en-US" w:eastAsia="zh-CN"/>
        </w:rPr>
        <w:t>现金智柜</w:t>
      </w:r>
      <w:r>
        <w:rPr>
          <w:rFonts w:hint="eastAsia"/>
          <w:b/>
          <w:bCs/>
          <w:color w:val="auto"/>
          <w:highlight w:val="none"/>
          <w:lang w:eastAsia="zh-CN"/>
        </w:rPr>
        <w:t>项目</w:t>
      </w:r>
      <w:r>
        <w:rPr>
          <w:rFonts w:hint="eastAsia"/>
          <w:b/>
          <w:bCs/>
          <w:color w:val="auto"/>
          <w:highlight w:val="none"/>
        </w:rPr>
        <w:t>。</w:t>
      </w:r>
    </w:p>
    <w:p w14:paraId="362AF1D6">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8</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7928492A">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02BAF04A">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56B18420">
      <w:pPr>
        <w:bidi w:val="0"/>
        <w:rPr>
          <w:color w:val="auto"/>
          <w:highlight w:val="none"/>
        </w:rPr>
      </w:pPr>
      <w:r>
        <w:rPr>
          <w:rFonts w:hint="eastAsia"/>
          <w:color w:val="auto"/>
          <w:highlight w:val="none"/>
        </w:rPr>
        <w:t>参选保证金以重庆市公共资源交易中心比选现场展示的保证金交纳情况为准。</w:t>
      </w:r>
    </w:p>
    <w:bookmarkEnd w:id="18"/>
    <w:bookmarkEnd w:id="19"/>
    <w:bookmarkEnd w:id="20"/>
    <w:bookmarkEnd w:id="21"/>
    <w:p w14:paraId="45D9D3F4">
      <w:pPr>
        <w:pStyle w:val="4"/>
        <w:bidi w:val="0"/>
        <w:rPr>
          <w:color w:val="auto"/>
          <w:highlight w:val="none"/>
        </w:rPr>
      </w:pPr>
      <w:r>
        <w:rPr>
          <w:rFonts w:hint="eastAsia"/>
          <w:color w:val="auto"/>
          <w:highlight w:val="none"/>
          <w:lang w:val="en-US" w:eastAsia="zh-CN"/>
        </w:rPr>
        <w:t xml:space="preserve">5. </w:t>
      </w:r>
      <w:r>
        <w:rPr>
          <w:rFonts w:hint="eastAsia"/>
          <w:color w:val="auto"/>
          <w:highlight w:val="none"/>
        </w:rPr>
        <w:t>参选文件的递交</w:t>
      </w:r>
    </w:p>
    <w:p w14:paraId="00867EE9">
      <w:pPr>
        <w:bidi w:val="0"/>
        <w:rPr>
          <w:color w:val="auto"/>
          <w:highlight w:val="none"/>
        </w:rPr>
      </w:pPr>
      <w:bookmarkStart w:id="22" w:name="_Toc89675132"/>
      <w:bookmarkStart w:id="23" w:name="_Toc55379223"/>
      <w:bookmarkStart w:id="24" w:name="_Toc469574669"/>
      <w:r>
        <w:rPr>
          <w:rFonts w:hint="eastAsia"/>
          <w:color w:val="auto"/>
          <w:highlight w:val="none"/>
          <w:lang w:val="en-US" w:eastAsia="zh-CN"/>
        </w:rPr>
        <w:t xml:space="preserve">5.1 </w:t>
      </w:r>
      <w:r>
        <w:rPr>
          <w:rFonts w:hint="eastAsia"/>
          <w:color w:val="auto"/>
          <w:highlight w:val="none"/>
        </w:rPr>
        <w:t>参选文件现场递交的开始时间为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8</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分(北京时间)。递交截止时间为</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8</w:t>
      </w:r>
      <w:r>
        <w:rPr>
          <w:rFonts w:hint="eastAsia"/>
          <w:color w:val="auto"/>
          <w:highlight w:val="none"/>
        </w:rPr>
        <w:t>月</w:t>
      </w:r>
      <w:r>
        <w:rPr>
          <w:rFonts w:hint="eastAsia"/>
          <w:color w:val="auto"/>
          <w:highlight w:val="none"/>
          <w:u w:val="single"/>
          <w:lang w:val="en-US" w:eastAsia="zh-CN"/>
        </w:rPr>
        <w:t>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4D02B4D0">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递交地点为重庆市渝北区青枫北路6号渝兴广场B10栋重庆市公共资源交易中心开标区（具体请登陆重庆市公共资源交易网（www.cqggzy.com）查询或递交文件当日见交易中心大厅电子显示屏）。</w:t>
      </w:r>
    </w:p>
    <w:p w14:paraId="1D77B8C3">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57766FAA">
      <w:pPr>
        <w:pStyle w:val="4"/>
        <w:bidi w:val="0"/>
        <w:rPr>
          <w:color w:val="auto"/>
          <w:highlight w:val="none"/>
        </w:rPr>
      </w:pPr>
      <w:r>
        <w:rPr>
          <w:rFonts w:hint="eastAsia"/>
          <w:color w:val="auto"/>
          <w:highlight w:val="none"/>
          <w:lang w:val="en-US" w:eastAsia="zh-CN"/>
        </w:rPr>
        <w:t xml:space="preserve">6. </w:t>
      </w:r>
      <w:r>
        <w:rPr>
          <w:rFonts w:hint="eastAsia"/>
          <w:color w:val="auto"/>
          <w:highlight w:val="none"/>
        </w:rPr>
        <w:t>发布公告的媒介</w:t>
      </w:r>
      <w:bookmarkEnd w:id="22"/>
      <w:bookmarkEnd w:id="23"/>
      <w:bookmarkEnd w:id="24"/>
    </w:p>
    <w:p w14:paraId="0D3CCEC5">
      <w:pPr>
        <w:bidi w:val="0"/>
        <w:rPr>
          <w:color w:val="auto"/>
          <w:highlight w:val="none"/>
        </w:rPr>
      </w:pPr>
      <w:bookmarkStart w:id="25" w:name="_Toc89675133"/>
      <w:bookmarkStart w:id="26" w:name="_Toc250565211"/>
      <w:bookmarkStart w:id="27" w:name="_Toc469574670"/>
      <w:bookmarkStart w:id="28" w:name="_Toc55379224"/>
      <w:r>
        <w:rPr>
          <w:rFonts w:hint="eastAsia"/>
          <w:color w:val="auto"/>
          <w:highlight w:val="none"/>
        </w:rPr>
        <w:t>本次比选公告同时在《重庆市公共资源交易网（www.cqggzy.com）》《重庆三峡银行官网（https://www.ccqtgb.com）》和《中国</w:t>
      </w:r>
      <w:r>
        <w:rPr>
          <w:rFonts w:hint="eastAsia"/>
          <w:color w:val="auto"/>
          <w:highlight w:val="none"/>
          <w:lang w:eastAsia="zh-CN"/>
        </w:rPr>
        <w:t>比选参选</w:t>
      </w:r>
      <w:r>
        <w:rPr>
          <w:rFonts w:hint="eastAsia"/>
          <w:color w:val="auto"/>
          <w:highlight w:val="none"/>
        </w:rPr>
        <w:t>公共服务平台（http://www.cebpubservice.com）》上发布。</w:t>
      </w:r>
    </w:p>
    <w:p w14:paraId="0896B6AF">
      <w:pPr>
        <w:pStyle w:val="4"/>
        <w:bidi w:val="0"/>
        <w:rPr>
          <w:rFonts w:hint="eastAsia"/>
          <w:color w:val="auto"/>
          <w:highlight w:val="none"/>
        </w:rPr>
      </w:pPr>
      <w:r>
        <w:rPr>
          <w:rFonts w:hint="eastAsia"/>
          <w:color w:val="auto"/>
          <w:highlight w:val="none"/>
          <w:lang w:val="en-US" w:eastAsia="zh-CN"/>
        </w:rPr>
        <w:t xml:space="preserve">7. </w:t>
      </w:r>
      <w:r>
        <w:rPr>
          <w:rFonts w:hint="eastAsia"/>
          <w:color w:val="auto"/>
          <w:highlight w:val="none"/>
        </w:rPr>
        <w:t>联系方式</w:t>
      </w:r>
      <w:bookmarkEnd w:id="25"/>
      <w:bookmarkEnd w:id="26"/>
      <w:bookmarkEnd w:id="27"/>
      <w:bookmarkEnd w:id="28"/>
    </w:p>
    <w:tbl>
      <w:tblPr>
        <w:tblStyle w:val="15"/>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39144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single" w:color="auto" w:sz="4" w:space="0"/>
              <w:left w:val="single" w:color="auto" w:sz="4" w:space="0"/>
              <w:bottom w:val="nil"/>
              <w:right w:val="single" w:color="auto" w:sz="4" w:space="0"/>
            </w:tcBorders>
          </w:tcPr>
          <w:p w14:paraId="6717CD7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项目需求咨询</w:t>
            </w:r>
          </w:p>
        </w:tc>
      </w:tr>
      <w:tr w14:paraId="19F7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290BF2AF">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项目联系人：袁舒静</w:t>
            </w:r>
          </w:p>
        </w:tc>
        <w:tc>
          <w:tcPr>
            <w:tcW w:w="5333" w:type="dxa"/>
            <w:tcBorders>
              <w:top w:val="nil"/>
              <w:left w:val="nil"/>
              <w:bottom w:val="nil"/>
              <w:right w:val="single" w:color="auto" w:sz="4" w:space="0"/>
            </w:tcBorders>
          </w:tcPr>
          <w:p w14:paraId="4334463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联系方式：023-88890080</w:t>
            </w:r>
          </w:p>
        </w:tc>
      </w:tr>
      <w:tr w14:paraId="15E6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360E642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05F3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483FA7F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项目流程咨询</w:t>
            </w:r>
          </w:p>
        </w:tc>
      </w:tr>
      <w:tr w14:paraId="577C3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744BD9D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平台服务机构：重庆联合产权交易所集团股份有限公司</w:t>
            </w:r>
          </w:p>
        </w:tc>
      </w:tr>
      <w:tr w14:paraId="49E3E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1637006B">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平台联系人：罗老师</w:t>
            </w:r>
          </w:p>
        </w:tc>
        <w:tc>
          <w:tcPr>
            <w:tcW w:w="5333" w:type="dxa"/>
            <w:tcBorders>
              <w:top w:val="nil"/>
              <w:left w:val="nil"/>
              <w:bottom w:val="nil"/>
              <w:right w:val="single" w:color="auto" w:sz="4" w:space="0"/>
            </w:tcBorders>
          </w:tcPr>
          <w:p w14:paraId="55F38AF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联系方式：023-63621694</w:t>
            </w:r>
          </w:p>
        </w:tc>
      </w:tr>
      <w:tr w14:paraId="4C07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3FA7AE5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p>
        </w:tc>
      </w:tr>
      <w:tr w14:paraId="53FC0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nil"/>
              <w:right w:val="single" w:color="auto" w:sz="4" w:space="0"/>
            </w:tcBorders>
          </w:tcPr>
          <w:p w14:paraId="3F1E839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比选人联系方式</w:t>
            </w:r>
          </w:p>
        </w:tc>
      </w:tr>
      <w:tr w14:paraId="576C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3090" w:type="dxa"/>
            <w:tcBorders>
              <w:top w:val="nil"/>
              <w:left w:val="single" w:color="auto" w:sz="4" w:space="0"/>
              <w:bottom w:val="nil"/>
              <w:right w:val="nil"/>
            </w:tcBorders>
          </w:tcPr>
          <w:p w14:paraId="2F5396BA">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联系人：敬希</w:t>
            </w:r>
          </w:p>
        </w:tc>
        <w:tc>
          <w:tcPr>
            <w:tcW w:w="5333" w:type="dxa"/>
            <w:tcBorders>
              <w:top w:val="nil"/>
              <w:left w:val="nil"/>
              <w:bottom w:val="nil"/>
              <w:right w:val="single" w:color="auto" w:sz="4" w:space="0"/>
            </w:tcBorders>
          </w:tcPr>
          <w:p w14:paraId="114EE199">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联系方式：023-88890395</w:t>
            </w:r>
          </w:p>
        </w:tc>
      </w:tr>
      <w:tr w14:paraId="23C5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8423" w:type="dxa"/>
            <w:gridSpan w:val="2"/>
            <w:tcBorders>
              <w:top w:val="nil"/>
              <w:left w:val="single" w:color="auto" w:sz="4" w:space="0"/>
              <w:bottom w:val="single" w:color="auto" w:sz="4" w:space="0"/>
              <w:right w:val="single" w:color="auto" w:sz="4" w:space="0"/>
            </w:tcBorders>
          </w:tcPr>
          <w:p w14:paraId="032BCE66">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比选人地址：重庆市渝北区嘉州路88号中渝国际都会4号写字楼21层</w:t>
            </w:r>
          </w:p>
        </w:tc>
      </w:tr>
    </w:tbl>
    <w:p w14:paraId="3FAE0694">
      <w:pPr>
        <w:rPr>
          <w:color w:val="auto"/>
          <w:highlight w:val="none"/>
        </w:rPr>
      </w:pPr>
    </w:p>
    <w:p w14:paraId="38D6A95F">
      <w:pPr>
        <w:bidi w:val="0"/>
        <w:rPr>
          <w:color w:val="auto"/>
          <w:highlight w:val="none"/>
        </w:rPr>
      </w:pPr>
    </w:p>
    <w:p w14:paraId="2FFFE267">
      <w:pPr>
        <w:spacing w:line="240" w:lineRule="auto"/>
        <w:ind w:firstLine="0" w:firstLineChars="0"/>
        <w:jc w:val="right"/>
        <w:rPr>
          <w:color w:val="auto"/>
          <w:highlight w:val="none"/>
        </w:rPr>
      </w:pPr>
      <w:r>
        <w:rPr>
          <w:rFonts w:hint="eastAsia"/>
          <w:color w:val="auto"/>
          <w:highlight w:val="none"/>
        </w:rPr>
        <w:t>重庆三峡银行股份有限公司</w:t>
      </w:r>
    </w:p>
    <w:p w14:paraId="0A68B4E6">
      <w:pPr>
        <w:bidi w:val="0"/>
        <w:jc w:val="right"/>
        <w:rPr>
          <w:color w:val="auto"/>
          <w:highlight w:val="none"/>
        </w:rPr>
      </w:pPr>
      <w:r>
        <w:rPr>
          <w:rFonts w:hint="eastAsia"/>
          <w:color w:val="auto"/>
          <w:highlight w:val="none"/>
        </w:rPr>
        <w:t>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7</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14:paraId="64289B34">
      <w:pPr>
        <w:bidi w:val="0"/>
        <w:rPr>
          <w:color w:val="auto"/>
          <w:highlight w:val="none"/>
        </w:rPr>
      </w:pPr>
      <w:r>
        <w:rPr>
          <w:color w:val="auto"/>
          <w:highlight w:val="none"/>
        </w:rPr>
        <w:br w:type="page"/>
      </w:r>
    </w:p>
    <w:p w14:paraId="15C3D123">
      <w:pPr>
        <w:pStyle w:val="3"/>
        <w:bidi w:val="0"/>
        <w:rPr>
          <w:color w:val="auto"/>
          <w:highlight w:val="none"/>
        </w:rPr>
      </w:pPr>
      <w:bookmarkStart w:id="29" w:name="_Toc303066033"/>
      <w:bookmarkStart w:id="30" w:name="_Toc89675159"/>
      <w:bookmarkStart w:id="31" w:name="_Toc13360"/>
      <w:r>
        <w:rPr>
          <w:rFonts w:hint="eastAsia"/>
          <w:color w:val="auto"/>
          <w:highlight w:val="none"/>
        </w:rPr>
        <w:t>第二章 参选人须知</w:t>
      </w:r>
      <w:bookmarkEnd w:id="29"/>
      <w:bookmarkEnd w:id="30"/>
      <w:bookmarkEnd w:id="31"/>
    </w:p>
    <w:p w14:paraId="32CF3611">
      <w:pPr>
        <w:pStyle w:val="4"/>
        <w:bidi w:val="0"/>
        <w:rPr>
          <w:color w:val="auto"/>
          <w:highlight w:val="none"/>
          <w:lang w:val="en-US" w:eastAsia="zh-CN"/>
        </w:rPr>
      </w:pPr>
      <w:bookmarkStart w:id="32" w:name="_Toc89675160"/>
      <w:r>
        <w:rPr>
          <w:rFonts w:hint="eastAsia"/>
          <w:color w:val="auto"/>
          <w:highlight w:val="none"/>
          <w:lang w:val="en-US" w:eastAsia="zh-CN"/>
        </w:rPr>
        <w:t>1. 项目信息</w:t>
      </w:r>
    </w:p>
    <w:p w14:paraId="38F3B693">
      <w:pPr>
        <w:pStyle w:val="2"/>
        <w:bidi w:val="0"/>
        <w:rPr>
          <w:color w:val="auto"/>
          <w:highlight w:val="none"/>
          <w:lang w:val="en-US" w:eastAsia="zh-CN"/>
        </w:rPr>
      </w:pPr>
      <w:r>
        <w:rPr>
          <w:rFonts w:hint="eastAsia"/>
          <w:color w:val="auto"/>
          <w:highlight w:val="none"/>
          <w:lang w:val="en-US" w:eastAsia="zh-CN"/>
        </w:rPr>
        <w:t>1.1 比选人</w:t>
      </w:r>
    </w:p>
    <w:p w14:paraId="5517C1C9">
      <w:pPr>
        <w:bidi w:val="0"/>
        <w:rPr>
          <w:rFonts w:hint="eastAsia" w:eastAsia="宋体"/>
          <w:color w:val="auto"/>
          <w:highlight w:val="none"/>
          <w:lang w:eastAsia="zh-CN"/>
        </w:rPr>
      </w:pPr>
      <w:r>
        <w:rPr>
          <w:color w:val="auto"/>
          <w:highlight w:val="none"/>
        </w:rPr>
        <w:t>重庆三峡银行股份有限公司</w:t>
      </w:r>
      <w:r>
        <w:rPr>
          <w:rFonts w:hint="eastAsia"/>
          <w:color w:val="auto"/>
          <w:highlight w:val="none"/>
          <w:lang w:eastAsia="zh-CN"/>
        </w:rPr>
        <w:t>。</w:t>
      </w:r>
    </w:p>
    <w:p w14:paraId="2CB8629C">
      <w:pPr>
        <w:pStyle w:val="2"/>
        <w:bidi w:val="0"/>
        <w:rPr>
          <w:color w:val="auto"/>
          <w:highlight w:val="none"/>
          <w:lang w:val="en-US" w:eastAsia="zh-CN"/>
        </w:rPr>
      </w:pPr>
      <w:r>
        <w:rPr>
          <w:rFonts w:hint="eastAsia"/>
          <w:color w:val="auto"/>
          <w:highlight w:val="none"/>
          <w:lang w:val="en-US" w:eastAsia="zh-CN"/>
        </w:rPr>
        <w:t>1.2 最高限价</w:t>
      </w:r>
    </w:p>
    <w:p w14:paraId="5DC187BA">
      <w:pPr>
        <w:bidi w:val="0"/>
        <w:rPr>
          <w:color w:val="auto"/>
          <w:highlight w:val="none"/>
          <w:lang w:val="en-US" w:eastAsia="zh-CN"/>
        </w:rPr>
      </w:pPr>
      <w:r>
        <w:rPr>
          <w:rFonts w:hint="eastAsia"/>
          <w:color w:val="auto"/>
          <w:highlight w:val="none"/>
        </w:rPr>
        <w:t>本项目最高限价为</w:t>
      </w:r>
      <w:r>
        <w:rPr>
          <w:rFonts w:hint="eastAsia"/>
          <w:color w:val="auto"/>
          <w:highlight w:val="none"/>
          <w:lang w:eastAsia="zh-CN"/>
        </w:rPr>
        <w:t>：85000.00</w:t>
      </w:r>
      <w:r>
        <w:rPr>
          <w:rFonts w:hint="eastAsia"/>
          <w:color w:val="auto"/>
          <w:highlight w:val="none"/>
          <w:lang w:val="en-US" w:eastAsia="zh-CN"/>
        </w:rPr>
        <w:t>元/台</w:t>
      </w:r>
      <w:r>
        <w:rPr>
          <w:rFonts w:hint="eastAsia"/>
          <w:color w:val="auto"/>
          <w:highlight w:val="none"/>
          <w:lang w:eastAsia="zh-CN"/>
        </w:rPr>
        <w:t>（人民币大写： 捌万伍仟元整</w:t>
      </w:r>
      <w:r>
        <w:rPr>
          <w:rFonts w:hint="eastAsia"/>
          <w:color w:val="auto"/>
          <w:highlight w:val="none"/>
          <w:lang w:val="en-US" w:eastAsia="zh-CN"/>
        </w:rPr>
        <w:t>每台</w:t>
      </w:r>
      <w:r>
        <w:rPr>
          <w:rFonts w:hint="eastAsia"/>
          <w:color w:val="auto"/>
          <w:highlight w:val="none"/>
          <w:lang w:eastAsia="zh-CN"/>
        </w:rPr>
        <w:t xml:space="preserve"> ）</w:t>
      </w:r>
      <w:r>
        <w:rPr>
          <w:rFonts w:hint="eastAsia"/>
          <w:color w:val="auto"/>
          <w:highlight w:val="none"/>
          <w:lang w:val="en-US" w:eastAsia="zh-CN"/>
        </w:rPr>
        <w:t>。</w:t>
      </w:r>
    </w:p>
    <w:p w14:paraId="1303C021">
      <w:pPr>
        <w:pStyle w:val="2"/>
        <w:bidi w:val="0"/>
        <w:rPr>
          <w:color w:val="auto"/>
          <w:highlight w:val="none"/>
          <w:lang w:val="en-US" w:eastAsia="zh-CN"/>
        </w:rPr>
      </w:pPr>
      <w:r>
        <w:rPr>
          <w:rFonts w:hint="eastAsia"/>
          <w:color w:val="auto"/>
          <w:highlight w:val="none"/>
          <w:lang w:val="en-US" w:eastAsia="zh-CN"/>
        </w:rPr>
        <w:t>1.3 项目概况</w:t>
      </w:r>
    </w:p>
    <w:bookmarkEnd w:id="32"/>
    <w:p w14:paraId="1BB81B59">
      <w:pPr>
        <w:rPr>
          <w:rFonts w:hint="eastAsia"/>
          <w:color w:val="auto"/>
          <w:highlight w:val="none"/>
          <w:lang w:val="en-US" w:eastAsia="zh-CN"/>
        </w:rPr>
      </w:pPr>
      <w:bookmarkStart w:id="33" w:name="_Toc89675161"/>
      <w:r>
        <w:rPr>
          <w:rFonts w:hint="eastAsia"/>
          <w:color w:val="auto"/>
          <w:highlight w:val="none"/>
          <w:lang w:val="en-US" w:eastAsia="zh-CN"/>
        </w:rPr>
        <w:t>随着比选人业务的发展，自助渠道的建设任务越来越繁重，对自助设备的需求数量也越来越大。与此同时，技术的进步和发展促进了自助设备服务功能更加丰富，为自助设备的应用提供了更多的选择。因此，比选人决定本着公平、公正、公开原则开展智能柜员机（现金版）公开比选工作，择优选取比选人智能柜员机（现金版）品牌、型号及供货商，维护本行利益，丰富智能柜员机服务功能，提升比选人形象和用户满意度。</w:t>
      </w:r>
    </w:p>
    <w:p w14:paraId="6FBFA3F7">
      <w:pPr>
        <w:pStyle w:val="2"/>
        <w:bidi w:val="0"/>
        <w:rPr>
          <w:rFonts w:hint="eastAsia"/>
          <w:color w:val="auto"/>
          <w:highlight w:val="none"/>
          <w:lang w:val="en-US" w:eastAsia="zh-CN"/>
        </w:rPr>
      </w:pPr>
      <w:r>
        <w:rPr>
          <w:rFonts w:hint="eastAsia"/>
          <w:color w:val="auto"/>
          <w:highlight w:val="none"/>
          <w:lang w:val="en-US" w:eastAsia="zh-CN"/>
        </w:rPr>
        <w:t>1.4 项目目标</w:t>
      </w:r>
    </w:p>
    <w:p w14:paraId="616B94CF">
      <w:pPr>
        <w:bidi w:val="0"/>
        <w:rPr>
          <w:color w:val="auto"/>
          <w:highlight w:val="none"/>
          <w:lang w:val="en-US" w:eastAsia="zh-CN"/>
        </w:rPr>
      </w:pPr>
      <w:r>
        <w:rPr>
          <w:color w:val="auto"/>
          <w:highlight w:val="none"/>
          <w:lang w:val="en-US" w:eastAsia="zh-CN"/>
        </w:rPr>
        <w:t>以满足比选人业务发展及自助渠道建设需要、维护本行利益为目的，通过智能柜员机（现金版）公开比选，确定未来一定时期内本行智能柜员机（现金版）的品牌、型号及供货商。</w:t>
      </w:r>
    </w:p>
    <w:p w14:paraId="29D14256">
      <w:pPr>
        <w:pStyle w:val="4"/>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bookmarkEnd w:id="33"/>
    </w:p>
    <w:p w14:paraId="419F0947">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0870970">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60CF44E9">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21DA951E">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206120F4">
      <w:pPr>
        <w:pStyle w:val="4"/>
        <w:bidi w:val="0"/>
        <w:rPr>
          <w:color w:val="auto"/>
          <w:highlight w:val="none"/>
        </w:rPr>
      </w:pPr>
      <w:bookmarkStart w:id="34" w:name="_Toc89675162"/>
      <w:r>
        <w:rPr>
          <w:rFonts w:hint="eastAsia"/>
          <w:color w:val="auto"/>
          <w:highlight w:val="none"/>
          <w:lang w:val="en-US" w:eastAsia="zh-CN"/>
        </w:rPr>
        <w:t xml:space="preserve">3. </w:t>
      </w:r>
      <w:r>
        <w:rPr>
          <w:rFonts w:hint="eastAsia"/>
          <w:color w:val="auto"/>
          <w:highlight w:val="none"/>
        </w:rPr>
        <w:t>比选文件</w:t>
      </w:r>
      <w:bookmarkEnd w:id="34"/>
    </w:p>
    <w:p w14:paraId="55B80894">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19714695">
      <w:pPr>
        <w:bidi w:val="0"/>
        <w:rPr>
          <w:color w:val="auto"/>
          <w:highlight w:val="none"/>
        </w:rPr>
      </w:pPr>
      <w:r>
        <w:rPr>
          <w:rFonts w:hint="eastAsia"/>
          <w:color w:val="auto"/>
          <w:highlight w:val="none"/>
        </w:rPr>
        <w:t>本行对比选文件所作的一切有效的书面通知、修改及补充，都是比选文件不可分割的部分。</w:t>
      </w:r>
    </w:p>
    <w:p w14:paraId="6C9F3CCD">
      <w:pPr>
        <w:pStyle w:val="4"/>
        <w:bidi w:val="0"/>
        <w:rPr>
          <w:color w:val="auto"/>
          <w:highlight w:val="none"/>
        </w:rPr>
      </w:pPr>
      <w:bookmarkStart w:id="35" w:name="_Toc89675163"/>
      <w:r>
        <w:rPr>
          <w:rFonts w:hint="eastAsia"/>
          <w:color w:val="auto"/>
          <w:highlight w:val="none"/>
          <w:lang w:val="en-US" w:eastAsia="zh-CN"/>
        </w:rPr>
        <w:t xml:space="preserve">4. </w:t>
      </w:r>
      <w:r>
        <w:rPr>
          <w:color w:val="auto"/>
          <w:highlight w:val="none"/>
        </w:rPr>
        <w:t>参选</w:t>
      </w:r>
      <w:bookmarkEnd w:id="35"/>
    </w:p>
    <w:p w14:paraId="07EBDFCD">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5C0D0FA5">
      <w:pPr>
        <w:pStyle w:val="2"/>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7EEB45D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5E1112A4">
      <w:pPr>
        <w:pStyle w:val="2"/>
        <w:bidi w:val="0"/>
        <w:rPr>
          <w:rFonts w:hint="eastAsia"/>
          <w:color w:val="auto"/>
          <w:highlight w:val="none"/>
          <w:lang w:val="en-US" w:eastAsia="zh-CN"/>
        </w:rPr>
      </w:pPr>
      <w:r>
        <w:rPr>
          <w:rFonts w:hint="eastAsia"/>
          <w:color w:val="auto"/>
          <w:highlight w:val="none"/>
          <w:lang w:val="en-US" w:eastAsia="zh-CN"/>
        </w:rPr>
        <w:t>4.2 联合参选</w:t>
      </w:r>
    </w:p>
    <w:p w14:paraId="70EB9B73">
      <w:pPr>
        <w:bidi w:val="0"/>
        <w:rPr>
          <w:rFonts w:hint="eastAsia"/>
          <w:color w:val="auto"/>
          <w:highlight w:val="none"/>
        </w:rPr>
      </w:pPr>
      <w:r>
        <w:rPr>
          <w:rFonts w:hint="eastAsia"/>
          <w:color w:val="auto"/>
          <w:highlight w:val="none"/>
        </w:rPr>
        <w:t>本比选项目不接受联合参选</w:t>
      </w:r>
    </w:p>
    <w:p w14:paraId="1EE500A0">
      <w:pPr>
        <w:pStyle w:val="2"/>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32644574">
      <w:pPr>
        <w:bidi w:val="0"/>
        <w:rPr>
          <w:color w:val="auto"/>
          <w:highlight w:val="none"/>
        </w:rPr>
      </w:pPr>
      <w:r>
        <w:rPr>
          <w:rFonts w:hint="eastAsia"/>
          <w:color w:val="auto"/>
          <w:highlight w:val="none"/>
        </w:rPr>
        <w:t>参选有效期为参选截止日期后90天内。</w:t>
      </w:r>
    </w:p>
    <w:p w14:paraId="243B4FDF">
      <w:pPr>
        <w:pStyle w:val="2"/>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356036A5">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42412816">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2E08B630">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7351A3C7">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6E8F7EA2">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D59FAD0">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354B463">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3E0745C">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0F740BB9">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34F17F2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6F96D81A">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0D7460D3">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78FAACDC">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4814CE8F">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03C65668">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776C3614">
      <w:pPr>
        <w:pStyle w:val="2"/>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529FD486">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并单独装入信封中密封，并在信封表面加盖鲜章（公章）。</w:t>
      </w:r>
    </w:p>
    <w:p w14:paraId="2221D002">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769DB121">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C9C479A">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4BB91941">
      <w:pPr>
        <w:pStyle w:val="2"/>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2950FAD9">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1F9731E9">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14CCC76E">
      <w:pPr>
        <w:pStyle w:val="2"/>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39A9F464">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w:t>
      </w:r>
      <w:r>
        <w:rPr>
          <w:rFonts w:hint="eastAsia" w:ascii="Times New Roman" w:hAnsi="Times New Roman" w:cs="Times New Roman"/>
          <w:color w:val="000000"/>
          <w:highlight w:val="none"/>
        </w:rPr>
        <w:t>第三章的要求及</w:t>
      </w:r>
      <w:r>
        <w:rPr>
          <w:rFonts w:hint="eastAsia"/>
          <w:color w:val="auto"/>
          <w:highlight w:val="none"/>
        </w:rPr>
        <w:t>“参选文件格式”填写报价。</w:t>
      </w:r>
    </w:p>
    <w:p w14:paraId="3C49E1B0">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595BA1CD">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185FCF0D">
      <w:pPr>
        <w:bidi w:val="0"/>
        <w:rPr>
          <w:rFonts w:hint="eastAsia"/>
          <w:color w:val="auto"/>
          <w:highlight w:val="none"/>
        </w:rPr>
      </w:pPr>
      <w:r>
        <w:rPr>
          <w:rFonts w:hint="eastAsia"/>
          <w:color w:val="auto"/>
          <w:highlight w:val="none"/>
        </w:rPr>
        <w:t>4.7.4 参选报价不得高于最高限价。</w:t>
      </w:r>
    </w:p>
    <w:p w14:paraId="1FC59F7E">
      <w:pPr>
        <w:pStyle w:val="2"/>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1F7DD2DB">
      <w:pPr>
        <w:bidi w:val="0"/>
        <w:rPr>
          <w:color w:val="auto"/>
          <w:highlight w:val="none"/>
        </w:rPr>
      </w:pPr>
      <w:r>
        <w:rPr>
          <w:rFonts w:hint="eastAsia"/>
          <w:color w:val="auto"/>
          <w:highlight w:val="none"/>
        </w:rPr>
        <w:t>若参选文件出现计算或表达上的错误，修正错误的原则如下：</w:t>
      </w:r>
    </w:p>
    <w:p w14:paraId="03342C3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60C1EF1D">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66C286AA">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6C5705BD">
      <w:pPr>
        <w:bidi w:val="0"/>
        <w:rPr>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2777C85D">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1803F9D">
      <w:pPr>
        <w:pStyle w:val="4"/>
        <w:bidi w:val="0"/>
        <w:rPr>
          <w:color w:val="auto"/>
          <w:highlight w:val="none"/>
        </w:rPr>
      </w:pPr>
      <w:bookmarkStart w:id="36" w:name="_Toc89675166"/>
      <w:r>
        <w:rPr>
          <w:rFonts w:hint="eastAsia"/>
          <w:color w:val="auto"/>
          <w:highlight w:val="none"/>
          <w:lang w:val="en-US" w:eastAsia="zh-CN"/>
        </w:rPr>
        <w:t xml:space="preserve">5. </w:t>
      </w:r>
      <w:r>
        <w:rPr>
          <w:rFonts w:hint="eastAsia"/>
          <w:color w:val="auto"/>
          <w:highlight w:val="none"/>
        </w:rPr>
        <w:t>比选程序</w:t>
      </w:r>
    </w:p>
    <w:p w14:paraId="0166B098">
      <w:pPr>
        <w:bidi w:val="0"/>
        <w:rPr>
          <w:color w:val="auto"/>
          <w:highlight w:val="none"/>
        </w:rPr>
      </w:pPr>
      <w:r>
        <w:rPr>
          <w:rFonts w:hint="eastAsia"/>
          <w:color w:val="auto"/>
          <w:highlight w:val="none"/>
        </w:rPr>
        <w:t>主持人按下列程序进行比选：</w:t>
      </w:r>
    </w:p>
    <w:p w14:paraId="2416C00C">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0011CCBA">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63A75E29">
      <w:pPr>
        <w:bidi w:val="0"/>
        <w:rPr>
          <w:color w:val="auto"/>
          <w:highlight w:val="none"/>
        </w:rPr>
      </w:pPr>
      <w:r>
        <w:rPr>
          <w:rFonts w:hint="eastAsia"/>
          <w:color w:val="auto"/>
          <w:highlight w:val="none"/>
          <w:lang w:val="en-US" w:eastAsia="zh-CN"/>
        </w:rPr>
        <w:t xml:space="preserve">5.3 </w:t>
      </w:r>
      <w:r>
        <w:rPr>
          <w:rFonts w:hint="eastAsia"/>
          <w:color w:val="auto"/>
          <w:highlight w:val="none"/>
        </w:rPr>
        <w:t>公布在比选截止时间前递交参选文件的参选人名称，并点名确认参选人是否派人到场；</w:t>
      </w:r>
    </w:p>
    <w:p w14:paraId="6D4A3A56">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1E7B817C">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4C322077">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71808D88">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4F1E5F56">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4C3A9334">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4ABA2AA8">
      <w:pPr>
        <w:pStyle w:val="4"/>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0C316362">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0E3CFB1">
      <w:pPr>
        <w:pStyle w:val="4"/>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bookmarkEnd w:id="36"/>
    </w:p>
    <w:p w14:paraId="3902419E">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2140851B">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1A5D48DE">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269DB23C">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2D9C7955">
      <w:pPr>
        <w:pStyle w:val="4"/>
        <w:bidi w:val="0"/>
        <w:rPr>
          <w:color w:val="auto"/>
          <w:highlight w:val="none"/>
        </w:rPr>
      </w:pPr>
      <w:bookmarkStart w:id="37" w:name="_Toc89675168"/>
      <w:bookmarkStart w:id="38" w:name="_Toc12245"/>
      <w:r>
        <w:rPr>
          <w:rFonts w:hint="eastAsia"/>
          <w:color w:val="auto"/>
          <w:highlight w:val="none"/>
          <w:lang w:val="en-US" w:eastAsia="zh-CN"/>
        </w:rPr>
        <w:t xml:space="preserve">8. </w:t>
      </w:r>
      <w:r>
        <w:rPr>
          <w:rFonts w:hint="eastAsia"/>
          <w:color w:val="auto"/>
          <w:highlight w:val="none"/>
        </w:rPr>
        <w:t>签订合同</w:t>
      </w:r>
      <w:bookmarkEnd w:id="37"/>
      <w:bookmarkEnd w:id="38"/>
    </w:p>
    <w:p w14:paraId="589A5C22">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0ACC348D">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794BA24E">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2EFE7088">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3EBE7429">
      <w:pPr>
        <w:bidi w:val="0"/>
        <w:rPr>
          <w:color w:val="auto"/>
          <w:highlight w:val="none"/>
          <w:lang w:val="en-US" w:eastAsia="zh-CN"/>
        </w:rPr>
      </w:pPr>
      <w:r>
        <w:rPr>
          <w:rFonts w:hint="eastAsia"/>
          <w:color w:val="auto"/>
          <w:highlight w:val="none"/>
          <w:lang w:val="en-US" w:eastAsia="zh-CN"/>
        </w:rPr>
        <w:t>8.5 该项目不允许任何形式的转包。</w:t>
      </w:r>
    </w:p>
    <w:p w14:paraId="6F879726">
      <w:pPr>
        <w:pStyle w:val="4"/>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4C3A053">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53B5907A">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6EDF36A6">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7DDCD27D">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3F3239E5">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387D2E09">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2DA21CE0">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25DA8F2E">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3704753C">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5823228">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5B308F8D">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0F3E56C4">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7A991407">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71E81481">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41F19626">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7D5AEE06">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31CA5C50">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74AA7808">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5A94DE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1A60177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3AF33F39">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06012851">
      <w:pPr>
        <w:pStyle w:val="4"/>
        <w:bidi w:val="0"/>
        <w:rPr>
          <w:color w:val="auto"/>
          <w:highlight w:val="none"/>
        </w:rPr>
      </w:pPr>
      <w:bookmarkStart w:id="39" w:name="_Toc89675169"/>
      <w:r>
        <w:rPr>
          <w:rFonts w:hint="eastAsia"/>
          <w:color w:val="auto"/>
          <w:highlight w:val="none"/>
          <w:lang w:val="en-US" w:eastAsia="zh-CN"/>
        </w:rPr>
        <w:t xml:space="preserve">10. </w:t>
      </w:r>
      <w:r>
        <w:rPr>
          <w:rFonts w:hint="eastAsia"/>
          <w:color w:val="auto"/>
          <w:highlight w:val="none"/>
        </w:rPr>
        <w:t>提问、质疑、投诉</w:t>
      </w:r>
    </w:p>
    <w:p w14:paraId="557A5306">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补遗内容可能影响参选文件编制的，须在比选截止时间3日前发布，发布时间至比选截止时间不足3日的，须相应延后比选截止时间。</w:t>
      </w:r>
    </w:p>
    <w:p w14:paraId="0A09BE8F">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参选人对比选文件和答疑补遗有质疑的，应当在比选截止时间3日前，以书面形式通知比选人。比选人认为有必要对参选人所提问题进行答复或对比选文件进行补充时，将答复内容以补遗的形式发布。</w:t>
      </w:r>
    </w:p>
    <w:p w14:paraId="1E3861FF">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500DAE95">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34B827DC">
      <w:pPr>
        <w:bidi w:val="0"/>
        <w:rPr>
          <w:color w:val="auto"/>
          <w:highlight w:val="none"/>
        </w:rPr>
      </w:pPr>
      <w:r>
        <w:rPr>
          <w:rFonts w:hint="eastAsia"/>
          <w:color w:val="auto"/>
          <w:highlight w:val="none"/>
        </w:rPr>
        <w:t>采购质疑邮箱：</w:t>
      </w:r>
      <w:r>
        <w:rPr>
          <w:color w:val="auto"/>
          <w:highlight w:val="none"/>
        </w:rPr>
        <w:t>sx.jcb@ccqtgb.com</w:t>
      </w:r>
    </w:p>
    <w:p w14:paraId="0C7BB0C7">
      <w:pPr>
        <w:bidi w:val="0"/>
        <w:rPr>
          <w:rFonts w:hint="eastAsia"/>
          <w:color w:val="auto"/>
          <w:highlight w:val="none"/>
        </w:rPr>
      </w:pPr>
      <w:r>
        <w:rPr>
          <w:rFonts w:hint="eastAsia"/>
          <w:color w:val="auto"/>
          <w:highlight w:val="none"/>
        </w:rPr>
        <w:t>采购投诉邮箱：</w:t>
      </w:r>
      <w:bookmarkStart w:id="40" w:name="_Hlk74215856"/>
      <w:r>
        <w:rPr>
          <w:rFonts w:hint="eastAsia" w:ascii="宋体"/>
          <w:snapToGrid w:val="0"/>
          <w:color w:val="auto"/>
          <w:kern w:val="0"/>
          <w:szCs w:val="24"/>
          <w:highlight w:val="none"/>
          <w:u w:val="none"/>
        </w:rPr>
        <w:t>sxyhjjz@</w:t>
      </w:r>
      <w:r>
        <w:rPr>
          <w:rFonts w:ascii="宋体"/>
          <w:snapToGrid w:val="0"/>
          <w:color w:val="auto"/>
          <w:kern w:val="0"/>
          <w:szCs w:val="24"/>
          <w:highlight w:val="none"/>
          <w:u w:val="none"/>
        </w:rPr>
        <w:t>ccqtgb</w:t>
      </w:r>
      <w:r>
        <w:rPr>
          <w:rFonts w:hint="eastAsia" w:ascii="宋体"/>
          <w:snapToGrid w:val="0"/>
          <w:color w:val="auto"/>
          <w:kern w:val="0"/>
          <w:szCs w:val="24"/>
          <w:highlight w:val="none"/>
          <w:u w:val="none"/>
        </w:rPr>
        <w:t>.com</w:t>
      </w:r>
      <w:bookmarkEnd w:id="40"/>
    </w:p>
    <w:p w14:paraId="4C2A9B8E">
      <w:pPr>
        <w:pStyle w:val="4"/>
        <w:bidi w:val="0"/>
        <w:rPr>
          <w:rFonts w:hint="eastAsia"/>
          <w:color w:val="auto"/>
          <w:highlight w:val="none"/>
        </w:rPr>
      </w:pPr>
      <w:bookmarkStart w:id="41" w:name="_Toc440628924"/>
      <w:bookmarkStart w:id="42" w:name="_Toc275199618"/>
      <w:bookmarkStart w:id="43" w:name="_Toc89675157"/>
      <w:bookmarkStart w:id="44" w:name="_Toc15059431"/>
      <w:bookmarkStart w:id="45" w:name="_Toc11439"/>
      <w:r>
        <w:rPr>
          <w:rFonts w:hint="eastAsia"/>
          <w:color w:val="auto"/>
          <w:highlight w:val="none"/>
          <w:lang w:val="en-US" w:eastAsia="zh-CN"/>
        </w:rPr>
        <w:t xml:space="preserve">11. </w:t>
      </w:r>
      <w:r>
        <w:rPr>
          <w:rFonts w:hint="eastAsia"/>
          <w:color w:val="auto"/>
          <w:highlight w:val="none"/>
        </w:rPr>
        <w:t>无效参选条款</w:t>
      </w:r>
      <w:bookmarkEnd w:id="41"/>
      <w:bookmarkEnd w:id="42"/>
      <w:bookmarkEnd w:id="43"/>
      <w:bookmarkEnd w:id="44"/>
      <w:bookmarkEnd w:id="45"/>
    </w:p>
    <w:p w14:paraId="327E95C8">
      <w:pPr>
        <w:bidi w:val="0"/>
        <w:rPr>
          <w:color w:val="auto"/>
          <w:highlight w:val="none"/>
        </w:rPr>
      </w:pPr>
      <w:r>
        <w:rPr>
          <w:rFonts w:hint="eastAsia"/>
          <w:color w:val="auto"/>
          <w:highlight w:val="none"/>
        </w:rPr>
        <w:t>参选人或其参选文件出现下列情况之一者，应为无效参选：</w:t>
      </w:r>
    </w:p>
    <w:p w14:paraId="2A464CD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6A0F750">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01AFAF03">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3D299C8C">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565E8905">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10A3493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5873BD43">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2392DDC7">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747E395E">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7A92CF0A">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1B84EEFE">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BCC3A9">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0553F79C">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264E340F">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789CBB17">
      <w:pPr>
        <w:pStyle w:val="4"/>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205F49D3">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5DD13B33">
      <w:pPr>
        <w:keepNext w:val="0"/>
        <w:keepLines w:val="0"/>
        <w:pageBreakBefore w:val="0"/>
        <w:widowControl w:val="0"/>
        <w:kinsoku/>
        <w:wordWrap/>
        <w:overflowPunct/>
        <w:topLinePunct w:val="0"/>
        <w:autoSpaceDE w:val="0"/>
        <w:autoSpaceDN w:val="0"/>
        <w:bidi w:val="0"/>
        <w:adjustRightInd/>
        <w:snapToGrid w:val="0"/>
        <w:spacing w:line="600" w:lineRule="exact"/>
        <w:ind w:firstLine="48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w:t>
      </w:r>
      <w:r>
        <w:rPr>
          <w:rFonts w:hint="eastAsia"/>
          <w:color w:val="auto"/>
          <w:highlight w:val="none"/>
        </w:rPr>
        <w:t>比选截止时间止，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6420E21B">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64550250">
      <w:pPr>
        <w:pStyle w:val="4"/>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bookmarkEnd w:id="39"/>
    </w:p>
    <w:p w14:paraId="32FFA448">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0D724366">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3F461340">
      <w:pPr>
        <w:pStyle w:val="4"/>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691D242D">
      <w:pPr>
        <w:bidi w:val="0"/>
        <w:rPr>
          <w:color w:val="auto"/>
          <w:highlight w:val="none"/>
        </w:rPr>
      </w:pPr>
      <w:r>
        <w:rPr>
          <w:rFonts w:hint="eastAsia"/>
          <w:color w:val="auto"/>
          <w:highlight w:val="none"/>
        </w:rPr>
        <w:t>参选人参与本比选项目时，一切与参选有关的费用均由参选人自理。</w:t>
      </w:r>
    </w:p>
    <w:p w14:paraId="0249FBE7">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15000</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68882157">
      <w:pPr>
        <w:widowControl/>
        <w:jc w:val="left"/>
        <w:rPr>
          <w:rFonts w:ascii="宋体" w:hAnsi="宋体" w:cs="Cambria"/>
          <w:snapToGrid w:val="0"/>
          <w:color w:val="auto"/>
          <w:kern w:val="0"/>
          <w:szCs w:val="28"/>
          <w:highlight w:val="none"/>
        </w:rPr>
      </w:pPr>
      <w:r>
        <w:rPr>
          <w:rFonts w:ascii="宋体" w:hAnsi="宋体" w:cs="Cambria"/>
          <w:snapToGrid w:val="0"/>
          <w:color w:val="auto"/>
          <w:kern w:val="0"/>
          <w:szCs w:val="28"/>
          <w:highlight w:val="none"/>
        </w:rPr>
        <w:br w:type="page"/>
      </w:r>
    </w:p>
    <w:p w14:paraId="1DFA301E">
      <w:pPr>
        <w:pStyle w:val="3"/>
        <w:spacing w:before="0"/>
        <w:ind w:right="0"/>
        <w:jc w:val="center"/>
        <w:rPr>
          <w:color w:val="auto"/>
          <w:highlight w:val="none"/>
          <w:lang w:val="en-US"/>
        </w:rPr>
      </w:pPr>
      <w:bookmarkStart w:id="46" w:name="_Toc32389"/>
      <w:r>
        <w:rPr>
          <w:rFonts w:hint="eastAsia"/>
          <w:color w:val="auto"/>
          <w:highlight w:val="none"/>
        </w:rPr>
        <w:t>第</w:t>
      </w:r>
      <w:r>
        <w:rPr>
          <w:rFonts w:hint="eastAsia"/>
          <w:color w:val="auto"/>
          <w:highlight w:val="none"/>
          <w:lang w:val="en-US" w:eastAsia="zh-CN"/>
        </w:rPr>
        <w:t>三</w:t>
      </w:r>
      <w:r>
        <w:rPr>
          <w:rFonts w:hint="eastAsia"/>
          <w:color w:val="auto"/>
          <w:highlight w:val="none"/>
        </w:rPr>
        <w:t xml:space="preserve">章 </w:t>
      </w:r>
      <w:r>
        <w:rPr>
          <w:rFonts w:hint="eastAsia"/>
          <w:color w:val="auto"/>
          <w:highlight w:val="none"/>
          <w:lang w:val="en-US" w:eastAsia="zh-CN"/>
        </w:rPr>
        <w:t>项目要求</w:t>
      </w:r>
      <w:bookmarkEnd w:id="46"/>
    </w:p>
    <w:p w14:paraId="48DC8578">
      <w:pPr>
        <w:pStyle w:val="4"/>
        <w:bidi w:val="0"/>
        <w:rPr>
          <w:rFonts w:hint="eastAsia"/>
          <w:color w:val="auto"/>
          <w:highlight w:val="none"/>
        </w:rPr>
      </w:pPr>
      <w:r>
        <w:rPr>
          <w:rFonts w:hint="eastAsia"/>
          <w:color w:val="auto"/>
          <w:highlight w:val="none"/>
          <w:lang w:val="en-US" w:eastAsia="zh-CN"/>
        </w:rPr>
        <w:t xml:space="preserve">1. </w:t>
      </w:r>
      <w:r>
        <w:rPr>
          <w:rFonts w:hint="eastAsia"/>
          <w:color w:val="auto"/>
          <w:highlight w:val="none"/>
        </w:rPr>
        <w:t>总体要求</w:t>
      </w:r>
    </w:p>
    <w:p w14:paraId="02FFA6CA">
      <w:pPr>
        <w:rPr>
          <w:rFonts w:hint="eastAsia"/>
          <w:color w:val="auto"/>
          <w:highlight w:val="none"/>
        </w:rPr>
      </w:pPr>
      <w:r>
        <w:rPr>
          <w:rFonts w:hint="eastAsia"/>
          <w:color w:val="auto"/>
          <w:highlight w:val="none"/>
        </w:rPr>
        <w:t>1.1</w:t>
      </w:r>
      <w:r>
        <w:rPr>
          <w:rFonts w:hint="eastAsia"/>
          <w:color w:val="auto"/>
          <w:highlight w:val="none"/>
          <w:lang w:val="en-US" w:eastAsia="zh-CN"/>
        </w:rPr>
        <w:t xml:space="preserve"> </w:t>
      </w:r>
      <w:r>
        <w:rPr>
          <w:rFonts w:hint="eastAsia"/>
          <w:color w:val="auto"/>
          <w:highlight w:val="none"/>
        </w:rPr>
        <w:t>参与公开比选的智能柜员机品牌为国内知名品牌，具备较高的市场占有率及较好的市场口碑。</w:t>
      </w:r>
    </w:p>
    <w:p w14:paraId="70572205">
      <w:pPr>
        <w:rPr>
          <w:rFonts w:hint="eastAsia"/>
          <w:color w:val="auto"/>
          <w:highlight w:val="none"/>
        </w:rPr>
      </w:pPr>
      <w:r>
        <w:rPr>
          <w:rFonts w:hint="eastAsia"/>
          <w:color w:val="auto"/>
          <w:highlight w:val="none"/>
        </w:rPr>
        <w:t>1.2</w:t>
      </w:r>
      <w:r>
        <w:rPr>
          <w:rFonts w:hint="eastAsia"/>
          <w:color w:val="auto"/>
          <w:highlight w:val="none"/>
          <w:lang w:val="en-US" w:eastAsia="zh-CN"/>
        </w:rPr>
        <w:t xml:space="preserve"> </w:t>
      </w:r>
      <w:r>
        <w:rPr>
          <w:rFonts w:hint="eastAsia"/>
          <w:color w:val="auto"/>
          <w:highlight w:val="none"/>
        </w:rPr>
        <w:t>参与公开比选的智能柜员机（现金版）供货商，应为设备生产厂商或该品牌唯一授权参与比选的供货商。</w:t>
      </w:r>
    </w:p>
    <w:p w14:paraId="1221EBDB">
      <w:pPr>
        <w:rPr>
          <w:rFonts w:hint="eastAsia"/>
          <w:color w:val="auto"/>
          <w:highlight w:val="none"/>
        </w:rPr>
      </w:pPr>
      <w:r>
        <w:rPr>
          <w:rFonts w:hint="eastAsia"/>
          <w:color w:val="auto"/>
          <w:highlight w:val="none"/>
        </w:rPr>
        <w:t>1.3</w:t>
      </w:r>
      <w:r>
        <w:rPr>
          <w:rFonts w:hint="eastAsia"/>
          <w:color w:val="auto"/>
          <w:highlight w:val="none"/>
          <w:lang w:val="en-US" w:eastAsia="zh-CN"/>
        </w:rPr>
        <w:t xml:space="preserve"> </w:t>
      </w:r>
      <w:r>
        <w:rPr>
          <w:rFonts w:hint="eastAsia"/>
          <w:color w:val="auto"/>
          <w:highlight w:val="none"/>
        </w:rPr>
        <w:t>参与公开比选的智能柜员机（现金版）型号，应为该品牌下市场主流的、成熟的产品型号。设备质量稳定、可靠；外观美观、大方，大小合适，与市场主流产品一致，产品设计符合人体工程学要求；工艺先进、规范，无明显工艺缺陷；系统功能应具有前瞻性，预留有相关功能拓展接口。</w:t>
      </w:r>
    </w:p>
    <w:p w14:paraId="77F964D1">
      <w:pPr>
        <w:rPr>
          <w:rFonts w:hint="eastAsia"/>
          <w:color w:val="auto"/>
          <w:highlight w:val="none"/>
        </w:rPr>
      </w:pPr>
      <w:r>
        <w:rPr>
          <w:rFonts w:hint="eastAsia"/>
          <w:color w:val="auto"/>
          <w:highlight w:val="none"/>
        </w:rPr>
        <w:t>1.4</w:t>
      </w:r>
      <w:r>
        <w:rPr>
          <w:rFonts w:hint="eastAsia"/>
          <w:color w:val="auto"/>
          <w:highlight w:val="none"/>
          <w:lang w:val="en-US" w:eastAsia="zh-CN"/>
        </w:rPr>
        <w:t xml:space="preserve"> </w:t>
      </w:r>
      <w:r>
        <w:rPr>
          <w:rFonts w:hint="eastAsia"/>
          <w:color w:val="auto"/>
          <w:highlight w:val="none"/>
        </w:rPr>
        <w:t>参与公开比选设备必须具备国密算法，通过国家密码局等相关部门测试，并取得相关测试合格证书。</w:t>
      </w:r>
    </w:p>
    <w:p w14:paraId="3E060AB9">
      <w:pPr>
        <w:rPr>
          <w:rFonts w:hint="eastAsia"/>
          <w:color w:val="auto"/>
          <w:highlight w:val="none"/>
        </w:rPr>
      </w:pPr>
      <w:r>
        <w:rPr>
          <w:rFonts w:hint="eastAsia"/>
          <w:color w:val="auto"/>
          <w:highlight w:val="none"/>
        </w:rPr>
        <w:t>1.5</w:t>
      </w:r>
      <w:r>
        <w:rPr>
          <w:rFonts w:hint="eastAsia"/>
          <w:color w:val="auto"/>
          <w:highlight w:val="none"/>
          <w:lang w:val="en-US" w:eastAsia="zh-CN"/>
        </w:rPr>
        <w:t xml:space="preserve"> </w:t>
      </w:r>
      <w:r>
        <w:rPr>
          <w:rFonts w:hint="eastAsia"/>
          <w:color w:val="auto"/>
          <w:highlight w:val="none"/>
        </w:rPr>
        <w:t>提供符合比选人要求的智能柜员机（现金版），并保证所提供的智能柜员机（现金版）及相关软件的质量和技术标准符合国家及行业的有关规定标准。</w:t>
      </w:r>
    </w:p>
    <w:p w14:paraId="62C4CFE2">
      <w:pPr>
        <w:rPr>
          <w:rFonts w:hint="eastAsia"/>
          <w:color w:val="auto"/>
          <w:highlight w:val="none"/>
        </w:rPr>
      </w:pPr>
      <w:r>
        <w:rPr>
          <w:rFonts w:hint="eastAsia"/>
          <w:color w:val="auto"/>
          <w:highlight w:val="none"/>
        </w:rPr>
        <w:t>1.6</w:t>
      </w:r>
      <w:r>
        <w:rPr>
          <w:rFonts w:hint="eastAsia"/>
          <w:color w:val="auto"/>
          <w:highlight w:val="none"/>
          <w:lang w:val="en-US" w:eastAsia="zh-CN"/>
        </w:rPr>
        <w:t xml:space="preserve"> </w:t>
      </w:r>
      <w:r>
        <w:rPr>
          <w:rFonts w:hint="eastAsia"/>
          <w:color w:val="auto"/>
          <w:highlight w:val="none"/>
        </w:rPr>
        <w:t>提供的任何产品（包括硬件、软件具有合法使用权）不存在侵犯任何其他方知识产权的情形。</w:t>
      </w:r>
    </w:p>
    <w:p w14:paraId="2E585472">
      <w:pPr>
        <w:rPr>
          <w:rFonts w:hint="eastAsia"/>
          <w:color w:val="auto"/>
          <w:highlight w:val="none"/>
        </w:rPr>
      </w:pPr>
      <w:r>
        <w:rPr>
          <w:rFonts w:hint="eastAsia"/>
          <w:color w:val="auto"/>
          <w:highlight w:val="none"/>
        </w:rPr>
        <w:t>1.7</w:t>
      </w:r>
      <w:r>
        <w:rPr>
          <w:rFonts w:hint="eastAsia"/>
          <w:color w:val="auto"/>
          <w:highlight w:val="none"/>
          <w:lang w:val="en-US" w:eastAsia="zh-CN"/>
        </w:rPr>
        <w:t xml:space="preserve"> </w:t>
      </w:r>
      <w:r>
        <w:rPr>
          <w:rFonts w:hint="eastAsia"/>
          <w:color w:val="auto"/>
          <w:highlight w:val="none"/>
        </w:rPr>
        <w:t>参选方对报送的比选资料真实性负责。我行将对所有报送资料进行核实，一旦发现报送资料与事实不符，将取消该产品和该供货商的比选资格。同时，该产品和该供货商将列入我行黑名单，今后不再与其进行任何合作。</w:t>
      </w:r>
    </w:p>
    <w:p w14:paraId="515F63E5">
      <w:pPr>
        <w:rPr>
          <w:rFonts w:hint="eastAsia"/>
          <w:color w:val="auto"/>
          <w:highlight w:val="none"/>
        </w:rPr>
      </w:pPr>
      <w:r>
        <w:rPr>
          <w:rFonts w:hint="eastAsia"/>
          <w:color w:val="auto"/>
          <w:highlight w:val="none"/>
        </w:rPr>
        <w:t>1.8</w:t>
      </w:r>
      <w:r>
        <w:rPr>
          <w:rFonts w:hint="eastAsia"/>
          <w:color w:val="auto"/>
          <w:highlight w:val="none"/>
          <w:lang w:val="en-US" w:eastAsia="zh-CN"/>
        </w:rPr>
        <w:t xml:space="preserve"> </w:t>
      </w:r>
      <w:r>
        <w:rPr>
          <w:rFonts w:hint="eastAsia"/>
          <w:color w:val="auto"/>
          <w:highlight w:val="none"/>
        </w:rPr>
        <w:t>参选方参选同时设备生产商需指定设备售后技术服务商（可以是设备生产商自身），且需对设备质量及售后技术服务商的日常工作承担相应责任。</w:t>
      </w:r>
    </w:p>
    <w:p w14:paraId="091C8F8B">
      <w:pPr>
        <w:rPr>
          <w:color w:val="auto"/>
          <w:highlight w:val="none"/>
        </w:rPr>
      </w:pPr>
      <w:r>
        <w:rPr>
          <w:rFonts w:hint="eastAsia"/>
          <w:color w:val="auto"/>
          <w:highlight w:val="none"/>
        </w:rPr>
        <w:t>1.9</w:t>
      </w:r>
      <w:r>
        <w:rPr>
          <w:rFonts w:hint="eastAsia"/>
          <w:color w:val="auto"/>
          <w:highlight w:val="none"/>
          <w:lang w:val="en-US" w:eastAsia="zh-CN"/>
        </w:rPr>
        <w:t xml:space="preserve"> </w:t>
      </w:r>
      <w:r>
        <w:rPr>
          <w:rFonts w:hint="eastAsia"/>
          <w:color w:val="auto"/>
          <w:highlight w:val="none"/>
        </w:rPr>
        <w:t>中选方需一次性向行方缴纳30000元（叁万元整）质保金。</w:t>
      </w:r>
    </w:p>
    <w:p w14:paraId="0A09A7EF">
      <w:pPr>
        <w:pStyle w:val="4"/>
        <w:bidi w:val="0"/>
        <w:rPr>
          <w:rFonts w:hint="eastAsia"/>
          <w:color w:val="auto"/>
          <w:highlight w:val="none"/>
          <w:lang w:val="en-US" w:eastAsia="zh-CN"/>
        </w:rPr>
      </w:pPr>
      <w:r>
        <w:rPr>
          <w:rFonts w:hint="eastAsia"/>
          <w:color w:val="auto"/>
          <w:highlight w:val="none"/>
          <w:lang w:val="en-US" w:eastAsia="zh-CN"/>
        </w:rPr>
        <w:t>2. 设备要求</w:t>
      </w:r>
    </w:p>
    <w:p w14:paraId="23C85DD9">
      <w:pPr>
        <w:rPr>
          <w:rFonts w:hint="eastAsia"/>
          <w:color w:val="auto"/>
          <w:highlight w:val="none"/>
          <w:lang w:val="en-US" w:eastAsia="zh-CN"/>
        </w:rPr>
      </w:pPr>
      <w:r>
        <w:rPr>
          <w:rFonts w:hint="eastAsia"/>
          <w:color w:val="auto"/>
          <w:highlight w:val="none"/>
          <w:lang w:val="en-US" w:eastAsia="zh-CN"/>
        </w:rPr>
        <w:t>智能柜员机（现金版）接入比选人智能柜员机系统，为网点转型工作提供硬件支持，满足比选人自助服务需求，实现现金交易、开卡、转账、查询、改密、存单、存折补登、回单打印、综合签约、中间业务缴费等业务功能。</w:t>
      </w:r>
    </w:p>
    <w:p w14:paraId="1871FF61">
      <w:pPr>
        <w:pStyle w:val="4"/>
        <w:bidi w:val="0"/>
        <w:rPr>
          <w:rFonts w:hint="eastAsia"/>
          <w:color w:val="auto"/>
          <w:highlight w:val="none"/>
        </w:rPr>
      </w:pPr>
      <w:r>
        <w:rPr>
          <w:rFonts w:hint="eastAsia"/>
          <w:color w:val="auto"/>
          <w:highlight w:val="none"/>
          <w:lang w:val="en-US" w:eastAsia="zh-CN"/>
        </w:rPr>
        <w:t xml:space="preserve">3. </w:t>
      </w:r>
      <w:r>
        <w:rPr>
          <w:color w:val="auto"/>
          <w:highlight w:val="none"/>
        </w:rPr>
        <w:t>技术</w:t>
      </w:r>
      <w:r>
        <w:rPr>
          <w:rFonts w:hint="eastAsia"/>
          <w:color w:val="auto"/>
          <w:highlight w:val="none"/>
        </w:rPr>
        <w:t>要求</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7"/>
        <w:gridCol w:w="1276"/>
        <w:gridCol w:w="6417"/>
      </w:tblGrid>
      <w:tr w14:paraId="50DF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1725D937">
            <w:pPr>
              <w:spacing w:line="240" w:lineRule="auto"/>
              <w:ind w:firstLine="0" w:firstLineChars="0"/>
              <w:jc w:val="center"/>
              <w:rPr>
                <w:color w:val="auto"/>
                <w:sz w:val="21"/>
                <w:szCs w:val="21"/>
                <w:highlight w:val="none"/>
              </w:rPr>
            </w:pPr>
            <w:r>
              <w:rPr>
                <w:rFonts w:hint="eastAsia" w:ascii="宋体" w:eastAsia="宋体" w:cs="Lucida Sans"/>
                <w:b/>
                <w:color w:val="auto"/>
                <w:sz w:val="21"/>
                <w:szCs w:val="21"/>
                <w:highlight w:val="none"/>
                <w:lang w:bidi="ar-SA"/>
              </w:rPr>
              <w:t>序号</w:t>
            </w:r>
          </w:p>
        </w:tc>
        <w:tc>
          <w:tcPr>
            <w:tcW w:w="1276" w:type="dxa"/>
            <w:tcBorders>
              <w:top w:val="single" w:color="auto" w:sz="6" w:space="0"/>
              <w:left w:val="single" w:color="auto" w:sz="6" w:space="0"/>
              <w:bottom w:val="single" w:color="auto" w:sz="6" w:space="0"/>
              <w:right w:val="single" w:color="auto" w:sz="6" w:space="0"/>
            </w:tcBorders>
            <w:noWrap/>
            <w:vAlign w:val="center"/>
          </w:tcPr>
          <w:p w14:paraId="054C7B08">
            <w:pPr>
              <w:spacing w:line="240" w:lineRule="auto"/>
              <w:ind w:firstLine="0" w:firstLineChars="0"/>
              <w:jc w:val="center"/>
              <w:rPr>
                <w:color w:val="auto"/>
                <w:sz w:val="21"/>
                <w:szCs w:val="21"/>
                <w:highlight w:val="none"/>
              </w:rPr>
            </w:pPr>
            <w:r>
              <w:rPr>
                <w:rFonts w:hint="eastAsia" w:ascii="宋体" w:eastAsia="宋体" w:cs="Lucida Sans"/>
                <w:b/>
                <w:color w:val="auto"/>
                <w:sz w:val="21"/>
                <w:szCs w:val="21"/>
                <w:highlight w:val="none"/>
                <w:lang w:bidi="ar-SA"/>
              </w:rPr>
              <w:t>模块名称</w:t>
            </w:r>
          </w:p>
        </w:tc>
        <w:tc>
          <w:tcPr>
            <w:tcW w:w="6417" w:type="dxa"/>
            <w:tcBorders>
              <w:top w:val="single" w:color="auto" w:sz="6" w:space="0"/>
              <w:left w:val="single" w:color="auto" w:sz="6" w:space="0"/>
              <w:bottom w:val="single" w:color="auto" w:sz="6" w:space="0"/>
              <w:right w:val="single" w:color="auto" w:sz="6" w:space="0"/>
            </w:tcBorders>
            <w:noWrap/>
            <w:vAlign w:val="center"/>
          </w:tcPr>
          <w:p w14:paraId="3EA14B89">
            <w:pPr>
              <w:spacing w:line="240" w:lineRule="auto"/>
              <w:ind w:firstLine="0" w:firstLineChars="0"/>
              <w:jc w:val="center"/>
              <w:rPr>
                <w:color w:val="auto"/>
                <w:sz w:val="21"/>
                <w:szCs w:val="21"/>
                <w:highlight w:val="none"/>
              </w:rPr>
            </w:pPr>
            <w:r>
              <w:rPr>
                <w:rFonts w:hint="eastAsia" w:ascii="宋体" w:eastAsia="宋体" w:cs="Lucida Sans"/>
                <w:b/>
                <w:color w:val="auto"/>
                <w:sz w:val="21"/>
                <w:szCs w:val="21"/>
                <w:highlight w:val="none"/>
                <w:lang w:bidi="ar-SA"/>
              </w:rPr>
              <w:t>性能参数</w:t>
            </w:r>
          </w:p>
        </w:tc>
      </w:tr>
      <w:tr w14:paraId="4559F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615A9AB4">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u w:val="none"/>
                <w:vertAlign w:val="baseline"/>
                <w:lang w:bidi="ar-SA"/>
              </w:rPr>
              <w:t>1 </w:t>
            </w:r>
          </w:p>
        </w:tc>
        <w:tc>
          <w:tcPr>
            <w:tcW w:w="1276" w:type="dxa"/>
            <w:tcBorders>
              <w:top w:val="single" w:color="auto" w:sz="6" w:space="0"/>
              <w:left w:val="single" w:color="auto" w:sz="6" w:space="0"/>
              <w:bottom w:val="single" w:color="auto" w:sz="6" w:space="0"/>
              <w:right w:val="single" w:color="auto" w:sz="6" w:space="0"/>
            </w:tcBorders>
            <w:noWrap/>
            <w:vAlign w:val="center"/>
          </w:tcPr>
          <w:p w14:paraId="2B77011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操作系统</w:t>
            </w:r>
          </w:p>
        </w:tc>
        <w:tc>
          <w:tcPr>
            <w:tcW w:w="6417" w:type="dxa"/>
            <w:tcBorders>
              <w:top w:val="single" w:color="auto" w:sz="6" w:space="0"/>
              <w:left w:val="single" w:color="auto" w:sz="6" w:space="0"/>
              <w:bottom w:val="single" w:color="auto" w:sz="6" w:space="0"/>
              <w:right w:val="single" w:color="auto" w:sz="6" w:space="0"/>
            </w:tcBorders>
            <w:noWrap/>
            <w:vAlign w:val="center"/>
          </w:tcPr>
          <w:p w14:paraId="6A82C40D">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1.统信操作系统</w:t>
            </w:r>
          </w:p>
        </w:tc>
      </w:tr>
      <w:tr w14:paraId="313A1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5CD71D4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2</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67220D12">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工业控制机</w:t>
            </w:r>
          </w:p>
        </w:tc>
        <w:tc>
          <w:tcPr>
            <w:tcW w:w="6417" w:type="dxa"/>
            <w:tcBorders>
              <w:top w:val="single" w:color="auto" w:sz="6" w:space="0"/>
              <w:left w:val="single" w:color="auto" w:sz="6" w:space="0"/>
              <w:bottom w:val="single" w:color="auto" w:sz="6" w:space="0"/>
              <w:right w:val="single" w:color="auto" w:sz="6" w:space="0"/>
            </w:tcBorders>
            <w:noWrap/>
            <w:vAlign w:val="center"/>
          </w:tcPr>
          <w:p w14:paraId="21411122">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信创：飞腾芯片</w:t>
            </w:r>
          </w:p>
        </w:tc>
      </w:tr>
      <w:tr w14:paraId="5BBD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4947C7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81E447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6F68C1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 工业控制机：CPU芯片基于ARM架构（主频2.0GHZ及以上、核数4核及以上）；</w:t>
            </w:r>
          </w:p>
        </w:tc>
      </w:tr>
      <w:tr w14:paraId="3EA4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782F03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0027C4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7265F0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2：内存：≥16GB；</w:t>
            </w:r>
          </w:p>
        </w:tc>
      </w:tr>
      <w:tr w14:paraId="6071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B7D23A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34F0B2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8F9CDB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3：512G  SSD 固态硬盘</w:t>
            </w:r>
          </w:p>
        </w:tc>
      </w:tr>
      <w:tr w14:paraId="77E9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3417A1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2ECDB45">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4C924C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4.串口：USB2.0≥8个；USB3.0≥2个</w:t>
            </w:r>
          </w:p>
        </w:tc>
      </w:tr>
      <w:tr w14:paraId="48E0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575410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C73AF67">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B0471B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5.USB接口：10*USB2.0或以上；</w:t>
            </w:r>
          </w:p>
        </w:tc>
      </w:tr>
      <w:tr w14:paraId="5864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15E3F26">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4122C7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DF03F1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6.网卡：2个（10/100/1000M自适应），支持TCP/IP</w:t>
            </w:r>
          </w:p>
        </w:tc>
      </w:tr>
      <w:tr w14:paraId="32DDD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744357A9">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3</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778C1093">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循环机芯</w:t>
            </w:r>
          </w:p>
        </w:tc>
        <w:tc>
          <w:tcPr>
            <w:tcW w:w="6417" w:type="dxa"/>
            <w:tcBorders>
              <w:top w:val="single" w:color="auto" w:sz="6" w:space="0"/>
              <w:left w:val="single" w:color="auto" w:sz="6" w:space="0"/>
              <w:bottom w:val="single" w:color="auto" w:sz="6" w:space="0"/>
              <w:right w:val="single" w:color="auto" w:sz="6" w:space="0"/>
            </w:tcBorders>
            <w:noWrap/>
            <w:vAlign w:val="center"/>
          </w:tcPr>
          <w:p w14:paraId="252D66E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1.高性能循环机芯，具有大额存款和取款功能，存、取款均进行钞票识别，单笔存款最大500 张,支持连续放钞，速度 10 张≥秒；</w:t>
            </w:r>
          </w:p>
        </w:tc>
      </w:tr>
      <w:tr w14:paraId="20FD3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AAC88D9">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9962CF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F53EB92">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2.单笔取款支持200张，带可控感应着闸门；</w:t>
            </w:r>
          </w:p>
        </w:tc>
      </w:tr>
      <w:tr w14:paraId="1F27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21DF71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4C3FB2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C3F91C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3.循环箱容量≥2500张，回收箱容量≥2500张；</w:t>
            </w:r>
          </w:p>
        </w:tc>
      </w:tr>
      <w:tr w14:paraId="39C1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B7371F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F985940">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07F473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4.支持客户忘取钞票回收；</w:t>
            </w:r>
          </w:p>
        </w:tc>
      </w:tr>
      <w:tr w14:paraId="6D4B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98B7D69">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C0C7DC6">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95C647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5.支持≥200张暂存功能；</w:t>
            </w:r>
          </w:p>
        </w:tc>
      </w:tr>
      <w:tr w14:paraId="79F3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7CC9EE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49C5A0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E549FAD">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6.支持人民币: 1元、5元、10元、20元、50元、100元</w:t>
            </w:r>
          </w:p>
        </w:tc>
      </w:tr>
      <w:tr w14:paraId="4ED5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D9A5E5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444B19E">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F5B56C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7.钞箱配置：4个循环钞箱+1个回收箱</w:t>
            </w:r>
          </w:p>
        </w:tc>
      </w:tr>
      <w:tr w14:paraId="1C45C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605D162">
            <w:pPr>
              <w:rPr>
                <w:color w:val="auto"/>
                <w:highlight w:val="none"/>
              </w:rPr>
            </w:pPr>
          </w:p>
        </w:tc>
        <w:tc>
          <w:tcPr>
            <w:tcW w:w="1276" w:type="dxa"/>
            <w:tcBorders>
              <w:top w:val="single" w:color="auto" w:sz="6" w:space="0"/>
              <w:left w:val="single" w:color="auto" w:sz="6" w:space="0"/>
              <w:bottom w:val="single" w:color="auto" w:sz="6" w:space="0"/>
              <w:right w:val="single" w:color="auto" w:sz="6" w:space="0"/>
            </w:tcBorders>
            <w:noWrap/>
            <w:vAlign w:val="center"/>
          </w:tcPr>
          <w:p w14:paraId="49D9AB5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钞票冠字号识别模块</w:t>
            </w:r>
          </w:p>
        </w:tc>
        <w:tc>
          <w:tcPr>
            <w:tcW w:w="6417" w:type="dxa"/>
            <w:tcBorders>
              <w:top w:val="single" w:color="auto" w:sz="6" w:space="0"/>
              <w:left w:val="single" w:color="auto" w:sz="6" w:space="0"/>
              <w:bottom w:val="single" w:color="auto" w:sz="6" w:space="0"/>
              <w:right w:val="single" w:color="auto" w:sz="6" w:space="0"/>
            </w:tcBorders>
            <w:noWrap/>
            <w:vAlign w:val="center"/>
          </w:tcPr>
          <w:p w14:paraId="5A75246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快速扫描钞票，对影像中的钞票冠字号进行OCR识别并记录，支持数据查阅、实时打印功能。</w:t>
            </w:r>
          </w:p>
        </w:tc>
      </w:tr>
      <w:tr w14:paraId="10818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233DA5B3">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4</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60B759A7">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显示器</w:t>
            </w:r>
          </w:p>
        </w:tc>
        <w:tc>
          <w:tcPr>
            <w:tcW w:w="6417" w:type="dxa"/>
            <w:tcBorders>
              <w:top w:val="single" w:color="auto" w:sz="6" w:space="0"/>
              <w:left w:val="single" w:color="auto" w:sz="6" w:space="0"/>
              <w:bottom w:val="single" w:color="auto" w:sz="6" w:space="0"/>
              <w:right w:val="single" w:color="auto" w:sz="6" w:space="0"/>
            </w:tcBorders>
            <w:noWrap/>
            <w:vAlign w:val="center"/>
          </w:tcPr>
          <w:p w14:paraId="21F07B4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1.18.5-21.5寸触显一体屏</w:t>
            </w:r>
          </w:p>
        </w:tc>
      </w:tr>
      <w:tr w14:paraId="6A35F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D093062">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30D27E3">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E83900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2.显示比例16：9</w:t>
            </w:r>
          </w:p>
        </w:tc>
      </w:tr>
      <w:tr w14:paraId="20051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311721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145E16F">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44A5FD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3.分辨率：1280*1024；</w:t>
            </w:r>
          </w:p>
        </w:tc>
      </w:tr>
      <w:tr w14:paraId="294C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D4438C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1E9B4E5">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25A36A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4.亮度：≥250 cd/m²；</w:t>
            </w:r>
          </w:p>
        </w:tc>
      </w:tr>
      <w:tr w14:paraId="0AD1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3424166">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B4DACA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BC9E6F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5.响应时间：≤30ms；</w:t>
            </w:r>
          </w:p>
        </w:tc>
      </w:tr>
      <w:tr w14:paraId="4A0CC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757BFBE">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7E02D47">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F21E0A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6.对比度：&gt;500；</w:t>
            </w:r>
          </w:p>
        </w:tc>
      </w:tr>
      <w:tr w14:paraId="353B8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4B23342">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B349B8E">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B5DA95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7.接口及形式：VGA接口或DVI接口；</w:t>
            </w:r>
          </w:p>
        </w:tc>
      </w:tr>
      <w:tr w14:paraId="2A419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E98D6A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BEFD71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7BD5FC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8.具备防暴、防刮、防尘、防水、防窥等功能。</w:t>
            </w:r>
          </w:p>
        </w:tc>
      </w:tr>
      <w:tr w14:paraId="69E6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693676B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5</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3809D3B0">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EPP密码键盘</w:t>
            </w:r>
          </w:p>
        </w:tc>
        <w:tc>
          <w:tcPr>
            <w:tcW w:w="6417" w:type="dxa"/>
            <w:tcBorders>
              <w:top w:val="single" w:color="auto" w:sz="6" w:space="0"/>
              <w:left w:val="single" w:color="auto" w:sz="6" w:space="0"/>
              <w:bottom w:val="single" w:color="auto" w:sz="6" w:space="0"/>
              <w:right w:val="single" w:color="auto" w:sz="6" w:space="0"/>
            </w:tcBorders>
            <w:noWrap/>
            <w:vAlign w:val="center"/>
          </w:tcPr>
          <w:p w14:paraId="3A19219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1.标准不锈钢金属EPP硬件加密键盘，支持盲文提示；</w:t>
            </w:r>
          </w:p>
        </w:tc>
      </w:tr>
      <w:tr w14:paraId="10D2D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9E5A65D">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5F6971E">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D650A6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2.键位数：16键，其中10只数字键（0－9），6只功能键（小数点、更正、取消、确认、00、预留空白键）；</w:t>
            </w:r>
          </w:p>
        </w:tc>
      </w:tr>
      <w:tr w14:paraId="4B0C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EED7E0D">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1548FB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1617815">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3.支持3DES、DES、MAC加密算法及ANSI X9.8PIN Block格式，符合ANSI X9.24安全标准，支持国密SM2、SM3、SM4，使用3DES加密算法加密2048字节的运算时间小于3秒；</w:t>
            </w:r>
          </w:p>
        </w:tc>
      </w:tr>
      <w:tr w14:paraId="22D5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AB6D4F6">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CFF6BEE">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ABC4A4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4.密钥存储方式：硬加密（支持双倍长密钥），应用程序、硬件级不可读，加密模块具有振动、拆卸、分解、温度变化等条件的自毁装置，支持远程下载。</w:t>
            </w:r>
          </w:p>
        </w:tc>
      </w:tr>
      <w:tr w14:paraId="0E880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1823BB6">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17CC819">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E31B13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5.密码键盘具有防尘、防水、防暴及防偷窥的安全措施。</w:t>
            </w:r>
          </w:p>
        </w:tc>
      </w:tr>
      <w:tr w14:paraId="1881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6F09BF9">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CB090E6">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973522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6.具有银联卡受理终端PIN输入设备安全证书，具有国家密码局商用密码产品型号证书。</w:t>
            </w:r>
          </w:p>
        </w:tc>
      </w:tr>
      <w:tr w14:paraId="36DB6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1EC347D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6</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609A86BE">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电动读卡器</w:t>
            </w:r>
          </w:p>
        </w:tc>
        <w:tc>
          <w:tcPr>
            <w:tcW w:w="6417" w:type="dxa"/>
            <w:tcBorders>
              <w:top w:val="single" w:color="auto" w:sz="6" w:space="0"/>
              <w:left w:val="single" w:color="auto" w:sz="6" w:space="0"/>
              <w:bottom w:val="single" w:color="auto" w:sz="6" w:space="0"/>
              <w:right w:val="single" w:color="auto" w:sz="6" w:space="0"/>
            </w:tcBorders>
            <w:noWrap/>
            <w:vAlign w:val="center"/>
          </w:tcPr>
          <w:p w14:paraId="02F10482">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1.电动式读卡器</w:t>
            </w:r>
          </w:p>
        </w:tc>
      </w:tr>
      <w:tr w14:paraId="6FF8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07AF00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BFCB60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1094A8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2.磁卡标准：符合GB/T14504、GB/T14504.1～GB/T14504.5、GB/T17552、GB/T14916等要求，具有高抗磁磁卡读取功能；</w:t>
            </w:r>
          </w:p>
        </w:tc>
      </w:tr>
      <w:tr w14:paraId="7C60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F11114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197F73F">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54C8BC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3.IC卡标准：符合人民银行颁布的《中国金融集成电路（IC）卡规范》，已通过银行卡检测中心的检测。</w:t>
            </w:r>
          </w:p>
        </w:tc>
      </w:tr>
      <w:tr w14:paraId="3963C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C42F87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45720F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8A7520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4.卡位置检测：光电检测；</w:t>
            </w:r>
          </w:p>
        </w:tc>
      </w:tr>
      <w:tr w14:paraId="70E9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1C55FC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AC19E9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DF58AA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5.掉电吞卡功能，吞卡容量不低于10张；</w:t>
            </w:r>
          </w:p>
        </w:tc>
      </w:tr>
      <w:tr w14:paraId="6F557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A3B7B3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F5B1F6F">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E77021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6.走卡速度：200mm/s以上；</w:t>
            </w:r>
          </w:p>
        </w:tc>
      </w:tr>
      <w:tr w14:paraId="5025A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1F415D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306407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916D22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7.通讯接口(磁卡及控制)： RS232C；</w:t>
            </w:r>
          </w:p>
        </w:tc>
      </w:tr>
      <w:tr w14:paraId="0BC8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970472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C0ECED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2F5A80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8.通讯速度：1,200-19,200 bps以上；</w:t>
            </w:r>
          </w:p>
        </w:tc>
      </w:tr>
      <w:tr w14:paraId="1088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6D2D44FB">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u w:val="none"/>
                <w:vertAlign w:val="baseline"/>
                <w:lang w:bidi="ar-SA"/>
              </w:rPr>
              <w:t>7 </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7C9A893C">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发卡机</w:t>
            </w:r>
          </w:p>
        </w:tc>
        <w:tc>
          <w:tcPr>
            <w:tcW w:w="6417" w:type="dxa"/>
            <w:tcBorders>
              <w:top w:val="single" w:color="auto" w:sz="6" w:space="0"/>
              <w:left w:val="single" w:color="auto" w:sz="6" w:space="0"/>
              <w:bottom w:val="single" w:color="auto" w:sz="6" w:space="0"/>
              <w:right w:val="single" w:color="auto" w:sz="6" w:space="0"/>
            </w:tcBorders>
            <w:noWrap/>
            <w:vAlign w:val="center"/>
          </w:tcPr>
          <w:p w14:paraId="13C2B3B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1.支持卡类型：可读取金融行业发行的银行卡与信用卡等，IC卡标准：IS07816标准</w:t>
            </w:r>
          </w:p>
        </w:tc>
      </w:tr>
      <w:tr w14:paraId="4089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5645908">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DCD497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74D756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2.读写卡类型：磁卡只读，IC卡读写，支持磁条卡、IC卡发放。</w:t>
            </w:r>
          </w:p>
        </w:tc>
      </w:tr>
      <w:tr w14:paraId="3CBF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1FE3C4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9AD981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1F29315">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3.读卡方式：带插卡指示灯，支持抖动进退卡、超时回收卡片；被遗忘的卡可被吞卡式读卡器保留。</w:t>
            </w:r>
          </w:p>
        </w:tc>
      </w:tr>
      <w:tr w14:paraId="5502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CF4F67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408C9F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A5FFEF5">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4.磁卡标准：物理特性：IS07810 和 7811、IS07811 - 2、IOS7811 - 4、ISO7811 - 5 和 ISO7811 - 6 标准</w:t>
            </w:r>
          </w:p>
        </w:tc>
      </w:tr>
      <w:tr w14:paraId="6050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8726462">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8EBBA3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29B6A0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5.两个卡箱，单箱装载卡量：卡箱最大装载平面卡≥50张；回收箱容量平面卡≥5张；</w:t>
            </w:r>
          </w:p>
        </w:tc>
      </w:tr>
      <w:tr w14:paraId="3B922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78F1FA4F">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8</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1B13029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凭条打印机</w:t>
            </w:r>
          </w:p>
        </w:tc>
        <w:tc>
          <w:tcPr>
            <w:tcW w:w="6417" w:type="dxa"/>
            <w:tcBorders>
              <w:top w:val="single" w:color="auto" w:sz="6" w:space="0"/>
              <w:left w:val="single" w:color="auto" w:sz="6" w:space="0"/>
              <w:bottom w:val="single" w:color="auto" w:sz="6" w:space="0"/>
              <w:right w:val="single" w:color="auto" w:sz="6" w:space="0"/>
            </w:tcBorders>
            <w:noWrap/>
            <w:vAlign w:val="center"/>
          </w:tcPr>
          <w:p w14:paraId="434B6E0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1.打印机类型：热敏打印机；</w:t>
            </w:r>
          </w:p>
        </w:tc>
      </w:tr>
      <w:tr w14:paraId="0127C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1E7945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276855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FEC4AF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2.切纸方式：自动切纸；</w:t>
            </w:r>
          </w:p>
        </w:tc>
      </w:tr>
      <w:tr w14:paraId="7171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D2DDD7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647806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762017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3.进纸：自动进纸；</w:t>
            </w:r>
          </w:p>
        </w:tc>
      </w:tr>
      <w:tr w14:paraId="5D6C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531EC9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E2140D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CE40AB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4.支持有黑标和无黑标全切，具备黑标检测；</w:t>
            </w:r>
          </w:p>
        </w:tc>
      </w:tr>
      <w:tr w14:paraId="4BCE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7466F7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A7F10D7">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992353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5.具有少纸和缺纸检测开关及报警能力；</w:t>
            </w:r>
          </w:p>
        </w:tc>
      </w:tr>
      <w:tr w14:paraId="2839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BA29FF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A01F2E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59EB08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 支持中文、英文、数字、汉字 内码、ASCII码打印，支持全图形打印；</w:t>
            </w:r>
          </w:p>
        </w:tc>
      </w:tr>
      <w:tr w14:paraId="6D64D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49331002">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10</w:t>
            </w:r>
          </w:p>
        </w:tc>
        <w:tc>
          <w:tcPr>
            <w:tcW w:w="1276" w:type="dxa"/>
            <w:tcBorders>
              <w:top w:val="single" w:color="auto" w:sz="6" w:space="0"/>
              <w:left w:val="single" w:color="auto" w:sz="6" w:space="0"/>
              <w:bottom w:val="single" w:color="auto" w:sz="6" w:space="0"/>
              <w:right w:val="single" w:color="auto" w:sz="6" w:space="0"/>
            </w:tcBorders>
            <w:noWrap/>
            <w:vAlign w:val="center"/>
          </w:tcPr>
          <w:p w14:paraId="2B5A518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后台维护终端（穿墙式配置）</w:t>
            </w:r>
          </w:p>
        </w:tc>
        <w:tc>
          <w:tcPr>
            <w:tcW w:w="6417" w:type="dxa"/>
            <w:tcBorders>
              <w:top w:val="single" w:color="auto" w:sz="6" w:space="0"/>
              <w:left w:val="single" w:color="auto" w:sz="6" w:space="0"/>
              <w:bottom w:val="single" w:color="auto" w:sz="6" w:space="0"/>
              <w:right w:val="single" w:color="auto" w:sz="6" w:space="0"/>
            </w:tcBorders>
            <w:noWrap/>
            <w:vAlign w:val="center"/>
          </w:tcPr>
          <w:p w14:paraId="6783E14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带触摸屏，支持中英文和图形显示，具有图形化维护界面，带故障诊断和维修导视功能。</w:t>
            </w:r>
          </w:p>
        </w:tc>
      </w:tr>
      <w:tr w14:paraId="3010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06402939">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12</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1B01124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非接触式IC卡读写器</w:t>
            </w:r>
          </w:p>
        </w:tc>
        <w:tc>
          <w:tcPr>
            <w:tcW w:w="6417" w:type="dxa"/>
            <w:tcBorders>
              <w:top w:val="single" w:color="auto" w:sz="6" w:space="0"/>
              <w:left w:val="single" w:color="auto" w:sz="6" w:space="0"/>
              <w:bottom w:val="single" w:color="auto" w:sz="6" w:space="0"/>
              <w:right w:val="single" w:color="auto" w:sz="6" w:space="0"/>
            </w:tcBorders>
            <w:noWrap/>
            <w:vAlign w:val="center"/>
          </w:tcPr>
          <w:p w14:paraId="66F463F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1.最大操作距离：5cm；</w:t>
            </w:r>
          </w:p>
        </w:tc>
      </w:tr>
      <w:tr w14:paraId="6D70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867CC3F">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E7A229E">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61E14B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2.电磁兼容性(EMC)：应符合GB9254、GB/T17618、GB/T17626等标准要求；</w:t>
            </w:r>
          </w:p>
        </w:tc>
      </w:tr>
      <w:tr w14:paraId="6E1E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DCBC29E">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00DA214">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45511A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4.通讯接口要求：标准RS-232或 USB；</w:t>
            </w:r>
          </w:p>
        </w:tc>
      </w:tr>
      <w:tr w14:paraId="7E696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F5EE2A2">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04DE72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8B3FC0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5.对存储在读卡器中的数据具有掉电保护功能；</w:t>
            </w:r>
          </w:p>
        </w:tc>
      </w:tr>
      <w:tr w14:paraId="05CC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E11974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D42859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DACB892">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6.非接触式IC读卡器符合ISO/IEC14443标准；符合PBOC3.0认证；</w:t>
            </w:r>
          </w:p>
        </w:tc>
      </w:tr>
      <w:tr w14:paraId="368C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70D11A3E">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13</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7E18BDF2">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吸入式身份证扫描仪</w:t>
            </w:r>
          </w:p>
        </w:tc>
        <w:tc>
          <w:tcPr>
            <w:tcW w:w="6417" w:type="dxa"/>
            <w:tcBorders>
              <w:top w:val="single" w:color="auto" w:sz="6" w:space="0"/>
              <w:left w:val="single" w:color="auto" w:sz="6" w:space="0"/>
              <w:bottom w:val="single" w:color="auto" w:sz="6" w:space="0"/>
              <w:right w:val="single" w:color="auto" w:sz="6" w:space="0"/>
            </w:tcBorders>
            <w:noWrap/>
            <w:vAlign w:val="center"/>
          </w:tcPr>
          <w:p w14:paraId="521DE64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1.电动吸入式；</w:t>
            </w:r>
          </w:p>
        </w:tc>
      </w:tr>
      <w:tr w14:paraId="27FD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661D7EE">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B354B1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3D007F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2.扫描方式：双面扫描，前进前出；</w:t>
            </w:r>
          </w:p>
        </w:tc>
      </w:tr>
      <w:tr w14:paraId="5758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60B174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7895FC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B52115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3.支持证件类型：二代身份证；</w:t>
            </w:r>
          </w:p>
        </w:tc>
      </w:tr>
      <w:tr w14:paraId="14254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8851E8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0A886F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32498D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5.扫描区域：横向：54mm 纵向：87mm；</w:t>
            </w:r>
          </w:p>
        </w:tc>
      </w:tr>
      <w:tr w14:paraId="590C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A8B324F">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B19278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C4A5A0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6.扫描介质厚度：0.75 ~ 1.1mm ；</w:t>
            </w:r>
          </w:p>
        </w:tc>
      </w:tr>
      <w:tr w14:paraId="4E2F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0DE578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0025D3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250E06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7.图像格式：BMP 、JPEG；</w:t>
            </w:r>
          </w:p>
        </w:tc>
      </w:tr>
      <w:tr w14:paraId="1D44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28348F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71707B2">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E4D123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8.输出: 150dpi、200dpi、300dpi灰度或彩色图像；</w:t>
            </w:r>
          </w:p>
        </w:tc>
      </w:tr>
      <w:tr w14:paraId="21E98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939BAE8">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EAFA3D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77B3302">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9.扫描图像支持自动纠偏、裁剪功能，输出图像与证件原始大小一致；</w:t>
            </w:r>
          </w:p>
        </w:tc>
      </w:tr>
      <w:tr w14:paraId="55062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DAA717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97AE766">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EB3181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10.适用标准：符合《GA450-2013台式居民身份证阅读器通用技术要求》、符合《GA467-2013 居民身份证验证安全控制模块接口技术规范》、符合《GA490-2013 居民身份证机读信息规范》标准；</w:t>
            </w:r>
          </w:p>
        </w:tc>
      </w:tr>
      <w:tr w14:paraId="6E288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65AA88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E5A793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C4F23F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11.可扩展强制退出键，支持强制退证；</w:t>
            </w:r>
          </w:p>
        </w:tc>
      </w:tr>
      <w:tr w14:paraId="25404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1C626EE">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581254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E7AFAE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12.掉电时自动吐证；</w:t>
            </w:r>
          </w:p>
        </w:tc>
      </w:tr>
      <w:tr w14:paraId="6DA6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4229019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14</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4640B18A">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双目摄像头</w:t>
            </w:r>
          </w:p>
        </w:tc>
        <w:tc>
          <w:tcPr>
            <w:tcW w:w="6417" w:type="dxa"/>
            <w:tcBorders>
              <w:top w:val="single" w:color="auto" w:sz="6" w:space="0"/>
              <w:left w:val="single" w:color="auto" w:sz="6" w:space="0"/>
              <w:bottom w:val="single" w:color="auto" w:sz="6" w:space="0"/>
              <w:right w:val="single" w:color="auto" w:sz="6" w:space="0"/>
            </w:tcBorders>
            <w:noWrap/>
            <w:vAlign w:val="center"/>
          </w:tcPr>
          <w:p w14:paraId="777E407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1.红外摄像头：摄像头帧率≥10fps，扫描频率≥30HZ，有效像素≥1280X960，像素点大小≤4umX4um，信噪比≥40dB，动态范围≥80dB，最低照度≥0.01LUX at F1.2；</w:t>
            </w:r>
          </w:p>
        </w:tc>
      </w:tr>
      <w:tr w14:paraId="3A16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1550F2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B36DE0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13F819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2.成像距离25cm至150cm；</w:t>
            </w:r>
          </w:p>
        </w:tc>
      </w:tr>
      <w:tr w14:paraId="3DAB0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5E320A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6542EA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895104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3.支持活体检测，配合软件完成人脸识别功能；</w:t>
            </w:r>
          </w:p>
        </w:tc>
      </w:tr>
      <w:tr w14:paraId="6979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21FB499">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3314D2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8CCB1E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4.图像无畸变，垂直角度范围不少于50度，水平角度范围不少于80度；</w:t>
            </w:r>
          </w:p>
        </w:tc>
      </w:tr>
      <w:tr w14:paraId="471A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1424548">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F917D80">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F3071F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5.支持逆光补偿拍摄功能；</w:t>
            </w:r>
          </w:p>
        </w:tc>
      </w:tr>
      <w:tr w14:paraId="63EF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14512E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38C3CB5">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3BF58E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6.应具备高度调节功能，设置高度调节杆由客户自主调节。</w:t>
            </w:r>
          </w:p>
        </w:tc>
      </w:tr>
      <w:tr w14:paraId="0BB0F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356A1D6C">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15</w:t>
            </w:r>
          </w:p>
        </w:tc>
        <w:tc>
          <w:tcPr>
            <w:tcW w:w="1276" w:type="dxa"/>
            <w:tcBorders>
              <w:top w:val="single" w:color="auto" w:sz="6" w:space="0"/>
              <w:left w:val="single" w:color="auto" w:sz="6" w:space="0"/>
              <w:bottom w:val="single" w:color="auto" w:sz="6" w:space="0"/>
              <w:right w:val="single" w:color="auto" w:sz="6" w:space="0"/>
            </w:tcBorders>
            <w:noWrap/>
            <w:vAlign w:val="center"/>
          </w:tcPr>
          <w:p w14:paraId="6A42E389">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麦克风</w:t>
            </w:r>
          </w:p>
        </w:tc>
        <w:tc>
          <w:tcPr>
            <w:tcW w:w="6417" w:type="dxa"/>
            <w:tcBorders>
              <w:top w:val="single" w:color="auto" w:sz="6" w:space="0"/>
              <w:left w:val="single" w:color="auto" w:sz="6" w:space="0"/>
              <w:bottom w:val="single" w:color="auto" w:sz="6" w:space="0"/>
              <w:right w:val="single" w:color="auto" w:sz="6" w:space="0"/>
            </w:tcBorders>
            <w:noWrap/>
            <w:vAlign w:val="center"/>
          </w:tcPr>
          <w:p w14:paraId="2FB2A04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1.能够支持配套软件记录客户在使用时的语音，支持用于远程语音通话，麦克风做隐藏式设计</w:t>
            </w:r>
          </w:p>
        </w:tc>
      </w:tr>
      <w:tr w14:paraId="241A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4832F92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16</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1E08C866">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指纹仪</w:t>
            </w:r>
          </w:p>
        </w:tc>
        <w:tc>
          <w:tcPr>
            <w:tcW w:w="6417" w:type="dxa"/>
            <w:tcBorders>
              <w:top w:val="single" w:color="auto" w:sz="6" w:space="0"/>
              <w:left w:val="single" w:color="auto" w:sz="6" w:space="0"/>
              <w:bottom w:val="single" w:color="auto" w:sz="6" w:space="0"/>
              <w:right w:val="single" w:color="auto" w:sz="6" w:space="0"/>
            </w:tcBorders>
            <w:noWrap/>
            <w:vAlign w:val="center"/>
          </w:tcPr>
          <w:p w14:paraId="6AB7DEB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1.指纹仪采用浙江中正的产品；</w:t>
            </w:r>
          </w:p>
        </w:tc>
      </w:tr>
      <w:tr w14:paraId="3840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A55E29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15AC9E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C54811D">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2.探测技术/探测位置：电容式/真皮层；</w:t>
            </w:r>
          </w:p>
        </w:tc>
      </w:tr>
      <w:tr w14:paraId="2483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B130C6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33BE28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0FC091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3.断电保护：具备掉电、过流、过压、短路、极性反接等保护措施。当电压恢复正常时，能自动恢复正常工作状态。</w:t>
            </w:r>
          </w:p>
        </w:tc>
      </w:tr>
      <w:tr w14:paraId="5E01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2F3D6C5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17</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43E36F03">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条形码扫描器</w:t>
            </w:r>
          </w:p>
        </w:tc>
        <w:tc>
          <w:tcPr>
            <w:tcW w:w="6417" w:type="dxa"/>
            <w:tcBorders>
              <w:top w:val="single" w:color="auto" w:sz="6" w:space="0"/>
              <w:left w:val="single" w:color="auto" w:sz="6" w:space="0"/>
              <w:bottom w:val="single" w:color="auto" w:sz="6" w:space="0"/>
              <w:right w:val="single" w:color="auto" w:sz="6" w:space="0"/>
            </w:tcBorders>
            <w:noWrap/>
            <w:vAlign w:val="center"/>
          </w:tcPr>
          <w:p w14:paraId="00050405">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1.识别国际通用的一维条码码制和二维条码码制；</w:t>
            </w:r>
          </w:p>
        </w:tc>
      </w:tr>
      <w:tr w14:paraId="4A61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41E955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A664BF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3D0C28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2.识读标准的1D、2D、PDF、邮政编码和OCR字符体系、支持常用的PDF417二维条码，Datamatrix二维条码，QR Code等码制；</w:t>
            </w:r>
          </w:p>
        </w:tc>
      </w:tr>
      <w:tr w14:paraId="0373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515F9D2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18</w:t>
            </w:r>
          </w:p>
        </w:tc>
        <w:tc>
          <w:tcPr>
            <w:tcW w:w="1276" w:type="dxa"/>
            <w:tcBorders>
              <w:top w:val="single" w:color="auto" w:sz="6" w:space="0"/>
              <w:left w:val="single" w:color="auto" w:sz="6" w:space="0"/>
              <w:bottom w:val="single" w:color="auto" w:sz="6" w:space="0"/>
              <w:right w:val="single" w:color="auto" w:sz="6" w:space="0"/>
            </w:tcBorders>
            <w:noWrap/>
            <w:vAlign w:val="center"/>
          </w:tcPr>
          <w:p w14:paraId="49320497">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扎把机</w:t>
            </w:r>
          </w:p>
        </w:tc>
        <w:tc>
          <w:tcPr>
            <w:tcW w:w="6417" w:type="dxa"/>
            <w:tcBorders>
              <w:top w:val="single" w:color="auto" w:sz="6" w:space="0"/>
              <w:left w:val="single" w:color="auto" w:sz="6" w:space="0"/>
              <w:bottom w:val="single" w:color="auto" w:sz="6" w:space="0"/>
              <w:right w:val="single" w:color="auto" w:sz="6" w:space="0"/>
            </w:tcBorders>
            <w:noWrap/>
            <w:vAlign w:val="center"/>
          </w:tcPr>
          <w:p w14:paraId="027A557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1.瞬间加热，即开即用，松紧可调，扎把速度：小于2秒/把，配手动闸门。</w:t>
            </w:r>
          </w:p>
        </w:tc>
      </w:tr>
      <w:tr w14:paraId="41066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1B78EA2C">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19</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3BBCA741">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磁条刷卡</w:t>
            </w:r>
          </w:p>
        </w:tc>
        <w:tc>
          <w:tcPr>
            <w:tcW w:w="6417" w:type="dxa"/>
            <w:tcBorders>
              <w:top w:val="single" w:color="auto" w:sz="6" w:space="0"/>
              <w:left w:val="single" w:color="auto" w:sz="6" w:space="0"/>
              <w:bottom w:val="single" w:color="auto" w:sz="6" w:space="0"/>
              <w:right w:val="single" w:color="auto" w:sz="6" w:space="0"/>
            </w:tcBorders>
            <w:noWrap/>
            <w:vAlign w:val="center"/>
          </w:tcPr>
          <w:p w14:paraId="33720EA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1.支持类型：ISO7811，AAMVA，CADMV；</w:t>
            </w:r>
          </w:p>
        </w:tc>
      </w:tr>
      <w:tr w14:paraId="36FF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42E1A9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39517DF">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503417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2.接口：RS232/USB；</w:t>
            </w:r>
          </w:p>
        </w:tc>
      </w:tr>
      <w:tr w14:paraId="437D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5D6D426">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007253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915DE4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3.磁卡读取标准：兼容IBM、ISO、DIN和ANSI标准；</w:t>
            </w:r>
          </w:p>
        </w:tc>
      </w:tr>
      <w:tr w14:paraId="77D6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D54F2C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450C5F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E9B6B69">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4.磁条读取符合标准：ISO/ANSI ISO7810/7811/7812/7813。</w:t>
            </w:r>
          </w:p>
        </w:tc>
      </w:tr>
      <w:tr w14:paraId="3C1E4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79CCD28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u w:val="none"/>
                <w:vertAlign w:val="baseline"/>
                <w:lang w:bidi="ar-SA"/>
              </w:rPr>
              <w:t>20 </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7D7AA440">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存折补登</w:t>
            </w:r>
          </w:p>
        </w:tc>
        <w:tc>
          <w:tcPr>
            <w:tcW w:w="6417" w:type="dxa"/>
            <w:tcBorders>
              <w:top w:val="single" w:color="auto" w:sz="6" w:space="0"/>
              <w:left w:val="single" w:color="auto" w:sz="6" w:space="0"/>
              <w:bottom w:val="single" w:color="auto" w:sz="6" w:space="0"/>
              <w:right w:val="single" w:color="auto" w:sz="6" w:space="0"/>
            </w:tcBorders>
            <w:noWrap/>
            <w:vAlign w:val="center"/>
          </w:tcPr>
          <w:p w14:paraId="7AB6C3D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1.打印方法：24针双向点阵式打印；</w:t>
            </w:r>
          </w:p>
        </w:tc>
      </w:tr>
      <w:tr w14:paraId="41E1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68A655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6E520C6">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2D5016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2.英文打印速度：高速模式不低于300 CPS，标准模式不低于100 CPS；中文打印速度：高速模式不低于100 CPS，标准模式不低于50 CPS；行间距：N/216，N/240，可调；</w:t>
            </w:r>
          </w:p>
        </w:tc>
      </w:tr>
      <w:tr w14:paraId="334B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6D9444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9CF85F4">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6D8AAE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3.最大打印宽度：245 mm；</w:t>
            </w:r>
          </w:p>
        </w:tc>
      </w:tr>
      <w:tr w14:paraId="188B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1344EEAD">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7FFC8B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6A8DA1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4.最大打印厚度：2 mm；</w:t>
            </w:r>
          </w:p>
        </w:tc>
      </w:tr>
      <w:tr w14:paraId="69BE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6D48EF6E">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6DA2E1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24D850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5.中文打印字体：宋体、仿宋体、揩体、繁体</w:t>
            </w:r>
          </w:p>
        </w:tc>
      </w:tr>
      <w:tr w14:paraId="458DC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61E67EA0">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21</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21A387A6">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全景摄像头</w:t>
            </w:r>
          </w:p>
        </w:tc>
        <w:tc>
          <w:tcPr>
            <w:tcW w:w="6417" w:type="dxa"/>
            <w:tcBorders>
              <w:top w:val="single" w:color="auto" w:sz="6" w:space="0"/>
              <w:left w:val="single" w:color="auto" w:sz="6" w:space="0"/>
              <w:bottom w:val="single" w:color="auto" w:sz="6" w:space="0"/>
              <w:right w:val="single" w:color="auto" w:sz="6" w:space="0"/>
            </w:tcBorders>
            <w:noWrap/>
            <w:vAlign w:val="center"/>
          </w:tcPr>
          <w:p w14:paraId="4201FEA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1.最大分辨率/帧率：200万 / 默认30fps；</w:t>
            </w:r>
          </w:p>
        </w:tc>
      </w:tr>
      <w:tr w14:paraId="7CDB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327A80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C436603">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A82BEA0">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2.捕获幅面不低于640*480；</w:t>
            </w:r>
          </w:p>
        </w:tc>
      </w:tr>
      <w:tr w14:paraId="38F02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3F77FF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04995E5">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A126C30">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3.视像解析度不低于640*480；</w:t>
            </w:r>
          </w:p>
        </w:tc>
      </w:tr>
      <w:tr w14:paraId="0965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0434485">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C40A2D0">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D4C456D">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4.具备还原非广角影像功能；</w:t>
            </w:r>
          </w:p>
        </w:tc>
      </w:tr>
      <w:tr w14:paraId="5DB6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79C17DD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22</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5315BE1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人体感应仪</w:t>
            </w:r>
          </w:p>
        </w:tc>
        <w:tc>
          <w:tcPr>
            <w:tcW w:w="6417" w:type="dxa"/>
            <w:tcBorders>
              <w:top w:val="single" w:color="auto" w:sz="6" w:space="0"/>
              <w:left w:val="single" w:color="auto" w:sz="6" w:space="0"/>
              <w:bottom w:val="single" w:color="auto" w:sz="6" w:space="0"/>
              <w:right w:val="single" w:color="auto" w:sz="6" w:space="0"/>
            </w:tcBorders>
            <w:noWrap/>
            <w:vAlign w:val="center"/>
          </w:tcPr>
          <w:p w14:paraId="3A58B97B">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1.可感知人体接近状态；</w:t>
            </w:r>
          </w:p>
        </w:tc>
      </w:tr>
      <w:tr w14:paraId="4385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435092C">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5CF0CB7">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556644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2.感应距离:0~100厘米；</w:t>
            </w:r>
          </w:p>
        </w:tc>
      </w:tr>
      <w:tr w14:paraId="3297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F87EC1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A24D20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25A1F23">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3.感应技术：红外。</w:t>
            </w:r>
          </w:p>
        </w:tc>
      </w:tr>
      <w:tr w14:paraId="5203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353A9FB5">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u w:val="none"/>
                <w:vertAlign w:val="baseline"/>
                <w:lang w:bidi="ar-SA"/>
              </w:rPr>
              <w:t>23 </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4CBDC84B">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票据发放模块</w:t>
            </w:r>
          </w:p>
        </w:tc>
        <w:tc>
          <w:tcPr>
            <w:tcW w:w="6417" w:type="dxa"/>
            <w:tcBorders>
              <w:top w:val="single" w:color="auto" w:sz="6" w:space="0"/>
              <w:left w:val="single" w:color="auto" w:sz="6" w:space="0"/>
              <w:bottom w:val="single" w:color="auto" w:sz="6" w:space="0"/>
              <w:right w:val="single" w:color="auto" w:sz="6" w:space="0"/>
            </w:tcBorders>
            <w:noWrap/>
            <w:vAlign w:val="center"/>
          </w:tcPr>
          <w:p w14:paraId="6910E4B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1.扫描张数：支持单张进票；</w:t>
            </w:r>
          </w:p>
        </w:tc>
      </w:tr>
      <w:tr w14:paraId="1E0F5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44058F0">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5530F73">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DE408FB">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2.票箱:发票箱≥2个，单张存储量≥100张；废票箱1个≥30张；</w:t>
            </w:r>
          </w:p>
        </w:tc>
      </w:tr>
      <w:tr w14:paraId="3BEC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2915B2B">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772F4B6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34C940AD">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3.票箱：所有票箱封闭完整并支持独立上锁；</w:t>
            </w:r>
          </w:p>
        </w:tc>
      </w:tr>
      <w:tr w14:paraId="52D59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90D17B9">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47475A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F29402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4.扫描功能：支持正反面扫描输出 ；</w:t>
            </w:r>
          </w:p>
        </w:tc>
      </w:tr>
      <w:tr w14:paraId="7E88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0303AE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2410299">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FF7FED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5.输出格式：扫描影像，最高可输出24位全彩，支持JPEG/BMP图像格式；</w:t>
            </w:r>
          </w:p>
        </w:tc>
      </w:tr>
      <w:tr w14:paraId="3A68D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E9A6358">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7062417">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28ECDC0">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6.出票口带电动闸门控制，具备防夹手设计；</w:t>
            </w:r>
          </w:p>
        </w:tc>
      </w:tr>
      <w:tr w14:paraId="7DC63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61FBDE99">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24</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3DBA765F">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票据接收模块</w:t>
            </w:r>
          </w:p>
        </w:tc>
        <w:tc>
          <w:tcPr>
            <w:tcW w:w="6417" w:type="dxa"/>
            <w:tcBorders>
              <w:top w:val="single" w:color="auto" w:sz="6" w:space="0"/>
              <w:left w:val="single" w:color="auto" w:sz="6" w:space="0"/>
              <w:bottom w:val="single" w:color="auto" w:sz="6" w:space="0"/>
              <w:right w:val="single" w:color="auto" w:sz="6" w:space="0"/>
            </w:tcBorders>
            <w:noWrap/>
            <w:vAlign w:val="center"/>
          </w:tcPr>
          <w:p w14:paraId="255E62F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1.打印分辨率：≥300DPI；扫描分辨率：支持200DPI多光谱彩色图像扫描；</w:t>
            </w:r>
          </w:p>
        </w:tc>
      </w:tr>
      <w:tr w14:paraId="0DE49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F9F6A6A">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DB59754">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19F5F70A">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2.打印：支持文字打印、图像打印、数字打印，支持软件控制打印位置调整，打印时识别匹配票号；</w:t>
            </w:r>
          </w:p>
        </w:tc>
      </w:tr>
      <w:tr w14:paraId="4CA20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CB3E20D">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394113F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961D675">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3.具备扫描票据不成功退票功能；</w:t>
            </w:r>
          </w:p>
        </w:tc>
      </w:tr>
      <w:tr w14:paraId="4C3E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20475BF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44983EC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6FA117A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4.支持OCR票号识别；</w:t>
            </w:r>
          </w:p>
        </w:tc>
      </w:tr>
      <w:tr w14:paraId="3D44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5E5F60F">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1B84E314">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291995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5.支持打印结果返回，判断打印是否成功；</w:t>
            </w:r>
          </w:p>
        </w:tc>
      </w:tr>
      <w:tr w14:paraId="2342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13AB854">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28F329D">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8BB6FD7">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6.支持二维码打印功能，QR-CODE\GM\PDF417\MAXICODE等常用二维码；</w:t>
            </w:r>
          </w:p>
        </w:tc>
      </w:tr>
      <w:tr w14:paraId="79A97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393B5308">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80482C0">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069DD154">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7.支持票据折叠、缺角检测功能，</w:t>
            </w:r>
          </w:p>
        </w:tc>
      </w:tr>
      <w:tr w14:paraId="65A86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BD3960F">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548CD25B">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7EA4F91">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8.支持纸张重张检测功能；</w:t>
            </w:r>
          </w:p>
        </w:tc>
      </w:tr>
      <w:tr w14:paraId="69CC4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4327EB1">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4A0A3FA">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D58445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9.支持票据批量打印功能，</w:t>
            </w:r>
          </w:p>
        </w:tc>
      </w:tr>
      <w:tr w14:paraId="2E7E3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463F069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28E94D88">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7ECCAF56">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10.支持票据尺寸：厚度0.1mm-0.24mm；长度170mm-230mm；宽度75mm-114mm；</w:t>
            </w:r>
          </w:p>
        </w:tc>
      </w:tr>
      <w:tr w14:paraId="1A38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restart"/>
            <w:tcBorders>
              <w:top w:val="single" w:color="auto" w:sz="6" w:space="0"/>
              <w:left w:val="single" w:color="auto" w:sz="6" w:space="0"/>
              <w:bottom w:val="single" w:color="auto" w:sz="6" w:space="0"/>
              <w:right w:val="single" w:color="auto" w:sz="6" w:space="0"/>
            </w:tcBorders>
            <w:noWrap/>
            <w:vAlign w:val="center"/>
          </w:tcPr>
          <w:p w14:paraId="11F87139">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u w:val="none"/>
                <w:vertAlign w:val="baseline"/>
                <w:lang w:bidi="ar-SA"/>
              </w:rPr>
              <w:t>25 </w:t>
            </w:r>
          </w:p>
        </w:tc>
        <w:tc>
          <w:tcPr>
            <w:tcW w:w="1276" w:type="dxa"/>
            <w:vMerge w:val="restart"/>
            <w:tcBorders>
              <w:top w:val="single" w:color="auto" w:sz="6" w:space="0"/>
              <w:left w:val="single" w:color="auto" w:sz="6" w:space="0"/>
              <w:bottom w:val="single" w:color="auto" w:sz="6" w:space="0"/>
              <w:right w:val="single" w:color="auto" w:sz="6" w:space="0"/>
            </w:tcBorders>
            <w:noWrap/>
            <w:vAlign w:val="center"/>
          </w:tcPr>
          <w:p w14:paraId="285609E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激光打印机</w:t>
            </w:r>
          </w:p>
        </w:tc>
        <w:tc>
          <w:tcPr>
            <w:tcW w:w="6417" w:type="dxa"/>
            <w:tcBorders>
              <w:top w:val="single" w:color="auto" w:sz="6" w:space="0"/>
              <w:left w:val="single" w:color="auto" w:sz="6" w:space="0"/>
              <w:bottom w:val="single" w:color="auto" w:sz="6" w:space="0"/>
              <w:right w:val="single" w:color="auto" w:sz="6" w:space="0"/>
            </w:tcBorders>
            <w:noWrap/>
            <w:vAlign w:val="center"/>
          </w:tcPr>
          <w:p w14:paraId="5C1C0E4C">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支持A4纸张打印；</w:t>
            </w:r>
          </w:p>
        </w:tc>
      </w:tr>
      <w:tr w14:paraId="46D6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71217167">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2606461">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5DAB869F">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纸盒数量：1个；</w:t>
            </w:r>
          </w:p>
        </w:tc>
      </w:tr>
      <w:tr w14:paraId="57E1A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5362C36D">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0ABE4794">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2042E86E">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纸张总容量：100张（含）以上</w:t>
            </w:r>
          </w:p>
        </w:tc>
      </w:tr>
      <w:tr w14:paraId="693B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vMerge w:val="continue"/>
            <w:tcBorders>
              <w:top w:val="single" w:color="auto" w:sz="6" w:space="0"/>
              <w:left w:val="single" w:color="auto" w:sz="6" w:space="0"/>
              <w:bottom w:val="single" w:color="auto" w:sz="6" w:space="0"/>
              <w:right w:val="single" w:color="auto" w:sz="6" w:space="0"/>
            </w:tcBorders>
            <w:noWrap/>
            <w:vAlign w:val="center"/>
          </w:tcPr>
          <w:p w14:paraId="01C32463">
            <w:pPr>
              <w:rPr>
                <w:color w:val="auto"/>
                <w:highlight w:val="none"/>
              </w:rPr>
            </w:pPr>
          </w:p>
        </w:tc>
        <w:tc>
          <w:tcPr>
            <w:tcW w:w="1276" w:type="dxa"/>
            <w:vMerge w:val="continue"/>
            <w:tcBorders>
              <w:top w:val="single" w:color="auto" w:sz="6" w:space="0"/>
              <w:left w:val="single" w:color="auto" w:sz="6" w:space="0"/>
              <w:bottom w:val="single" w:color="auto" w:sz="6" w:space="0"/>
              <w:right w:val="single" w:color="auto" w:sz="6" w:space="0"/>
            </w:tcBorders>
            <w:noWrap/>
            <w:vAlign w:val="center"/>
          </w:tcPr>
          <w:p w14:paraId="66DB055C">
            <w:pPr>
              <w:rPr>
                <w:color w:val="auto"/>
                <w:highlight w:val="none"/>
              </w:rPr>
            </w:pPr>
          </w:p>
        </w:tc>
        <w:tc>
          <w:tcPr>
            <w:tcW w:w="6417" w:type="dxa"/>
            <w:tcBorders>
              <w:top w:val="single" w:color="auto" w:sz="6" w:space="0"/>
              <w:left w:val="single" w:color="auto" w:sz="6" w:space="0"/>
              <w:bottom w:val="single" w:color="auto" w:sz="6" w:space="0"/>
              <w:right w:val="single" w:color="auto" w:sz="6" w:space="0"/>
            </w:tcBorders>
            <w:noWrap/>
            <w:vAlign w:val="center"/>
          </w:tcPr>
          <w:p w14:paraId="41614978">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打印分辨率：600dpi（含）以上</w:t>
            </w:r>
          </w:p>
        </w:tc>
      </w:tr>
      <w:tr w14:paraId="5D35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7" w:type="dxa"/>
            <w:tcBorders>
              <w:top w:val="single" w:color="auto" w:sz="6" w:space="0"/>
              <w:left w:val="single" w:color="auto" w:sz="6" w:space="0"/>
              <w:bottom w:val="single" w:color="auto" w:sz="6" w:space="0"/>
              <w:right w:val="single" w:color="auto" w:sz="6" w:space="0"/>
            </w:tcBorders>
            <w:noWrap/>
            <w:vAlign w:val="center"/>
          </w:tcPr>
          <w:p w14:paraId="3ABD7658">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26</w:t>
            </w:r>
          </w:p>
        </w:tc>
        <w:tc>
          <w:tcPr>
            <w:tcW w:w="1276" w:type="dxa"/>
            <w:tcBorders>
              <w:top w:val="single" w:color="auto" w:sz="6" w:space="0"/>
              <w:left w:val="single" w:color="auto" w:sz="6" w:space="0"/>
              <w:bottom w:val="single" w:color="auto" w:sz="6" w:space="0"/>
              <w:right w:val="single" w:color="auto" w:sz="6" w:space="0"/>
            </w:tcBorders>
            <w:noWrap/>
            <w:vAlign w:val="center"/>
          </w:tcPr>
          <w:p w14:paraId="16125612">
            <w:pPr>
              <w:spacing w:line="240" w:lineRule="auto"/>
              <w:ind w:firstLine="0" w:firstLineChars="0"/>
              <w:jc w:val="center"/>
              <w:rPr>
                <w:color w:val="auto"/>
                <w:sz w:val="21"/>
                <w:szCs w:val="21"/>
                <w:highlight w:val="none"/>
              </w:rPr>
            </w:pPr>
            <w:r>
              <w:rPr>
                <w:rFonts w:hint="eastAsia" w:ascii="宋体" w:eastAsia="宋体" w:cs="Lucida Sans"/>
                <w:color w:val="auto"/>
                <w:sz w:val="21"/>
                <w:szCs w:val="21"/>
                <w:highlight w:val="none"/>
                <w:lang w:bidi="ar-SA"/>
              </w:rPr>
              <w:t>监控系统</w:t>
            </w:r>
          </w:p>
        </w:tc>
        <w:tc>
          <w:tcPr>
            <w:tcW w:w="6417" w:type="dxa"/>
            <w:tcBorders>
              <w:top w:val="single" w:color="auto" w:sz="6" w:space="0"/>
              <w:left w:val="single" w:color="auto" w:sz="6" w:space="0"/>
              <w:bottom w:val="single" w:color="auto" w:sz="6" w:space="0"/>
              <w:right w:val="single" w:color="auto" w:sz="6" w:space="0"/>
            </w:tcBorders>
            <w:noWrap/>
            <w:vAlign w:val="center"/>
          </w:tcPr>
          <w:p w14:paraId="5E962700">
            <w:pPr>
              <w:snapToGrid w:val="0"/>
              <w:spacing w:line="240" w:lineRule="auto"/>
              <w:ind w:firstLine="0" w:firstLineChars="0"/>
              <w:jc w:val="left"/>
              <w:rPr>
                <w:color w:val="auto"/>
                <w:sz w:val="21"/>
                <w:szCs w:val="21"/>
                <w:highlight w:val="none"/>
              </w:rPr>
            </w:pPr>
            <w:r>
              <w:rPr>
                <w:rFonts w:hint="eastAsia" w:ascii="宋体" w:eastAsia="宋体" w:cs="Lucida Sans"/>
                <w:color w:val="auto"/>
                <w:sz w:val="21"/>
                <w:szCs w:val="21"/>
                <w:highlight w:val="none"/>
                <w:lang w:bidi="ar-SA"/>
              </w:rPr>
              <w:t>预留人脸、存取款口、装钞口针孔监控摄像头安装位置。</w:t>
            </w:r>
          </w:p>
        </w:tc>
      </w:tr>
    </w:tbl>
    <w:p w14:paraId="69FD7285">
      <w:pPr>
        <w:rPr>
          <w:rFonts w:hint="eastAsia"/>
          <w:color w:val="auto"/>
          <w:highlight w:val="none"/>
          <w:lang w:val="en-US" w:eastAsia="zh-CN"/>
        </w:rPr>
      </w:pPr>
      <w:bookmarkStart w:id="47" w:name="_Toc15059418"/>
      <w:bookmarkStart w:id="48" w:name="_Toc89675144"/>
      <w:r>
        <w:rPr>
          <w:rFonts w:hint="eastAsia"/>
          <w:color w:val="auto"/>
          <w:highlight w:val="none"/>
          <w:lang w:val="en-US" w:eastAsia="zh-CN"/>
        </w:rPr>
        <w:t>【提供技术条款偏离表】</w:t>
      </w:r>
    </w:p>
    <w:p w14:paraId="4F27A45B">
      <w:pPr>
        <w:pStyle w:val="4"/>
        <w:bidi w:val="0"/>
        <w:rPr>
          <w:color w:val="auto"/>
          <w:highlight w:val="none"/>
        </w:rPr>
      </w:pPr>
      <w:r>
        <w:rPr>
          <w:rFonts w:hint="eastAsia"/>
          <w:color w:val="auto"/>
          <w:highlight w:val="none"/>
          <w:lang w:val="en-US" w:eastAsia="zh-CN"/>
        </w:rPr>
        <w:t xml:space="preserve">4. </w:t>
      </w:r>
      <w:r>
        <w:rPr>
          <w:rFonts w:hint="eastAsia"/>
          <w:color w:val="auto"/>
          <w:highlight w:val="none"/>
        </w:rPr>
        <w:t>交付周期、地点</w:t>
      </w:r>
      <w:bookmarkEnd w:id="47"/>
      <w:bookmarkEnd w:id="48"/>
    </w:p>
    <w:p w14:paraId="35065077">
      <w:pPr>
        <w:pStyle w:val="2"/>
        <w:bidi w:val="0"/>
        <w:rPr>
          <w:rFonts w:hint="eastAsia"/>
          <w:color w:val="auto"/>
          <w:highlight w:val="none"/>
        </w:rPr>
      </w:pPr>
      <w:bookmarkStart w:id="49" w:name="_Toc15059420"/>
      <w:bookmarkStart w:id="50" w:name="_Toc89675146"/>
      <w:bookmarkStart w:id="51" w:name="_Toc432254881"/>
      <w:bookmarkStart w:id="52" w:name="_Toc1125"/>
      <w:bookmarkStart w:id="53" w:name="_Toc440628915"/>
      <w:bookmarkStart w:id="54" w:name="_Toc387826347"/>
      <w:r>
        <w:rPr>
          <w:rFonts w:hint="eastAsia"/>
          <w:color w:val="auto"/>
          <w:highlight w:val="none"/>
          <w:lang w:val="en-US" w:eastAsia="zh-CN"/>
        </w:rPr>
        <w:t xml:space="preserve">4.1 </w:t>
      </w:r>
      <w:r>
        <w:rPr>
          <w:rFonts w:hint="eastAsia"/>
          <w:color w:val="auto"/>
          <w:highlight w:val="none"/>
        </w:rPr>
        <w:t>交付时间</w:t>
      </w:r>
    </w:p>
    <w:p w14:paraId="7C8A5D3D">
      <w:pPr>
        <w:rPr>
          <w:rFonts w:hint="eastAsia"/>
          <w:color w:val="auto"/>
          <w:highlight w:val="none"/>
        </w:rPr>
      </w:pPr>
      <w:r>
        <w:rPr>
          <w:rFonts w:hint="eastAsia"/>
          <w:color w:val="auto"/>
          <w:highlight w:val="none"/>
        </w:rPr>
        <w:t>收到甲方通知50天内交付设备。</w:t>
      </w:r>
    </w:p>
    <w:p w14:paraId="05751AB9">
      <w:pPr>
        <w:pStyle w:val="2"/>
        <w:bidi w:val="0"/>
        <w:rPr>
          <w:rFonts w:hint="eastAsia"/>
          <w:color w:val="auto"/>
          <w:highlight w:val="none"/>
        </w:rPr>
      </w:pPr>
      <w:r>
        <w:rPr>
          <w:rFonts w:hint="eastAsia"/>
          <w:color w:val="auto"/>
          <w:highlight w:val="none"/>
          <w:lang w:val="en-US" w:eastAsia="zh-CN"/>
        </w:rPr>
        <w:t xml:space="preserve">4.2 </w:t>
      </w:r>
      <w:r>
        <w:rPr>
          <w:rFonts w:hint="eastAsia"/>
          <w:color w:val="auto"/>
          <w:highlight w:val="none"/>
        </w:rPr>
        <w:t>实施及交付地点</w:t>
      </w:r>
    </w:p>
    <w:p w14:paraId="31591AB3">
      <w:pPr>
        <w:bidi w:val="0"/>
        <w:rPr>
          <w:rFonts w:hint="eastAsia"/>
          <w:color w:val="auto"/>
          <w:highlight w:val="none"/>
        </w:rPr>
      </w:pPr>
      <w:r>
        <w:rPr>
          <w:rFonts w:hint="eastAsia"/>
          <w:color w:val="auto"/>
          <w:highlight w:val="none"/>
        </w:rPr>
        <w:t>重庆市。</w:t>
      </w:r>
    </w:p>
    <w:bookmarkEnd w:id="49"/>
    <w:bookmarkEnd w:id="50"/>
    <w:p w14:paraId="4D09373A">
      <w:pPr>
        <w:pStyle w:val="4"/>
        <w:bidi w:val="0"/>
        <w:rPr>
          <w:rFonts w:hint="eastAsia"/>
          <w:color w:val="auto"/>
          <w:highlight w:val="none"/>
        </w:rPr>
      </w:pPr>
      <w:bookmarkStart w:id="55" w:name="_Toc89675148"/>
      <w:bookmarkStart w:id="56" w:name="_Toc15059422"/>
      <w:r>
        <w:rPr>
          <w:rFonts w:hint="eastAsia"/>
          <w:color w:val="auto"/>
          <w:highlight w:val="none"/>
          <w:lang w:val="en-US" w:eastAsia="zh-CN"/>
        </w:rPr>
        <w:t xml:space="preserve">7. </w:t>
      </w:r>
      <w:r>
        <w:rPr>
          <w:rFonts w:hint="eastAsia"/>
          <w:color w:val="auto"/>
          <w:highlight w:val="none"/>
        </w:rPr>
        <w:t>付款方式</w:t>
      </w:r>
      <w:bookmarkEnd w:id="55"/>
      <w:bookmarkEnd w:id="56"/>
    </w:p>
    <w:p w14:paraId="0ED8D11D">
      <w:pPr>
        <w:rPr>
          <w:rFonts w:hint="eastAsia"/>
          <w:color w:val="auto"/>
          <w:highlight w:val="none"/>
        </w:rPr>
      </w:pPr>
      <w:r>
        <w:rPr>
          <w:rFonts w:hint="eastAsia"/>
          <w:color w:val="auto"/>
          <w:highlight w:val="none"/>
        </w:rPr>
        <w:t>5.1行方与供货方签订采购协议后，供货方应在议签订之日起【10】日内向行方缴纳3万元质保金，待该合同最后采购的一台设备使用满6年无重大故障，且供货方不存在任何违约行为的情况下，行方向供货方无息返还质保金。</w:t>
      </w:r>
    </w:p>
    <w:p w14:paraId="151B0113">
      <w:pPr>
        <w:rPr>
          <w:color w:val="auto"/>
          <w:highlight w:val="none"/>
        </w:rPr>
      </w:pPr>
      <w:r>
        <w:rPr>
          <w:rFonts w:hint="eastAsia"/>
          <w:color w:val="auto"/>
          <w:highlight w:val="none"/>
        </w:rPr>
        <w:t>5.2设备投入正常使用并经行方验收通过次月，由设备供货方向行方提交对账单，双方核对采购的设备数目无误后，供货方向行方出具设备采购发票（13%的增值税专用发票），行方收到供货方发票后30日内将设备采购款项通过转账形式划到供货方指定的银行账户。</w:t>
      </w:r>
    </w:p>
    <w:p w14:paraId="72E34948">
      <w:pPr>
        <w:pStyle w:val="4"/>
        <w:bidi w:val="0"/>
        <w:rPr>
          <w:color w:val="auto"/>
          <w:highlight w:val="none"/>
        </w:rPr>
      </w:pPr>
      <w:bookmarkStart w:id="57" w:name="_Toc15059424"/>
      <w:bookmarkStart w:id="58" w:name="_Toc89675150"/>
      <w:r>
        <w:rPr>
          <w:rFonts w:hint="eastAsia"/>
          <w:color w:val="auto"/>
          <w:highlight w:val="none"/>
          <w:lang w:val="en-US" w:eastAsia="zh-CN"/>
        </w:rPr>
        <w:t xml:space="preserve">8. </w:t>
      </w:r>
      <w:r>
        <w:rPr>
          <w:rFonts w:hint="eastAsia"/>
          <w:color w:val="auto"/>
          <w:highlight w:val="none"/>
        </w:rPr>
        <w:t>保密条款</w:t>
      </w:r>
      <w:bookmarkEnd w:id="51"/>
      <w:bookmarkEnd w:id="52"/>
      <w:bookmarkEnd w:id="53"/>
      <w:bookmarkEnd w:id="54"/>
      <w:bookmarkEnd w:id="57"/>
      <w:bookmarkEnd w:id="58"/>
    </w:p>
    <w:p w14:paraId="68DBB34E">
      <w:pPr>
        <w:pStyle w:val="2"/>
        <w:bidi w:val="0"/>
        <w:rPr>
          <w:rFonts w:hint="eastAsia"/>
          <w:color w:val="auto"/>
          <w:highlight w:val="none"/>
        </w:rPr>
      </w:pPr>
      <w:r>
        <w:rPr>
          <w:rFonts w:hint="eastAsia"/>
          <w:color w:val="auto"/>
          <w:highlight w:val="none"/>
          <w:lang w:val="en-US" w:eastAsia="zh-CN"/>
        </w:rPr>
        <w:t xml:space="preserve">8.1 </w:t>
      </w:r>
      <w:r>
        <w:rPr>
          <w:rFonts w:hint="eastAsia"/>
          <w:color w:val="auto"/>
          <w:highlight w:val="none"/>
        </w:rPr>
        <w:t>保密范围</w:t>
      </w:r>
    </w:p>
    <w:p w14:paraId="7251A9A9">
      <w:pPr>
        <w:bidi w:val="0"/>
        <w:rPr>
          <w:rFonts w:hint="eastAsia"/>
          <w:color w:val="auto"/>
          <w:highlight w:val="none"/>
        </w:rPr>
      </w:pPr>
      <w:r>
        <w:rPr>
          <w:rFonts w:hint="eastAsia"/>
          <w:color w:val="auto"/>
          <w:highlight w:val="none"/>
        </w:rPr>
        <w:t>中选人在实施过程中接触到的比选人知识产权、经营信息等。</w:t>
      </w:r>
    </w:p>
    <w:p w14:paraId="231E5119">
      <w:pPr>
        <w:pStyle w:val="2"/>
        <w:bidi w:val="0"/>
        <w:rPr>
          <w:rFonts w:hint="eastAsia"/>
          <w:color w:val="auto"/>
          <w:highlight w:val="none"/>
        </w:rPr>
      </w:pPr>
      <w:r>
        <w:rPr>
          <w:rFonts w:hint="eastAsia"/>
          <w:color w:val="auto"/>
          <w:highlight w:val="none"/>
          <w:lang w:val="en-US" w:eastAsia="zh-CN"/>
        </w:rPr>
        <w:t xml:space="preserve">8.2 </w:t>
      </w:r>
      <w:r>
        <w:rPr>
          <w:rFonts w:hint="eastAsia"/>
          <w:color w:val="auto"/>
          <w:highlight w:val="none"/>
        </w:rPr>
        <w:t>保密责任</w:t>
      </w:r>
    </w:p>
    <w:p w14:paraId="1AC29480">
      <w:pPr>
        <w:bidi w:val="0"/>
        <w:rPr>
          <w:rFonts w:hint="eastAsia"/>
          <w:color w:val="auto"/>
          <w:highlight w:val="none"/>
        </w:rPr>
      </w:pPr>
      <w:r>
        <w:rPr>
          <w:rFonts w:hint="eastAsia"/>
          <w:color w:val="auto"/>
          <w:highlight w:val="none"/>
        </w:rPr>
        <w:t>双方互为保密资料的提供方和接受方，负有保密义务，承担保密责任。除经过双方书面同意，任何一方不得将有关内容提供给合同以外的第三人。</w:t>
      </w:r>
    </w:p>
    <w:p w14:paraId="3BAC070F">
      <w:pPr>
        <w:pStyle w:val="4"/>
        <w:bidi w:val="0"/>
        <w:rPr>
          <w:color w:val="auto"/>
          <w:highlight w:val="none"/>
        </w:rPr>
      </w:pPr>
      <w:r>
        <w:rPr>
          <w:rFonts w:hint="eastAsia"/>
          <w:color w:val="auto"/>
          <w:highlight w:val="none"/>
          <w:lang w:val="en-US" w:eastAsia="zh-CN"/>
        </w:rPr>
        <w:t xml:space="preserve">9. </w:t>
      </w:r>
      <w:r>
        <w:rPr>
          <w:rFonts w:hint="eastAsia"/>
          <w:color w:val="auto"/>
          <w:highlight w:val="none"/>
        </w:rPr>
        <w:t>报价要求</w:t>
      </w:r>
    </w:p>
    <w:p w14:paraId="7FFFEAAD">
      <w:pPr>
        <w:bidi w:val="0"/>
        <w:rPr>
          <w:rFonts w:hint="eastAsia"/>
          <w:color w:val="auto"/>
          <w:highlight w:val="none"/>
        </w:rPr>
      </w:pPr>
      <w:r>
        <w:rPr>
          <w:rFonts w:hint="eastAsia"/>
          <w:color w:val="auto"/>
          <w:highlight w:val="none"/>
        </w:rPr>
        <w:t>参选人应严格按照《参选文件格式》的“报价一览表”和“分项报价明细表”的格式认真填写。</w:t>
      </w:r>
    </w:p>
    <w:p w14:paraId="04C5B338">
      <w:pPr>
        <w:pStyle w:val="4"/>
        <w:bidi w:val="0"/>
        <w:rPr>
          <w:color w:val="auto"/>
          <w:highlight w:val="none"/>
        </w:rPr>
      </w:pPr>
      <w:bookmarkStart w:id="59" w:name="_Toc15059426"/>
      <w:bookmarkStart w:id="60" w:name="_Toc89675152"/>
      <w:r>
        <w:rPr>
          <w:rFonts w:hint="eastAsia"/>
          <w:color w:val="auto"/>
          <w:highlight w:val="none"/>
          <w:lang w:val="en-US" w:eastAsia="zh-CN"/>
        </w:rPr>
        <w:t xml:space="preserve">10. </w:t>
      </w:r>
      <w:r>
        <w:rPr>
          <w:rFonts w:hint="eastAsia"/>
          <w:color w:val="auto"/>
          <w:highlight w:val="none"/>
        </w:rPr>
        <w:t>知识产权</w:t>
      </w:r>
      <w:bookmarkEnd w:id="59"/>
      <w:bookmarkEnd w:id="60"/>
    </w:p>
    <w:p w14:paraId="32698A19">
      <w:pPr>
        <w:rPr>
          <w:rFonts w:hint="eastAsia"/>
          <w:color w:val="auto"/>
          <w:highlight w:val="none"/>
          <w:lang w:val="en-US" w:eastAsia="zh-CN"/>
        </w:rPr>
      </w:pPr>
      <w:bookmarkStart w:id="61" w:name="_Toc15059427"/>
      <w:bookmarkStart w:id="62" w:name="_Toc89675153"/>
      <w:r>
        <w:rPr>
          <w:rFonts w:hint="eastAsia"/>
          <w:color w:val="auto"/>
          <w:highlight w:val="none"/>
          <w:lang w:val="en-US" w:eastAsia="zh-CN"/>
        </w:rPr>
        <w:t>中选人向行方提供的任何产品（包括但不限于：设备硬件、设备软件、设备配件、设备本身等）和服务不存在侵犯任何其他方知识产权或专利权的情形；如行方因此遭受任何第三方的起诉或索赔，中选人承诺主动与起诉方或索赔方进行交涉，为行方的应诉或处理索赔事宜支付费用，支付行方因败诉或被索赔应偿付的赔偿款，并对行方由此造成的全部损失进行赔偿。【提供知识产权承诺函】</w:t>
      </w:r>
    </w:p>
    <w:p w14:paraId="622CBF30">
      <w:pPr>
        <w:pStyle w:val="4"/>
        <w:bidi w:val="0"/>
        <w:rPr>
          <w:color w:val="auto"/>
          <w:highlight w:val="none"/>
        </w:rPr>
      </w:pPr>
      <w:r>
        <w:rPr>
          <w:rFonts w:hint="eastAsia"/>
          <w:color w:val="auto"/>
          <w:highlight w:val="none"/>
          <w:lang w:val="en-US" w:eastAsia="zh-CN"/>
        </w:rPr>
        <w:t xml:space="preserve">11. </w:t>
      </w:r>
      <w:r>
        <w:rPr>
          <w:rFonts w:hint="eastAsia"/>
          <w:color w:val="auto"/>
          <w:highlight w:val="none"/>
        </w:rPr>
        <w:t>其他</w:t>
      </w:r>
      <w:bookmarkEnd w:id="61"/>
      <w:bookmarkEnd w:id="62"/>
    </w:p>
    <w:p w14:paraId="7C5AE26E">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.1 参选人必须在响应承诺函中对本章内容做出整体性响应和承诺，承诺内容必须达到本章及比选文件其他条款的要求。</w:t>
      </w:r>
    </w:p>
    <w:p w14:paraId="7B0662DF">
      <w:pPr>
        <w:rPr>
          <w:rFonts w:eastAsia="宋体"/>
          <w:color w:val="auto"/>
          <w:highlight w:val="none"/>
          <w:lang w:val="en-US" w:eastAsia="zh-CN"/>
        </w:rPr>
      </w:pPr>
      <w:r>
        <w:rPr>
          <w:rFonts w:hint="eastAsia"/>
          <w:color w:val="auto"/>
          <w:highlight w:val="none"/>
          <w:lang w:val="en-US" w:eastAsia="zh-CN"/>
        </w:rPr>
        <w:t>11.2 参选人必须在技术条款偏离表中对本章第3条“技术要求”表格中内容逐条响应，内容齐全、无遗漏。</w:t>
      </w:r>
    </w:p>
    <w:p w14:paraId="7B567F01">
      <w:pPr>
        <w:rPr>
          <w:rFonts w:hint="eastAsia"/>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3</w:t>
      </w:r>
      <w:r>
        <w:rPr>
          <w:rFonts w:hint="eastAsia"/>
          <w:color w:val="auto"/>
          <w:highlight w:val="none"/>
        </w:rPr>
        <w:t xml:space="preserve"> 参选人应根据本章内容和要求，提供对应</w:t>
      </w:r>
      <w:r>
        <w:rPr>
          <w:rFonts w:hint="eastAsia"/>
          <w:color w:val="auto"/>
          <w:highlight w:val="none"/>
          <w:lang w:val="en-US" w:eastAsia="zh-CN"/>
        </w:rPr>
        <w:t>资料</w:t>
      </w:r>
      <w:r>
        <w:rPr>
          <w:rFonts w:hint="eastAsia"/>
          <w:color w:val="auto"/>
          <w:highlight w:val="none"/>
        </w:rPr>
        <w:t>，无遗漏。</w:t>
      </w:r>
    </w:p>
    <w:p w14:paraId="551DA64F">
      <w:pPr>
        <w:rPr>
          <w:rFonts w:hint="eastAsia"/>
          <w:color w:val="auto"/>
          <w:highlight w:val="none"/>
        </w:rPr>
      </w:pPr>
      <w:r>
        <w:rPr>
          <w:rFonts w:hint="eastAsia"/>
          <w:color w:val="auto"/>
          <w:highlight w:val="none"/>
        </w:rPr>
        <w:t>11.</w:t>
      </w:r>
      <w:r>
        <w:rPr>
          <w:rFonts w:hint="eastAsia"/>
          <w:color w:val="auto"/>
          <w:highlight w:val="none"/>
          <w:lang w:val="en-US" w:eastAsia="zh-CN"/>
        </w:rPr>
        <w:t>4</w:t>
      </w:r>
      <w:r>
        <w:rPr>
          <w:rFonts w:hint="eastAsia"/>
          <w:color w:val="auto"/>
          <w:highlight w:val="none"/>
        </w:rPr>
        <w:t xml:space="preserve"> 其他未尽事宜由供需双方在合同中详细约定。</w:t>
      </w:r>
    </w:p>
    <w:p w14:paraId="3BCCF08D">
      <w:pPr>
        <w:snapToGrid w:val="0"/>
        <w:spacing w:line="360" w:lineRule="auto"/>
        <w:ind w:firstLine="480" w:firstLineChars="200"/>
        <w:rPr>
          <w:rFonts w:hint="eastAsia" w:ascii="宋体" w:cs="宋体"/>
          <w:snapToGrid w:val="0"/>
          <w:color w:val="auto"/>
          <w:kern w:val="0"/>
          <w:sz w:val="24"/>
          <w:szCs w:val="24"/>
          <w:highlight w:val="none"/>
          <w:lang w:val="en-US" w:eastAsia="zh-CN"/>
        </w:rPr>
      </w:pPr>
    </w:p>
    <w:p w14:paraId="0E3FB097">
      <w:pPr>
        <w:snapToGrid w:val="0"/>
        <w:spacing w:line="360" w:lineRule="auto"/>
        <w:ind w:firstLine="480" w:firstLineChars="200"/>
        <w:rPr>
          <w:rFonts w:hint="eastAsia" w:ascii="宋体" w:cs="宋体"/>
          <w:snapToGrid w:val="0"/>
          <w:color w:val="auto"/>
          <w:kern w:val="0"/>
          <w:sz w:val="24"/>
          <w:szCs w:val="24"/>
          <w:highlight w:val="none"/>
          <w:lang w:val="en-US" w:eastAsia="zh-CN"/>
        </w:rPr>
      </w:pPr>
      <w:r>
        <w:rPr>
          <w:rFonts w:hint="eastAsia" w:ascii="宋体" w:cs="宋体"/>
          <w:snapToGrid w:val="0"/>
          <w:color w:val="auto"/>
          <w:kern w:val="0"/>
          <w:sz w:val="24"/>
          <w:szCs w:val="24"/>
          <w:highlight w:val="none"/>
          <w:lang w:val="en-US" w:eastAsia="zh-CN"/>
        </w:rPr>
        <w:br w:type="page"/>
      </w:r>
    </w:p>
    <w:p w14:paraId="43242872">
      <w:pPr>
        <w:pStyle w:val="3"/>
        <w:spacing w:before="0"/>
        <w:ind w:right="0"/>
        <w:rPr>
          <w:rFonts w:hint="eastAsia"/>
          <w:color w:val="auto"/>
          <w:highlight w:val="none"/>
          <w:lang w:val="en-US" w:eastAsia="zh-CN"/>
        </w:rPr>
      </w:pPr>
      <w:bookmarkStart w:id="63" w:name="_Toc29189"/>
      <w:bookmarkStart w:id="64" w:name="_Toc28759"/>
      <w:r>
        <w:rPr>
          <w:rFonts w:hint="eastAsia"/>
          <w:color w:val="auto"/>
          <w:highlight w:val="none"/>
          <w:lang w:val="en-US" w:eastAsia="zh-CN"/>
        </w:rPr>
        <w:t>第四章 评审办法（综合评估法）</w:t>
      </w:r>
      <w:bookmarkEnd w:id="63"/>
      <w:bookmarkEnd w:id="64"/>
    </w:p>
    <w:p w14:paraId="55F189DF">
      <w:pPr>
        <w:bidi w:val="0"/>
        <w:rPr>
          <w:rFonts w:hint="eastAsia"/>
          <w:b/>
          <w:bCs/>
          <w:color w:val="auto"/>
          <w:highlight w:val="none"/>
        </w:rPr>
      </w:pPr>
      <w:bookmarkStart w:id="65" w:name="_Toc14810"/>
      <w:bookmarkStart w:id="66" w:name="_Toc27076"/>
      <w:bookmarkStart w:id="67" w:name="_Toc11471"/>
      <w:bookmarkStart w:id="68" w:name="_Toc2028"/>
      <w:r>
        <w:rPr>
          <w:rFonts w:hint="eastAsia"/>
          <w:b/>
          <w:bCs/>
          <w:color w:val="auto"/>
          <w:highlight w:val="none"/>
        </w:rPr>
        <w:t>评审办法前附表</w:t>
      </w:r>
      <w:bookmarkEnd w:id="65"/>
      <w:bookmarkEnd w:id="66"/>
      <w:bookmarkEnd w:id="67"/>
      <w:bookmarkEnd w:id="68"/>
    </w:p>
    <w:p w14:paraId="65A616CB">
      <w:pPr>
        <w:spacing w:line="360" w:lineRule="auto"/>
        <w:ind w:firstLine="480" w:firstLineChars="200"/>
        <w:rPr>
          <w:color w:val="auto"/>
          <w:highlight w:val="none"/>
        </w:rPr>
      </w:pPr>
      <w:r>
        <w:rPr>
          <w:rFonts w:ascii="宋体" w:hAnsi="宋体"/>
          <w:color w:val="auto"/>
          <w:szCs w:val="21"/>
          <w:highlight w:val="none"/>
        </w:rPr>
        <w:t>若</w:t>
      </w:r>
      <w:r>
        <w:rPr>
          <w:rFonts w:hint="eastAsia" w:ascii="宋体" w:hAnsi="宋体"/>
          <w:color w:val="auto"/>
          <w:szCs w:val="21"/>
          <w:highlight w:val="none"/>
        </w:rPr>
        <w:t>评审办法前附表</w:t>
      </w:r>
      <w:r>
        <w:rPr>
          <w:rFonts w:ascii="宋体" w:hAnsi="宋体"/>
          <w:color w:val="auto"/>
          <w:szCs w:val="21"/>
          <w:highlight w:val="none"/>
        </w:rPr>
        <w:t>与正文不一致的地方，以</w:t>
      </w:r>
      <w:r>
        <w:rPr>
          <w:rFonts w:hint="eastAsia" w:ascii="宋体" w:hAnsi="宋体"/>
          <w:color w:val="auto"/>
          <w:szCs w:val="21"/>
          <w:highlight w:val="none"/>
        </w:rPr>
        <w:t>评审办法前附表</w:t>
      </w:r>
      <w:r>
        <w:rPr>
          <w:rFonts w:ascii="宋体" w:hAnsi="宋体"/>
          <w:color w:val="auto"/>
          <w:szCs w:val="21"/>
          <w:highlight w:val="none"/>
        </w:rPr>
        <w:t>为准。</w:t>
      </w:r>
    </w:p>
    <w:tbl>
      <w:tblPr>
        <w:tblStyle w:val="1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49"/>
        <w:gridCol w:w="1530"/>
        <w:gridCol w:w="714"/>
        <w:gridCol w:w="486"/>
        <w:gridCol w:w="5165"/>
      </w:tblGrid>
      <w:tr w14:paraId="62D2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A0E163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bookmarkStart w:id="69" w:name="CQZH1_07"/>
            <w:r>
              <w:rPr>
                <w:rFonts w:hint="eastAsia" w:ascii="宋体" w:hAnsi="宋体" w:cs="宋体"/>
                <w:b/>
                <w:color w:val="auto"/>
                <w:kern w:val="0"/>
                <w:sz w:val="21"/>
                <w:szCs w:val="21"/>
                <w:highlight w:val="none"/>
              </w:rPr>
              <w:t>条款号</w:t>
            </w:r>
          </w:p>
        </w:tc>
        <w:tc>
          <w:tcPr>
            <w:tcW w:w="749" w:type="dxa"/>
            <w:vAlign w:val="center"/>
          </w:tcPr>
          <w:p w14:paraId="7814F6C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7895" w:type="dxa"/>
            <w:gridSpan w:val="4"/>
            <w:vAlign w:val="center"/>
          </w:tcPr>
          <w:p w14:paraId="07AFF9E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4F9E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5876BFBE">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w:t>
            </w:r>
          </w:p>
        </w:tc>
        <w:tc>
          <w:tcPr>
            <w:tcW w:w="749" w:type="dxa"/>
            <w:tcBorders>
              <w:top w:val="single" w:color="auto" w:sz="4" w:space="0"/>
              <w:left w:val="single" w:color="auto" w:sz="4" w:space="0"/>
              <w:right w:val="single" w:color="auto" w:sz="4" w:space="0"/>
            </w:tcBorders>
            <w:vAlign w:val="center"/>
          </w:tcPr>
          <w:p w14:paraId="783CCF5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color w:val="auto"/>
                <w:kern w:val="0"/>
                <w:sz w:val="21"/>
                <w:szCs w:val="21"/>
                <w:highlight w:val="none"/>
                <w:lang w:val="en-US" w:eastAsia="zh-CN" w:bidi="ar-SA"/>
              </w:rPr>
            </w:pPr>
            <w:r>
              <w:rPr>
                <w:rFonts w:hint="eastAsia" w:ascii="Times New Roman" w:hAnsi="Times New Roman" w:cs="Times New Roman"/>
                <w:color w:val="auto"/>
                <w:sz w:val="21"/>
                <w:szCs w:val="21"/>
                <w:highlight w:val="none"/>
              </w:rPr>
              <w:t>评</w:t>
            </w:r>
            <w:r>
              <w:rPr>
                <w:rFonts w:hint="eastAsia" w:ascii="Times New Roman" w:hAnsi="Times New Roman" w:cs="Times New Roman"/>
                <w:color w:val="auto"/>
                <w:sz w:val="21"/>
                <w:szCs w:val="21"/>
                <w:highlight w:val="none"/>
                <w:lang w:val="en-US" w:eastAsia="zh-CN"/>
              </w:rPr>
              <w:t>审</w:t>
            </w:r>
            <w:r>
              <w:rPr>
                <w:rFonts w:hint="eastAsia" w:ascii="Times New Roman" w:hAnsi="Times New Roman" w:cs="Times New Roman"/>
                <w:color w:val="auto"/>
                <w:sz w:val="21"/>
                <w:szCs w:val="21"/>
                <w:highlight w:val="none"/>
              </w:rPr>
              <w:t>办法</w:t>
            </w:r>
          </w:p>
        </w:tc>
        <w:tc>
          <w:tcPr>
            <w:tcW w:w="7895" w:type="dxa"/>
            <w:gridSpan w:val="4"/>
            <w:vAlign w:val="center"/>
          </w:tcPr>
          <w:p w14:paraId="3CE4BA7C">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cs="Times New Roman"/>
                <w:color w:val="auto"/>
                <w:kern w:val="0"/>
                <w:sz w:val="21"/>
                <w:szCs w:val="24"/>
                <w:highlight w:val="none"/>
                <w:lang w:val="en-US" w:eastAsia="zh-CN"/>
              </w:rPr>
              <w:t>本次评审采用综合评估法。评审委员会按照评审办法前附表第2.2 条规定的评分标准进行打分，</w:t>
            </w:r>
            <w:r>
              <w:rPr>
                <w:rFonts w:hint="eastAsia" w:ascii="宋体" w:hAnsi="宋体" w:cs="Times New Roman"/>
                <w:color w:val="auto"/>
                <w:spacing w:val="4"/>
                <w:kern w:val="0"/>
                <w:sz w:val="21"/>
                <w:szCs w:val="21"/>
                <w:highlight w:val="none"/>
                <w:lang w:val="en-US" w:eastAsia="zh-CN"/>
              </w:rPr>
              <w:t>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w:t>
            </w:r>
            <w:r>
              <w:rPr>
                <w:rFonts w:hint="eastAsia" w:ascii="宋体" w:hAnsi="宋体" w:cs="Times New Roman"/>
                <w:color w:val="auto"/>
                <w:kern w:val="0"/>
                <w:sz w:val="21"/>
                <w:szCs w:val="24"/>
                <w:highlight w:val="none"/>
              </w:rPr>
              <w:t>中，</w:t>
            </w:r>
            <w:r>
              <w:rPr>
                <w:rFonts w:hint="eastAsia" w:ascii="宋体" w:hAnsi="宋体" w:cs="Times New Roman"/>
                <w:color w:val="auto"/>
                <w:kern w:val="0"/>
                <w:sz w:val="21"/>
                <w:szCs w:val="24"/>
                <w:highlight w:val="none"/>
                <w:lang w:val="en-US" w:eastAsia="zh-CN"/>
              </w:rPr>
              <w:t>按得分由高到低顺序推荐1-3名中选候选人，但参选报价低于其成本的除外。综合评分相等时，以参选报价低的优先；参选报价也相等的，由评审委员会按照本地装机规模多的优先原则排序。</w:t>
            </w:r>
          </w:p>
        </w:tc>
      </w:tr>
      <w:tr w14:paraId="0759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7DBABD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2.1</w:t>
            </w:r>
          </w:p>
        </w:tc>
        <w:tc>
          <w:tcPr>
            <w:tcW w:w="749" w:type="dxa"/>
            <w:tcBorders>
              <w:top w:val="single" w:color="auto" w:sz="4" w:space="0"/>
              <w:left w:val="single" w:color="auto" w:sz="4" w:space="0"/>
              <w:right w:val="single" w:color="auto" w:sz="4" w:space="0"/>
            </w:tcBorders>
            <w:vAlign w:val="center"/>
          </w:tcPr>
          <w:p w14:paraId="57C8EB6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Times New Roman"/>
                <w:color w:val="auto"/>
                <w:kern w:val="0"/>
                <w:sz w:val="21"/>
                <w:szCs w:val="24"/>
                <w:highlight w:val="none"/>
                <w:lang w:val="en-US" w:eastAsia="zh-CN" w:bidi="ar-SA"/>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895" w:type="dxa"/>
            <w:gridSpan w:val="4"/>
            <w:vAlign w:val="center"/>
          </w:tcPr>
          <w:p w14:paraId="56B6A0F0">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14:paraId="5897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FF78DA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color w:val="auto"/>
                <w:kern w:val="0"/>
                <w:sz w:val="21"/>
                <w:szCs w:val="21"/>
                <w:highlight w:val="none"/>
              </w:rPr>
              <w:t>2.1.1</w:t>
            </w:r>
          </w:p>
        </w:tc>
        <w:tc>
          <w:tcPr>
            <w:tcW w:w="749" w:type="dxa"/>
            <w:tcBorders>
              <w:top w:val="single" w:color="auto" w:sz="4" w:space="0"/>
              <w:left w:val="single" w:color="auto" w:sz="4" w:space="0"/>
              <w:right w:val="single" w:color="auto" w:sz="4" w:space="0"/>
            </w:tcBorders>
            <w:vAlign w:val="center"/>
          </w:tcPr>
          <w:p w14:paraId="36CCEE8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rPr>
              <w:t>资格评审标准</w:t>
            </w:r>
          </w:p>
        </w:tc>
        <w:tc>
          <w:tcPr>
            <w:tcW w:w="1530" w:type="dxa"/>
            <w:tcBorders>
              <w:top w:val="single" w:color="auto" w:sz="4" w:space="0"/>
              <w:left w:val="single" w:color="auto" w:sz="4" w:space="0"/>
              <w:right w:val="single" w:color="auto" w:sz="4" w:space="0"/>
            </w:tcBorders>
            <w:vAlign w:val="center"/>
          </w:tcPr>
          <w:p w14:paraId="5F1934FB">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Times New Roman"/>
                <w:color w:val="auto"/>
                <w:kern w:val="0"/>
                <w:sz w:val="21"/>
                <w:szCs w:val="24"/>
                <w:highlight w:val="none"/>
                <w:lang w:val="en-US" w:eastAsia="zh-CN" w:bidi="ar-SA"/>
              </w:rPr>
            </w:pPr>
            <w:r>
              <w:rPr>
                <w:rFonts w:hint="eastAsia" w:ascii="宋体" w:hAnsi="宋体" w:eastAsia="宋体" w:cs="宋体"/>
                <w:color w:val="auto"/>
                <w:kern w:val="0"/>
                <w:sz w:val="21"/>
                <w:szCs w:val="21"/>
                <w:highlight w:val="none"/>
                <w:lang w:val="en-US" w:eastAsia="zh-CN"/>
              </w:rPr>
              <w:t>资格条件要求</w:t>
            </w:r>
          </w:p>
        </w:tc>
        <w:tc>
          <w:tcPr>
            <w:tcW w:w="6365" w:type="dxa"/>
            <w:gridSpan w:val="3"/>
            <w:vAlign w:val="center"/>
          </w:tcPr>
          <w:p w14:paraId="71286B76">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Times New Roman"/>
                <w:color w:val="auto"/>
                <w:kern w:val="0"/>
                <w:sz w:val="21"/>
                <w:szCs w:val="24"/>
                <w:highlight w:val="none"/>
                <w:lang w:val="en-US" w:eastAsia="zh-CN"/>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一</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val="en-US" w:eastAsia="zh-CN"/>
              </w:rPr>
              <w:t xml:space="preserve">2. </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lang w:val="en-US" w:eastAsia="zh-CN"/>
              </w:rPr>
              <w:t>资格要求</w:t>
            </w:r>
            <w:r>
              <w:rPr>
                <w:rFonts w:hint="eastAsia" w:ascii="宋体" w:hAnsi="宋体" w:cs="宋体"/>
                <w:color w:val="auto"/>
                <w:kern w:val="0"/>
                <w:sz w:val="21"/>
                <w:szCs w:val="21"/>
                <w:highlight w:val="none"/>
              </w:rPr>
              <w:t>”规定</w:t>
            </w:r>
          </w:p>
        </w:tc>
      </w:tr>
      <w:tr w14:paraId="1DA0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41DCDA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2.1.2</w:t>
            </w:r>
          </w:p>
        </w:tc>
        <w:tc>
          <w:tcPr>
            <w:tcW w:w="749" w:type="dxa"/>
            <w:vMerge w:val="restart"/>
            <w:tcBorders>
              <w:top w:val="single" w:color="auto" w:sz="4" w:space="0"/>
              <w:left w:val="single" w:color="auto" w:sz="4" w:space="0"/>
              <w:right w:val="single" w:color="auto" w:sz="4" w:space="0"/>
            </w:tcBorders>
            <w:vAlign w:val="center"/>
          </w:tcPr>
          <w:p w14:paraId="73ECBFB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Times New Roman"/>
                <w:color w:val="auto"/>
                <w:kern w:val="0"/>
                <w:sz w:val="21"/>
                <w:szCs w:val="24"/>
                <w:highlight w:val="none"/>
              </w:rPr>
            </w:pPr>
            <w:r>
              <w:rPr>
                <w:rFonts w:hint="eastAsia" w:ascii="宋体" w:hAnsi="宋体" w:cs="Times New Roman"/>
                <w:color w:val="auto"/>
                <w:kern w:val="0"/>
                <w:sz w:val="21"/>
                <w:szCs w:val="24"/>
                <w:highlight w:val="none"/>
                <w:lang w:val="en-US" w:eastAsia="zh-CN"/>
              </w:rPr>
              <w:t>形式</w:t>
            </w:r>
            <w:r>
              <w:rPr>
                <w:rFonts w:hint="eastAsia" w:ascii="宋体" w:hAnsi="宋体" w:cs="Times New Roman"/>
                <w:color w:val="auto"/>
                <w:kern w:val="0"/>
                <w:sz w:val="21"/>
                <w:szCs w:val="24"/>
                <w:highlight w:val="none"/>
              </w:rPr>
              <w:t>评审标准</w:t>
            </w:r>
          </w:p>
        </w:tc>
        <w:tc>
          <w:tcPr>
            <w:tcW w:w="1530" w:type="dxa"/>
            <w:tcBorders>
              <w:top w:val="single" w:color="auto" w:sz="4" w:space="0"/>
              <w:left w:val="single" w:color="auto" w:sz="4" w:space="0"/>
              <w:right w:val="single" w:color="auto" w:sz="4" w:space="0"/>
            </w:tcBorders>
            <w:vAlign w:val="center"/>
          </w:tcPr>
          <w:p w14:paraId="4211FF7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名称</w:t>
            </w:r>
          </w:p>
        </w:tc>
        <w:tc>
          <w:tcPr>
            <w:tcW w:w="6365" w:type="dxa"/>
            <w:gridSpan w:val="3"/>
            <w:vAlign w:val="center"/>
          </w:tcPr>
          <w:p w14:paraId="2BE4AB00">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与营业执照</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资格证明材料</w:t>
            </w:r>
            <w:r>
              <w:rPr>
                <w:rFonts w:hint="eastAsia" w:ascii="宋体" w:hAnsi="宋体" w:cs="宋体"/>
                <w:color w:val="auto"/>
                <w:kern w:val="0"/>
                <w:sz w:val="21"/>
                <w:szCs w:val="21"/>
                <w:highlight w:val="none"/>
              </w:rPr>
              <w:t>一致</w:t>
            </w:r>
          </w:p>
        </w:tc>
      </w:tr>
      <w:tr w14:paraId="4C22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F50D546">
            <w:pPr>
              <w:rPr>
                <w:color w:val="auto"/>
                <w:highlight w:val="none"/>
              </w:rPr>
            </w:pPr>
          </w:p>
        </w:tc>
        <w:tc>
          <w:tcPr>
            <w:tcW w:w="749" w:type="dxa"/>
            <w:vMerge w:val="continue"/>
            <w:tcBorders>
              <w:top w:val="single" w:color="auto" w:sz="4" w:space="0"/>
              <w:left w:val="single" w:color="auto" w:sz="4" w:space="0"/>
              <w:right w:val="single" w:color="auto" w:sz="4" w:space="0"/>
            </w:tcBorders>
            <w:textDirection w:val="tbRlV"/>
            <w:vAlign w:val="center"/>
          </w:tcPr>
          <w:p w14:paraId="6AE7E8CD">
            <w:pPr>
              <w:rPr>
                <w:color w:val="auto"/>
                <w:highlight w:val="none"/>
              </w:rPr>
            </w:pPr>
          </w:p>
        </w:tc>
        <w:tc>
          <w:tcPr>
            <w:tcW w:w="1530" w:type="dxa"/>
            <w:tcBorders>
              <w:top w:val="single" w:color="auto" w:sz="4" w:space="0"/>
              <w:left w:val="single" w:color="auto" w:sz="4" w:space="0"/>
              <w:right w:val="single" w:color="auto" w:sz="4" w:space="0"/>
            </w:tcBorders>
            <w:vAlign w:val="center"/>
          </w:tcPr>
          <w:p w14:paraId="7D9BA19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参选文件</w:t>
            </w:r>
            <w:r>
              <w:rPr>
                <w:rFonts w:hint="eastAsia" w:ascii="宋体" w:hAnsi="宋体" w:cs="宋体"/>
                <w:color w:val="auto"/>
                <w:kern w:val="0"/>
                <w:sz w:val="21"/>
                <w:szCs w:val="21"/>
                <w:highlight w:val="none"/>
              </w:rPr>
              <w:t>的签字盖章</w:t>
            </w:r>
          </w:p>
        </w:tc>
        <w:tc>
          <w:tcPr>
            <w:tcW w:w="6365" w:type="dxa"/>
            <w:gridSpan w:val="3"/>
            <w:vAlign w:val="center"/>
          </w:tcPr>
          <w:p w14:paraId="1CDCABBD">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4.5 条</w:t>
            </w:r>
            <w:r>
              <w:rPr>
                <w:rFonts w:hint="eastAsia" w:ascii="宋体" w:hAnsi="宋体" w:cs="宋体"/>
                <w:color w:val="auto"/>
                <w:kern w:val="0"/>
                <w:sz w:val="21"/>
                <w:szCs w:val="21"/>
                <w:highlight w:val="none"/>
              </w:rPr>
              <w:t>规定</w:t>
            </w:r>
          </w:p>
        </w:tc>
      </w:tr>
      <w:tr w14:paraId="13B43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5011E8F">
            <w:pPr>
              <w:rPr>
                <w:color w:val="auto"/>
                <w:highlight w:val="none"/>
              </w:rPr>
            </w:pPr>
          </w:p>
        </w:tc>
        <w:tc>
          <w:tcPr>
            <w:tcW w:w="749" w:type="dxa"/>
            <w:vMerge w:val="continue"/>
            <w:tcBorders>
              <w:top w:val="single" w:color="auto" w:sz="4" w:space="0"/>
              <w:left w:val="single" w:color="auto" w:sz="4" w:space="0"/>
              <w:right w:val="single" w:color="auto" w:sz="4" w:space="0"/>
            </w:tcBorders>
            <w:textDirection w:val="tbRlV"/>
            <w:vAlign w:val="center"/>
          </w:tcPr>
          <w:p w14:paraId="5CA32E1A">
            <w:pPr>
              <w:rPr>
                <w:color w:val="auto"/>
                <w:highlight w:val="none"/>
              </w:rPr>
            </w:pPr>
          </w:p>
        </w:tc>
        <w:tc>
          <w:tcPr>
            <w:tcW w:w="1530" w:type="dxa"/>
            <w:tcBorders>
              <w:top w:val="single" w:color="auto" w:sz="4" w:space="0"/>
              <w:left w:val="single" w:color="auto" w:sz="4" w:space="0"/>
              <w:right w:val="single" w:color="auto" w:sz="4" w:space="0"/>
            </w:tcBorders>
            <w:vAlign w:val="center"/>
          </w:tcPr>
          <w:p w14:paraId="0066B1A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参选文件的密封</w:t>
            </w:r>
          </w:p>
        </w:tc>
        <w:tc>
          <w:tcPr>
            <w:tcW w:w="6365" w:type="dxa"/>
            <w:gridSpan w:val="3"/>
            <w:vAlign w:val="center"/>
          </w:tcPr>
          <w:p w14:paraId="3D6763BF">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4.6 条</w:t>
            </w:r>
            <w:r>
              <w:rPr>
                <w:rFonts w:hint="eastAsia" w:ascii="宋体" w:hAnsi="宋体" w:eastAsia="宋体" w:cs="宋体"/>
                <w:color w:val="auto"/>
                <w:kern w:val="0"/>
                <w:sz w:val="21"/>
                <w:szCs w:val="21"/>
                <w:highlight w:val="none"/>
              </w:rPr>
              <w:t>规定</w:t>
            </w:r>
          </w:p>
        </w:tc>
      </w:tr>
      <w:tr w14:paraId="2F7D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20DF535">
            <w:pPr>
              <w:rPr>
                <w:color w:val="auto"/>
                <w:highlight w:val="none"/>
              </w:rPr>
            </w:pPr>
          </w:p>
        </w:tc>
        <w:tc>
          <w:tcPr>
            <w:tcW w:w="749" w:type="dxa"/>
            <w:vMerge w:val="continue"/>
            <w:tcBorders>
              <w:top w:val="single" w:color="auto" w:sz="4" w:space="0"/>
              <w:left w:val="single" w:color="auto" w:sz="4" w:space="0"/>
              <w:right w:val="single" w:color="auto" w:sz="4" w:space="0"/>
            </w:tcBorders>
            <w:textDirection w:val="tbRlV"/>
            <w:vAlign w:val="center"/>
          </w:tcPr>
          <w:p w14:paraId="6BCBF8AB">
            <w:pPr>
              <w:rPr>
                <w:color w:val="auto"/>
                <w:highlight w:val="none"/>
              </w:rPr>
            </w:pPr>
          </w:p>
        </w:tc>
        <w:tc>
          <w:tcPr>
            <w:tcW w:w="1530" w:type="dxa"/>
            <w:tcBorders>
              <w:top w:val="single" w:color="auto" w:sz="4" w:space="0"/>
              <w:left w:val="single" w:color="auto" w:sz="4" w:space="0"/>
              <w:right w:val="single" w:color="auto" w:sz="4" w:space="0"/>
            </w:tcBorders>
            <w:vAlign w:val="center"/>
          </w:tcPr>
          <w:p w14:paraId="72CFF51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eastAsia="zh-CN"/>
              </w:rPr>
              <w:t>参选文件格式</w:t>
            </w:r>
          </w:p>
        </w:tc>
        <w:tc>
          <w:tcPr>
            <w:tcW w:w="6365" w:type="dxa"/>
            <w:gridSpan w:val="3"/>
            <w:vAlign w:val="center"/>
          </w:tcPr>
          <w:p w14:paraId="1BCA67C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符合第</w:t>
            </w:r>
            <w:r>
              <w:rPr>
                <w:rFonts w:hint="eastAsia" w:ascii="宋体" w:hAnsi="宋体" w:cs="宋体"/>
                <w:color w:val="auto"/>
                <w:kern w:val="0"/>
                <w:sz w:val="21"/>
                <w:szCs w:val="21"/>
                <w:highlight w:val="none"/>
                <w:lang w:val="en-US" w:eastAsia="zh-CN"/>
              </w:rPr>
              <w:t>六</w:t>
            </w:r>
            <w:r>
              <w:rPr>
                <w:rFonts w:hint="eastAsia" w:ascii="宋体" w:hAnsi="宋体" w:cs="宋体"/>
                <w:color w:val="auto"/>
                <w:kern w:val="0"/>
                <w:sz w:val="21"/>
                <w:szCs w:val="21"/>
                <w:highlight w:val="none"/>
              </w:rPr>
              <w:t>章“</w:t>
            </w: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lang w:val="en-US" w:eastAsia="zh-CN"/>
              </w:rPr>
              <w:t>文件格式</w:t>
            </w:r>
            <w:r>
              <w:rPr>
                <w:rFonts w:hint="eastAsia" w:ascii="宋体" w:hAnsi="宋体" w:cs="宋体"/>
                <w:color w:val="auto"/>
                <w:kern w:val="0"/>
                <w:sz w:val="21"/>
                <w:szCs w:val="21"/>
                <w:highlight w:val="none"/>
              </w:rPr>
              <w:t>”的要求</w:t>
            </w:r>
          </w:p>
        </w:tc>
      </w:tr>
      <w:tr w14:paraId="20A4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3F0D916">
            <w:pPr>
              <w:rPr>
                <w:color w:val="auto"/>
                <w:highlight w:val="none"/>
              </w:rPr>
            </w:pPr>
          </w:p>
        </w:tc>
        <w:tc>
          <w:tcPr>
            <w:tcW w:w="749" w:type="dxa"/>
            <w:vMerge w:val="continue"/>
            <w:tcBorders>
              <w:top w:val="single" w:color="auto" w:sz="4" w:space="0"/>
              <w:left w:val="single" w:color="auto" w:sz="4" w:space="0"/>
              <w:right w:val="single" w:color="auto" w:sz="4" w:space="0"/>
            </w:tcBorders>
            <w:textDirection w:val="tbRlV"/>
            <w:vAlign w:val="center"/>
          </w:tcPr>
          <w:p w14:paraId="468DB2DD">
            <w:pPr>
              <w:rPr>
                <w:color w:val="auto"/>
                <w:highlight w:val="none"/>
              </w:rPr>
            </w:pPr>
          </w:p>
        </w:tc>
        <w:tc>
          <w:tcPr>
            <w:tcW w:w="1530" w:type="dxa"/>
            <w:tcBorders>
              <w:top w:val="single" w:color="auto" w:sz="4" w:space="0"/>
              <w:left w:val="single" w:color="auto" w:sz="4" w:space="0"/>
              <w:right w:val="single" w:color="auto" w:sz="4" w:space="0"/>
            </w:tcBorders>
            <w:vAlign w:val="center"/>
          </w:tcPr>
          <w:p w14:paraId="602E36F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参选文件组成</w:t>
            </w:r>
          </w:p>
        </w:tc>
        <w:tc>
          <w:tcPr>
            <w:tcW w:w="6365" w:type="dxa"/>
            <w:gridSpan w:val="3"/>
            <w:vAlign w:val="center"/>
          </w:tcPr>
          <w:p w14:paraId="18AEE87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4.1 条</w:t>
            </w:r>
            <w:r>
              <w:rPr>
                <w:rFonts w:hint="eastAsia" w:ascii="宋体" w:hAnsi="宋体" w:eastAsia="宋体" w:cs="宋体"/>
                <w:color w:val="auto"/>
                <w:kern w:val="0"/>
                <w:sz w:val="21"/>
                <w:szCs w:val="21"/>
                <w:highlight w:val="none"/>
              </w:rPr>
              <w:t>规定</w:t>
            </w:r>
            <w:r>
              <w:rPr>
                <w:rFonts w:hint="eastAsia" w:ascii="宋体" w:hAnsi="宋体" w:cs="宋体"/>
                <w:color w:val="auto"/>
                <w:kern w:val="0"/>
                <w:sz w:val="21"/>
                <w:szCs w:val="21"/>
                <w:highlight w:val="none"/>
                <w:lang w:eastAsia="zh-CN"/>
              </w:rPr>
              <w:t>，</w:t>
            </w:r>
            <w:r>
              <w:rPr>
                <w:rFonts w:hint="eastAsia" w:ascii="宋体" w:cs="宋体"/>
                <w:color w:val="auto"/>
                <w:kern w:val="0"/>
                <w:sz w:val="20"/>
                <w:highlight w:val="none"/>
              </w:rPr>
              <w:t>内容齐全、无遗漏</w:t>
            </w:r>
          </w:p>
        </w:tc>
      </w:tr>
      <w:tr w14:paraId="7288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0DC6D85E">
            <w:pPr>
              <w:rPr>
                <w:color w:val="auto"/>
                <w:highlight w:val="none"/>
              </w:rPr>
            </w:pPr>
          </w:p>
        </w:tc>
        <w:tc>
          <w:tcPr>
            <w:tcW w:w="749" w:type="dxa"/>
            <w:vMerge w:val="continue"/>
            <w:tcBorders>
              <w:top w:val="single" w:color="auto" w:sz="4" w:space="0"/>
              <w:left w:val="single" w:color="auto" w:sz="4" w:space="0"/>
              <w:right w:val="single" w:color="auto" w:sz="4" w:space="0"/>
            </w:tcBorders>
            <w:textDirection w:val="tbRlV"/>
            <w:vAlign w:val="center"/>
          </w:tcPr>
          <w:p w14:paraId="7E3844DD">
            <w:pPr>
              <w:rPr>
                <w:color w:val="auto"/>
                <w:highlight w:val="none"/>
              </w:rPr>
            </w:pPr>
          </w:p>
        </w:tc>
        <w:tc>
          <w:tcPr>
            <w:tcW w:w="1530" w:type="dxa"/>
            <w:tcBorders>
              <w:top w:val="single" w:color="auto" w:sz="4" w:space="0"/>
              <w:left w:val="single" w:color="auto" w:sz="4" w:space="0"/>
              <w:right w:val="single" w:color="auto" w:sz="4" w:space="0"/>
            </w:tcBorders>
            <w:vAlign w:val="center"/>
          </w:tcPr>
          <w:p w14:paraId="17EE603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联合体参选</w:t>
            </w:r>
          </w:p>
        </w:tc>
        <w:tc>
          <w:tcPr>
            <w:tcW w:w="6365" w:type="dxa"/>
            <w:gridSpan w:val="3"/>
            <w:vAlign w:val="center"/>
          </w:tcPr>
          <w:p w14:paraId="3FA3F9C1">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符合第一章“2. 参选人资格要求”2.8 条的要求</w:t>
            </w:r>
          </w:p>
        </w:tc>
      </w:tr>
      <w:tr w14:paraId="631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23BBE52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2.1.3</w:t>
            </w:r>
          </w:p>
        </w:tc>
        <w:tc>
          <w:tcPr>
            <w:tcW w:w="749" w:type="dxa"/>
            <w:vMerge w:val="restart"/>
            <w:tcBorders>
              <w:top w:val="single" w:color="auto" w:sz="4" w:space="0"/>
              <w:left w:val="single" w:color="auto" w:sz="4" w:space="0"/>
              <w:right w:val="single" w:color="auto" w:sz="4" w:space="0"/>
            </w:tcBorders>
            <w:vAlign w:val="center"/>
          </w:tcPr>
          <w:p w14:paraId="52EE4181">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sz w:val="21"/>
                <w:szCs w:val="21"/>
                <w:highlight w:val="none"/>
              </w:rPr>
            </w:pPr>
            <w:r>
              <w:rPr>
                <w:rFonts w:hint="eastAsia" w:ascii="宋体" w:hAnsi="宋体" w:cs="宋体"/>
                <w:color w:val="auto"/>
                <w:kern w:val="0"/>
                <w:sz w:val="21"/>
                <w:szCs w:val="21"/>
                <w:highlight w:val="none"/>
              </w:rPr>
              <w:t>响应性评审标准</w:t>
            </w:r>
          </w:p>
        </w:tc>
        <w:tc>
          <w:tcPr>
            <w:tcW w:w="1530" w:type="dxa"/>
            <w:tcBorders>
              <w:top w:val="single" w:color="auto" w:sz="4" w:space="0"/>
              <w:left w:val="single" w:color="auto" w:sz="4" w:space="0"/>
              <w:right w:val="single" w:color="auto" w:sz="4" w:space="0"/>
            </w:tcBorders>
            <w:vAlign w:val="center"/>
          </w:tcPr>
          <w:p w14:paraId="7EAE72C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参选内容</w:t>
            </w:r>
          </w:p>
        </w:tc>
        <w:tc>
          <w:tcPr>
            <w:tcW w:w="6365" w:type="dxa"/>
            <w:gridSpan w:val="3"/>
            <w:vAlign w:val="center"/>
          </w:tcPr>
          <w:p w14:paraId="362664E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 在响应承诺函中对第三章“项目要求”内容做出整体承诺；</w:t>
            </w:r>
          </w:p>
          <w:p w14:paraId="59570754">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 根据第一章“2. </w:t>
            </w:r>
            <w:r>
              <w:rPr>
                <w:rFonts w:ascii="宋体" w:hAnsi="宋体" w:cs="宋体"/>
                <w:color w:val="auto"/>
                <w:kern w:val="0"/>
                <w:sz w:val="21"/>
                <w:szCs w:val="21"/>
                <w:highlight w:val="none"/>
                <w:lang w:val="en-US" w:eastAsia="zh-CN"/>
              </w:rPr>
              <w:t>参选人资格要求”和第三章“项目要求”的要求规定，提供对应</w:t>
            </w:r>
            <w:r>
              <w:rPr>
                <w:rFonts w:hint="eastAsia" w:ascii="宋体" w:hAnsi="宋体" w:cs="宋体"/>
                <w:color w:val="auto"/>
                <w:kern w:val="0"/>
                <w:sz w:val="21"/>
                <w:szCs w:val="21"/>
                <w:highlight w:val="none"/>
                <w:lang w:val="en-US" w:eastAsia="zh-CN"/>
              </w:rPr>
              <w:t>资料</w:t>
            </w:r>
            <w:r>
              <w:rPr>
                <w:rFonts w:ascii="宋体" w:hAnsi="宋体" w:cs="宋体"/>
                <w:color w:val="auto"/>
                <w:kern w:val="0"/>
                <w:sz w:val="21"/>
                <w:szCs w:val="21"/>
                <w:highlight w:val="none"/>
                <w:lang w:val="en-US" w:eastAsia="zh-CN"/>
              </w:rPr>
              <w:t>，内容齐全、无遗漏。</w:t>
            </w:r>
          </w:p>
          <w:p w14:paraId="2CB26E1B">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 根据第三章第3 条“技术要求”内容，提供技术条款偏离表，内容齐全、无遗漏，无负偏差。</w:t>
            </w:r>
          </w:p>
        </w:tc>
      </w:tr>
      <w:tr w14:paraId="656B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97F8472">
            <w:pPr>
              <w:rPr>
                <w:color w:val="auto"/>
                <w:highlight w:val="none"/>
              </w:rPr>
            </w:pPr>
          </w:p>
        </w:tc>
        <w:tc>
          <w:tcPr>
            <w:tcW w:w="749" w:type="dxa"/>
            <w:vMerge w:val="continue"/>
            <w:tcBorders>
              <w:top w:val="single" w:color="auto" w:sz="4" w:space="0"/>
              <w:left w:val="single" w:color="auto" w:sz="4" w:space="0"/>
              <w:right w:val="single" w:color="auto" w:sz="4" w:space="0"/>
            </w:tcBorders>
          </w:tcPr>
          <w:p w14:paraId="1D3BDC88">
            <w:pPr>
              <w:rPr>
                <w:color w:val="auto"/>
                <w:highlight w:val="none"/>
              </w:rPr>
            </w:pPr>
          </w:p>
        </w:tc>
        <w:tc>
          <w:tcPr>
            <w:tcW w:w="1530" w:type="dxa"/>
            <w:tcBorders>
              <w:top w:val="single" w:color="auto" w:sz="4" w:space="0"/>
              <w:left w:val="single" w:color="auto" w:sz="4" w:space="0"/>
              <w:right w:val="single" w:color="auto" w:sz="4" w:space="0"/>
            </w:tcBorders>
            <w:vAlign w:val="center"/>
          </w:tcPr>
          <w:p w14:paraId="4FB54B42">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参选文件份数</w:t>
            </w:r>
          </w:p>
        </w:tc>
        <w:tc>
          <w:tcPr>
            <w:tcW w:w="6365" w:type="dxa"/>
            <w:gridSpan w:val="3"/>
            <w:vAlign w:val="center"/>
          </w:tcPr>
          <w:p w14:paraId="2FF78C2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符合第二章“</w:t>
            </w:r>
            <w:r>
              <w:rPr>
                <w:rFonts w:hint="eastAsia" w:ascii="宋体" w:hAnsi="宋体" w:eastAsia="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 xml:space="preserve">4.5 </w:t>
            </w:r>
            <w:r>
              <w:rPr>
                <w:rFonts w:hint="eastAsia" w:ascii="宋体" w:hAnsi="宋体" w:eastAsia="宋体" w:cs="宋体"/>
                <w:color w:val="auto"/>
                <w:kern w:val="0"/>
                <w:sz w:val="21"/>
                <w:szCs w:val="21"/>
                <w:highlight w:val="none"/>
                <w:lang w:val="en-US" w:eastAsia="zh-CN"/>
              </w:rPr>
              <w:t>条</w:t>
            </w:r>
            <w:r>
              <w:rPr>
                <w:rFonts w:hint="eastAsia" w:ascii="宋体" w:hAnsi="宋体" w:eastAsia="宋体" w:cs="宋体"/>
                <w:color w:val="auto"/>
                <w:kern w:val="0"/>
                <w:sz w:val="21"/>
                <w:szCs w:val="21"/>
                <w:highlight w:val="none"/>
              </w:rPr>
              <w:t>规定</w:t>
            </w:r>
          </w:p>
        </w:tc>
      </w:tr>
      <w:tr w14:paraId="37B25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910B492">
            <w:pPr>
              <w:rPr>
                <w:color w:val="auto"/>
                <w:highlight w:val="none"/>
              </w:rPr>
            </w:pPr>
          </w:p>
        </w:tc>
        <w:tc>
          <w:tcPr>
            <w:tcW w:w="749" w:type="dxa"/>
            <w:vMerge w:val="continue"/>
            <w:tcBorders>
              <w:top w:val="single" w:color="auto" w:sz="4" w:space="0"/>
              <w:left w:val="single" w:color="auto" w:sz="4" w:space="0"/>
              <w:right w:val="single" w:color="auto" w:sz="4" w:space="0"/>
            </w:tcBorders>
          </w:tcPr>
          <w:p w14:paraId="2C679D2D">
            <w:pPr>
              <w:rPr>
                <w:color w:val="auto"/>
                <w:highlight w:val="none"/>
              </w:rPr>
            </w:pPr>
          </w:p>
        </w:tc>
        <w:tc>
          <w:tcPr>
            <w:tcW w:w="1530" w:type="dxa"/>
            <w:tcBorders>
              <w:top w:val="single" w:color="auto" w:sz="4" w:space="0"/>
              <w:left w:val="single" w:color="auto" w:sz="4" w:space="0"/>
              <w:right w:val="single" w:color="auto" w:sz="4" w:space="0"/>
            </w:tcBorders>
            <w:vAlign w:val="center"/>
          </w:tcPr>
          <w:p w14:paraId="03FB791C">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参选方案唯一</w:t>
            </w:r>
          </w:p>
        </w:tc>
        <w:tc>
          <w:tcPr>
            <w:tcW w:w="6365" w:type="dxa"/>
            <w:gridSpan w:val="3"/>
            <w:vAlign w:val="center"/>
          </w:tcPr>
          <w:p w14:paraId="60E91CFF">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只能有一个方案参选。</w:t>
            </w:r>
          </w:p>
        </w:tc>
      </w:tr>
      <w:tr w14:paraId="3E589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D9910D0">
            <w:pPr>
              <w:rPr>
                <w:color w:val="auto"/>
                <w:highlight w:val="none"/>
              </w:rPr>
            </w:pPr>
          </w:p>
        </w:tc>
        <w:tc>
          <w:tcPr>
            <w:tcW w:w="749" w:type="dxa"/>
            <w:vMerge w:val="continue"/>
            <w:tcBorders>
              <w:top w:val="single" w:color="auto" w:sz="4" w:space="0"/>
              <w:left w:val="single" w:color="auto" w:sz="4" w:space="0"/>
              <w:right w:val="single" w:color="auto" w:sz="4" w:space="0"/>
            </w:tcBorders>
          </w:tcPr>
          <w:p w14:paraId="3333569C">
            <w:pPr>
              <w:rPr>
                <w:color w:val="auto"/>
                <w:highlight w:val="none"/>
              </w:rPr>
            </w:pPr>
          </w:p>
        </w:tc>
        <w:tc>
          <w:tcPr>
            <w:tcW w:w="1530" w:type="dxa"/>
            <w:tcBorders>
              <w:top w:val="single" w:color="auto" w:sz="4" w:space="0"/>
              <w:left w:val="single" w:color="auto" w:sz="4" w:space="0"/>
              <w:right w:val="single" w:color="auto" w:sz="4" w:space="0"/>
            </w:tcBorders>
            <w:vAlign w:val="center"/>
          </w:tcPr>
          <w:p w14:paraId="1F36FB6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报价</w:t>
            </w:r>
          </w:p>
        </w:tc>
        <w:tc>
          <w:tcPr>
            <w:tcW w:w="6365" w:type="dxa"/>
            <w:gridSpan w:val="3"/>
            <w:vAlign w:val="center"/>
          </w:tcPr>
          <w:p w14:paraId="1F89D4D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4.7 条</w:t>
            </w:r>
            <w:r>
              <w:rPr>
                <w:rFonts w:hint="eastAsia" w:ascii="宋体" w:hAnsi="宋体" w:cs="宋体"/>
                <w:color w:val="auto"/>
                <w:kern w:val="0"/>
                <w:sz w:val="21"/>
                <w:szCs w:val="21"/>
                <w:highlight w:val="none"/>
              </w:rPr>
              <w:t>规定</w:t>
            </w:r>
          </w:p>
        </w:tc>
      </w:tr>
      <w:tr w14:paraId="5E5A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252FE46F">
            <w:pPr>
              <w:rPr>
                <w:color w:val="auto"/>
                <w:highlight w:val="none"/>
              </w:rPr>
            </w:pPr>
          </w:p>
        </w:tc>
        <w:tc>
          <w:tcPr>
            <w:tcW w:w="749" w:type="dxa"/>
            <w:vMerge w:val="continue"/>
            <w:tcBorders>
              <w:top w:val="single" w:color="auto" w:sz="4" w:space="0"/>
              <w:left w:val="single" w:color="auto" w:sz="4" w:space="0"/>
              <w:right w:val="single" w:color="auto" w:sz="4" w:space="0"/>
            </w:tcBorders>
          </w:tcPr>
          <w:p w14:paraId="1FBC70CF">
            <w:pPr>
              <w:rPr>
                <w:color w:val="auto"/>
                <w:highlight w:val="none"/>
              </w:rPr>
            </w:pPr>
          </w:p>
        </w:tc>
        <w:tc>
          <w:tcPr>
            <w:tcW w:w="1530" w:type="dxa"/>
            <w:tcBorders>
              <w:top w:val="single" w:color="auto" w:sz="4" w:space="0"/>
              <w:left w:val="single" w:color="auto" w:sz="4" w:space="0"/>
              <w:right w:val="single" w:color="auto" w:sz="4" w:space="0"/>
            </w:tcBorders>
            <w:vAlign w:val="center"/>
          </w:tcPr>
          <w:p w14:paraId="46F5D9BA">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参选</w:t>
            </w:r>
            <w:r>
              <w:rPr>
                <w:rFonts w:hint="eastAsia" w:ascii="宋体" w:hAnsi="宋体" w:cs="宋体"/>
                <w:color w:val="auto"/>
                <w:kern w:val="0"/>
                <w:sz w:val="21"/>
                <w:szCs w:val="21"/>
                <w:highlight w:val="none"/>
              </w:rPr>
              <w:t>有效期</w:t>
            </w:r>
          </w:p>
        </w:tc>
        <w:tc>
          <w:tcPr>
            <w:tcW w:w="6365" w:type="dxa"/>
            <w:gridSpan w:val="3"/>
          </w:tcPr>
          <w:p w14:paraId="5594A3FF">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4.3 条</w:t>
            </w:r>
            <w:r>
              <w:rPr>
                <w:rFonts w:hint="eastAsia" w:ascii="宋体" w:hAnsi="宋体" w:cs="宋体"/>
                <w:color w:val="auto"/>
                <w:kern w:val="0"/>
                <w:sz w:val="21"/>
                <w:szCs w:val="21"/>
                <w:highlight w:val="none"/>
              </w:rPr>
              <w:t>规定</w:t>
            </w:r>
          </w:p>
        </w:tc>
      </w:tr>
      <w:tr w14:paraId="4FF8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5B166A26">
            <w:pPr>
              <w:rPr>
                <w:color w:val="auto"/>
                <w:highlight w:val="none"/>
              </w:rPr>
            </w:pPr>
          </w:p>
        </w:tc>
        <w:tc>
          <w:tcPr>
            <w:tcW w:w="749" w:type="dxa"/>
            <w:vMerge w:val="continue"/>
            <w:tcBorders>
              <w:top w:val="single" w:color="auto" w:sz="4" w:space="0"/>
              <w:left w:val="single" w:color="auto" w:sz="4" w:space="0"/>
              <w:right w:val="single" w:color="auto" w:sz="4" w:space="0"/>
            </w:tcBorders>
          </w:tcPr>
          <w:p w14:paraId="1A6EA7F2">
            <w:pPr>
              <w:rPr>
                <w:color w:val="auto"/>
                <w:highlight w:val="none"/>
              </w:rPr>
            </w:pPr>
          </w:p>
        </w:tc>
        <w:tc>
          <w:tcPr>
            <w:tcW w:w="1530" w:type="dxa"/>
            <w:tcBorders>
              <w:top w:val="single" w:color="auto" w:sz="4" w:space="0"/>
              <w:left w:val="single" w:color="auto" w:sz="4" w:space="0"/>
              <w:right w:val="single" w:color="auto" w:sz="4" w:space="0"/>
            </w:tcBorders>
            <w:vAlign w:val="center"/>
          </w:tcPr>
          <w:p w14:paraId="340864A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参选保证金</w:t>
            </w:r>
          </w:p>
        </w:tc>
        <w:tc>
          <w:tcPr>
            <w:tcW w:w="6365" w:type="dxa"/>
            <w:gridSpan w:val="3"/>
          </w:tcPr>
          <w:p w14:paraId="2691325E">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符合第二章“</w:t>
            </w: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须知”</w:t>
            </w:r>
            <w:r>
              <w:rPr>
                <w:rFonts w:hint="eastAsia" w:ascii="宋体" w:hAnsi="宋体" w:cs="宋体"/>
                <w:color w:val="auto"/>
                <w:kern w:val="0"/>
                <w:sz w:val="21"/>
                <w:szCs w:val="21"/>
                <w:highlight w:val="none"/>
                <w:lang w:val="en-US" w:eastAsia="zh-CN"/>
              </w:rPr>
              <w:t>4.4 条</w:t>
            </w:r>
            <w:r>
              <w:rPr>
                <w:rFonts w:hint="eastAsia" w:ascii="宋体" w:hAnsi="宋体" w:cs="宋体"/>
                <w:color w:val="auto"/>
                <w:kern w:val="0"/>
                <w:sz w:val="21"/>
                <w:szCs w:val="21"/>
                <w:highlight w:val="none"/>
              </w:rPr>
              <w:t>规定</w:t>
            </w:r>
          </w:p>
        </w:tc>
      </w:tr>
      <w:tr w14:paraId="660B0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restart"/>
            <w:vAlign w:val="center"/>
          </w:tcPr>
          <w:p w14:paraId="36C84846">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2.2</w:t>
            </w:r>
          </w:p>
        </w:tc>
        <w:tc>
          <w:tcPr>
            <w:tcW w:w="749" w:type="dxa"/>
            <w:vMerge w:val="restart"/>
            <w:tcBorders>
              <w:top w:val="single" w:color="auto" w:sz="4" w:space="0"/>
              <w:left w:val="single" w:color="auto" w:sz="4" w:space="0"/>
              <w:right w:val="single" w:color="auto" w:sz="4" w:space="0"/>
            </w:tcBorders>
            <w:vAlign w:val="center"/>
          </w:tcPr>
          <w:p w14:paraId="61ACEAE0">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详细评审</w:t>
            </w:r>
          </w:p>
        </w:tc>
        <w:tc>
          <w:tcPr>
            <w:tcW w:w="1530" w:type="dxa"/>
            <w:vMerge w:val="restart"/>
            <w:tcBorders>
              <w:top w:val="single" w:color="auto" w:sz="4" w:space="0"/>
              <w:left w:val="single" w:color="auto" w:sz="4" w:space="0"/>
              <w:right w:val="single" w:color="auto" w:sz="4" w:space="0"/>
            </w:tcBorders>
            <w:vAlign w:val="center"/>
          </w:tcPr>
          <w:p w14:paraId="623A4964">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分值构成与评分标准</w:t>
            </w:r>
          </w:p>
          <w:p w14:paraId="38CC3E4A">
            <w:pPr>
              <w:keepNext w:val="0"/>
              <w:keepLines w:val="0"/>
              <w:pageBreakBefore w:val="0"/>
              <w:widowControl w:val="0"/>
              <w:tabs>
                <w:tab w:val="left" w:pos="1875"/>
              </w:tabs>
              <w:kinsoku/>
              <w:wordWrap/>
              <w:overflowPunct/>
              <w:topLinePunct w:val="0"/>
              <w:autoSpaceDE w:val="0"/>
              <w:autoSpaceDN w:val="0"/>
              <w:bidi w:val="0"/>
              <w:spacing w:line="360" w:lineRule="auto"/>
              <w:ind w:left="0" w:right="0" w:firstLine="0" w:firstLineChars="0"/>
              <w:jc w:val="center"/>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(总分1OO分)</w:t>
            </w:r>
          </w:p>
        </w:tc>
        <w:tc>
          <w:tcPr>
            <w:tcW w:w="1200" w:type="dxa"/>
            <w:gridSpan w:val="2"/>
            <w:tcBorders>
              <w:top w:val="single" w:color="auto" w:sz="4" w:space="0"/>
              <w:left w:val="single" w:color="auto" w:sz="4" w:space="0"/>
              <w:right w:val="single" w:color="auto" w:sz="4" w:space="0"/>
            </w:tcBorders>
            <w:vAlign w:val="center"/>
          </w:tcPr>
          <w:p w14:paraId="374A51D3">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left"/>
              <w:textAlignment w:val="auto"/>
              <w:rPr>
                <w:rFonts w:ascii="宋体" w:hAns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bidi="ar-SA"/>
              </w:rPr>
              <w:t>参选价格（50分）</w:t>
            </w:r>
          </w:p>
        </w:tc>
        <w:tc>
          <w:tcPr>
            <w:tcW w:w="5165" w:type="dxa"/>
            <w:vAlign w:val="center"/>
          </w:tcPr>
          <w:p w14:paraId="36FB23B6">
            <w:pPr>
              <w:keepNext w:val="0"/>
              <w:keepLines w:val="0"/>
              <w:pageBreakBefore w:val="0"/>
              <w:widowControl w:val="0"/>
              <w:kinsoku/>
              <w:wordWrap/>
              <w:overflowPunct/>
              <w:topLinePunct w:val="0"/>
              <w:autoSpaceDE w:val="0"/>
              <w:autoSpaceDN w:val="0"/>
              <w:bidi w:val="0"/>
              <w:adjustRightInd/>
              <w:snapToGrid/>
              <w:spacing w:line="240" w:lineRule="auto"/>
              <w:ind w:left="0" w:right="0" w:firstLine="420" w:firstLineChars="20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最低</w:t>
            </w:r>
            <w:r>
              <w:rPr>
                <w:rFonts w:hint="eastAsia" w:ascii="宋体"/>
                <w:color w:val="auto"/>
                <w:sz w:val="21"/>
                <w:szCs w:val="21"/>
                <w:highlight w:val="none"/>
                <w:lang w:eastAsia="zh-CN"/>
              </w:rPr>
              <w:t>有效</w:t>
            </w:r>
            <w:r>
              <w:rPr>
                <w:rFonts w:hint="eastAsia" w:ascii="宋体"/>
                <w:color w:val="auto"/>
                <w:sz w:val="21"/>
                <w:szCs w:val="21"/>
                <w:highlight w:val="none"/>
              </w:rPr>
              <w:t>报价为评审基准价，</w:t>
            </w:r>
            <w:r>
              <w:rPr>
                <w:rFonts w:hint="eastAsia" w:ascii="宋体"/>
                <w:color w:val="auto"/>
                <w:sz w:val="21"/>
                <w:szCs w:val="21"/>
                <w:highlight w:val="none"/>
                <w:lang w:eastAsia="zh-CN"/>
              </w:rPr>
              <w:t>报价等于评</w:t>
            </w:r>
            <w:r>
              <w:rPr>
                <w:rFonts w:hint="eastAsia" w:ascii="宋体"/>
                <w:color w:val="auto"/>
                <w:sz w:val="21"/>
                <w:szCs w:val="21"/>
                <w:highlight w:val="none"/>
              </w:rPr>
              <w:t>审</w:t>
            </w:r>
            <w:r>
              <w:rPr>
                <w:rFonts w:hint="eastAsia" w:ascii="宋体"/>
                <w:color w:val="auto"/>
                <w:sz w:val="21"/>
                <w:szCs w:val="21"/>
                <w:highlight w:val="none"/>
                <w:lang w:eastAsia="zh-CN"/>
              </w:rPr>
              <w:t>基准价的得满分50</w:t>
            </w:r>
            <w:r>
              <w:rPr>
                <w:rFonts w:hint="eastAsia" w:ascii="宋体"/>
                <w:color w:val="auto"/>
                <w:sz w:val="21"/>
                <w:szCs w:val="21"/>
                <w:highlight w:val="none"/>
              </w:rPr>
              <w:t>分。在此基础上，</w:t>
            </w:r>
            <w:r>
              <w:rPr>
                <w:rFonts w:hint="eastAsia" w:ascii="宋体"/>
                <w:color w:val="auto"/>
                <w:sz w:val="21"/>
                <w:szCs w:val="21"/>
                <w:highlight w:val="none"/>
                <w:lang w:eastAsia="zh-CN"/>
              </w:rPr>
              <w:t>参选人</w:t>
            </w:r>
            <w:r>
              <w:rPr>
                <w:rFonts w:hint="eastAsia" w:ascii="宋体"/>
                <w:color w:val="auto"/>
                <w:sz w:val="21"/>
                <w:szCs w:val="21"/>
                <w:highlight w:val="none"/>
              </w:rPr>
              <w:t>报价与评审基准价相比，价格每</w:t>
            </w:r>
            <w:r>
              <w:rPr>
                <w:rFonts w:hint="eastAsia" w:ascii="宋体"/>
                <w:color w:val="auto"/>
                <w:sz w:val="21"/>
                <w:szCs w:val="21"/>
                <w:highlight w:val="none"/>
                <w:lang w:val="en-US" w:eastAsia="zh-CN"/>
              </w:rPr>
              <w:t>增加</w:t>
            </w:r>
            <w:r>
              <w:rPr>
                <w:rFonts w:hint="eastAsia" w:ascii="宋体"/>
                <w:color w:val="auto"/>
                <w:sz w:val="21"/>
                <w:szCs w:val="21"/>
                <w:highlight w:val="none"/>
              </w:rPr>
              <w:t>1%扣1分，最低零分。</w:t>
            </w:r>
          </w:p>
        </w:tc>
      </w:tr>
      <w:tr w14:paraId="6DFF5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1F667E0E">
            <w:pPr>
              <w:rPr>
                <w:color w:val="auto"/>
                <w:highlight w:val="none"/>
              </w:rPr>
            </w:pPr>
          </w:p>
        </w:tc>
        <w:tc>
          <w:tcPr>
            <w:tcW w:w="749" w:type="dxa"/>
            <w:vMerge w:val="continue"/>
            <w:tcBorders>
              <w:top w:val="single" w:color="auto" w:sz="4" w:space="0"/>
              <w:left w:val="single" w:color="auto" w:sz="4" w:space="0"/>
              <w:right w:val="single" w:color="auto" w:sz="4" w:space="0"/>
            </w:tcBorders>
            <w:vAlign w:val="center"/>
          </w:tcPr>
          <w:p w14:paraId="31AA07EB">
            <w:pPr>
              <w:rPr>
                <w:color w:val="auto"/>
                <w:highlight w:val="none"/>
              </w:rPr>
            </w:pPr>
          </w:p>
        </w:tc>
        <w:tc>
          <w:tcPr>
            <w:tcW w:w="1530" w:type="dxa"/>
            <w:vMerge w:val="continue"/>
            <w:tcBorders>
              <w:top w:val="single" w:color="auto" w:sz="4" w:space="0"/>
              <w:left w:val="single" w:color="auto" w:sz="4" w:space="0"/>
              <w:right w:val="single" w:color="auto" w:sz="4" w:space="0"/>
            </w:tcBorders>
            <w:vAlign w:val="center"/>
          </w:tcPr>
          <w:p w14:paraId="4003F030">
            <w:pPr>
              <w:rPr>
                <w:color w:val="auto"/>
                <w:highlight w:val="none"/>
              </w:rPr>
            </w:pPr>
          </w:p>
        </w:tc>
        <w:tc>
          <w:tcPr>
            <w:tcW w:w="1200" w:type="dxa"/>
            <w:gridSpan w:val="2"/>
            <w:tcBorders>
              <w:top w:val="single" w:color="auto" w:sz="4" w:space="0"/>
              <w:left w:val="single" w:color="auto" w:sz="4" w:space="0"/>
              <w:right w:val="single" w:color="auto" w:sz="4" w:space="0"/>
            </w:tcBorders>
            <w:vAlign w:val="center"/>
          </w:tcPr>
          <w:p w14:paraId="59A3E661">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s="宋体"/>
                <w:color w:val="auto"/>
                <w:kern w:val="0"/>
                <w:sz w:val="21"/>
                <w:szCs w:val="21"/>
                <w:highlight w:val="none"/>
                <w:lang w:val="en-US" w:eastAsia="zh-CN"/>
              </w:rPr>
            </w:pPr>
            <w:r>
              <w:rPr>
                <w:rFonts w:hint="eastAsia" w:ascii="宋体" w:cs="宋体"/>
                <w:color w:val="auto"/>
                <w:kern w:val="0"/>
                <w:sz w:val="21"/>
                <w:szCs w:val="21"/>
                <w:highlight w:val="none"/>
                <w:lang w:val="en-US" w:eastAsia="zh-CN" w:bidi="ar-SA"/>
              </w:rPr>
              <w:t>本地维护站（25分）</w:t>
            </w:r>
          </w:p>
        </w:tc>
        <w:tc>
          <w:tcPr>
            <w:tcW w:w="5165" w:type="dxa"/>
            <w:vAlign w:val="center"/>
          </w:tcPr>
          <w:p w14:paraId="53DBBB0F">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提供重庆市内房屋租赁</w:t>
            </w:r>
            <w:r>
              <w:rPr>
                <w:rFonts w:ascii="宋体"/>
                <w:color w:val="auto"/>
                <w:sz w:val="21"/>
                <w:szCs w:val="21"/>
                <w:highlight w:val="none"/>
              </w:rPr>
              <w:t>合同</w:t>
            </w:r>
            <w:r>
              <w:rPr>
                <w:rFonts w:hint="eastAsia" w:ascii="宋体"/>
                <w:color w:val="auto"/>
                <w:sz w:val="21"/>
                <w:szCs w:val="21"/>
                <w:highlight w:val="none"/>
                <w:lang w:val="en-US" w:eastAsia="zh-CN"/>
              </w:rPr>
              <w:t>或</w:t>
            </w:r>
            <w:r>
              <w:rPr>
                <w:rFonts w:hint="eastAsia" w:ascii="宋体"/>
                <w:color w:val="auto"/>
                <w:sz w:val="21"/>
                <w:szCs w:val="21"/>
                <w:highlight w:val="none"/>
              </w:rPr>
              <w:t>产权证明</w:t>
            </w:r>
            <w:r>
              <w:rPr>
                <w:rFonts w:ascii="宋体"/>
                <w:color w:val="auto"/>
                <w:sz w:val="21"/>
                <w:szCs w:val="21"/>
                <w:highlight w:val="none"/>
              </w:rPr>
              <w:t>（合同和产权均需提供）</w:t>
            </w:r>
            <w:r>
              <w:rPr>
                <w:rFonts w:hint="eastAsia" w:ascii="宋体"/>
                <w:color w:val="auto"/>
                <w:sz w:val="21"/>
                <w:szCs w:val="21"/>
                <w:highlight w:val="none"/>
              </w:rPr>
              <w:t>，同一区、县内出现多个维护站的按一个计算</w:t>
            </w:r>
            <w:r>
              <w:rPr>
                <w:rFonts w:hint="eastAsia" w:ascii="宋体"/>
                <w:color w:val="auto"/>
                <w:sz w:val="21"/>
                <w:szCs w:val="21"/>
                <w:highlight w:val="none"/>
                <w:lang w:eastAsia="zh-CN"/>
              </w:rPr>
              <w:t>。</w:t>
            </w:r>
            <w:r>
              <w:rPr>
                <w:rFonts w:hint="eastAsia" w:ascii="宋体"/>
                <w:color w:val="auto"/>
                <w:sz w:val="21"/>
                <w:szCs w:val="21"/>
                <w:highlight w:val="none"/>
              </w:rPr>
              <w:t>每</w:t>
            </w:r>
            <w:r>
              <w:rPr>
                <w:rFonts w:hint="eastAsia" w:ascii="宋体"/>
                <w:color w:val="auto"/>
                <w:sz w:val="21"/>
                <w:szCs w:val="21"/>
                <w:highlight w:val="none"/>
                <w:lang w:eastAsia="zh-CN"/>
              </w:rPr>
              <w:t>有</w:t>
            </w:r>
            <w:r>
              <w:rPr>
                <w:rFonts w:hint="eastAsia" w:ascii="宋体"/>
                <w:color w:val="auto"/>
                <w:sz w:val="21"/>
                <w:szCs w:val="21"/>
                <w:highlight w:val="none"/>
                <w:lang w:val="en-US" w:eastAsia="zh-CN"/>
              </w:rPr>
              <w:t>1</w:t>
            </w:r>
            <w:r>
              <w:rPr>
                <w:rFonts w:hint="eastAsia" w:ascii="宋体"/>
                <w:color w:val="auto"/>
                <w:sz w:val="21"/>
                <w:szCs w:val="21"/>
                <w:highlight w:val="none"/>
              </w:rPr>
              <w:t>个维护站</w:t>
            </w:r>
            <w:r>
              <w:rPr>
                <w:rFonts w:hint="eastAsia" w:ascii="宋体"/>
                <w:color w:val="auto"/>
                <w:sz w:val="21"/>
                <w:szCs w:val="21"/>
                <w:highlight w:val="none"/>
                <w:lang w:eastAsia="zh-CN"/>
              </w:rPr>
              <w:t>得</w:t>
            </w:r>
            <w:r>
              <w:rPr>
                <w:rFonts w:hint="eastAsia" w:ascii="宋体"/>
                <w:color w:val="auto"/>
                <w:sz w:val="21"/>
                <w:szCs w:val="21"/>
                <w:highlight w:val="none"/>
              </w:rPr>
              <w:t>1分，依次递增</w:t>
            </w:r>
            <w:r>
              <w:rPr>
                <w:rFonts w:hint="eastAsia" w:ascii="宋体"/>
                <w:color w:val="auto"/>
                <w:sz w:val="21"/>
                <w:szCs w:val="21"/>
                <w:highlight w:val="none"/>
                <w:lang w:eastAsia="zh-CN"/>
              </w:rPr>
              <w:t>，满分25</w:t>
            </w:r>
            <w:r>
              <w:rPr>
                <w:rFonts w:hint="eastAsia" w:ascii="宋体"/>
                <w:color w:val="auto"/>
                <w:sz w:val="21"/>
                <w:szCs w:val="21"/>
                <w:highlight w:val="none"/>
                <w:lang w:val="en-US" w:eastAsia="zh-CN"/>
              </w:rPr>
              <w:t>分</w:t>
            </w:r>
            <w:r>
              <w:rPr>
                <w:rFonts w:hint="eastAsia" w:ascii="宋体"/>
                <w:color w:val="auto"/>
                <w:sz w:val="21"/>
                <w:szCs w:val="21"/>
                <w:highlight w:val="none"/>
              </w:rPr>
              <w:t>。（开标后行方将进行核实，弄虚作假将取消</w:t>
            </w:r>
            <w:r>
              <w:rPr>
                <w:rFonts w:hint="eastAsia" w:ascii="宋体"/>
                <w:color w:val="auto"/>
                <w:sz w:val="21"/>
                <w:szCs w:val="21"/>
                <w:highlight w:val="none"/>
                <w:lang w:eastAsia="zh-CN"/>
              </w:rPr>
              <w:t>参选</w:t>
            </w:r>
            <w:r>
              <w:rPr>
                <w:rFonts w:hint="eastAsia" w:ascii="宋体"/>
                <w:color w:val="auto"/>
                <w:sz w:val="21"/>
                <w:szCs w:val="21"/>
                <w:highlight w:val="none"/>
              </w:rPr>
              <w:t>资格，并列入行方黑名单）</w:t>
            </w:r>
          </w:p>
        </w:tc>
      </w:tr>
      <w:tr w14:paraId="585D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796C040B">
            <w:pPr>
              <w:rPr>
                <w:color w:val="auto"/>
                <w:highlight w:val="none"/>
              </w:rPr>
            </w:pPr>
          </w:p>
        </w:tc>
        <w:tc>
          <w:tcPr>
            <w:tcW w:w="749" w:type="dxa"/>
            <w:vMerge w:val="continue"/>
            <w:tcBorders>
              <w:top w:val="single" w:color="auto" w:sz="4" w:space="0"/>
              <w:left w:val="single" w:color="auto" w:sz="4" w:space="0"/>
              <w:right w:val="single" w:color="auto" w:sz="4" w:space="0"/>
            </w:tcBorders>
            <w:vAlign w:val="center"/>
          </w:tcPr>
          <w:p w14:paraId="32323708">
            <w:pPr>
              <w:rPr>
                <w:color w:val="auto"/>
                <w:highlight w:val="none"/>
              </w:rPr>
            </w:pPr>
          </w:p>
        </w:tc>
        <w:tc>
          <w:tcPr>
            <w:tcW w:w="1530" w:type="dxa"/>
            <w:vMerge w:val="continue"/>
            <w:tcBorders>
              <w:top w:val="single" w:color="auto" w:sz="4" w:space="0"/>
              <w:left w:val="single" w:color="auto" w:sz="4" w:space="0"/>
              <w:right w:val="single" w:color="auto" w:sz="4" w:space="0"/>
            </w:tcBorders>
            <w:vAlign w:val="center"/>
          </w:tcPr>
          <w:p w14:paraId="0D5CE873">
            <w:pPr>
              <w:rPr>
                <w:color w:val="auto"/>
                <w:highlight w:val="none"/>
              </w:rPr>
            </w:pPr>
          </w:p>
        </w:tc>
        <w:tc>
          <w:tcPr>
            <w:tcW w:w="1200" w:type="dxa"/>
            <w:gridSpan w:val="2"/>
            <w:tcBorders>
              <w:top w:val="single" w:color="auto" w:sz="4" w:space="0"/>
              <w:left w:val="single" w:color="auto" w:sz="4" w:space="0"/>
              <w:right w:val="single" w:color="auto" w:sz="4" w:space="0"/>
            </w:tcBorders>
            <w:vAlign w:val="center"/>
          </w:tcPr>
          <w:p w14:paraId="6C5E0F68">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本地装机规模（5分）</w:t>
            </w:r>
          </w:p>
        </w:tc>
        <w:tc>
          <w:tcPr>
            <w:tcW w:w="5165" w:type="dxa"/>
            <w:vAlign w:val="center"/>
          </w:tcPr>
          <w:p w14:paraId="26CB63F9">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根据重庆市内安装智能柜员机（现金版）数量的多少打分，满分5分，每50台</w:t>
            </w:r>
            <w:r>
              <w:rPr>
                <w:rFonts w:hint="eastAsia" w:ascii="宋体"/>
                <w:color w:val="auto"/>
                <w:sz w:val="21"/>
                <w:szCs w:val="21"/>
                <w:highlight w:val="none"/>
                <w:lang w:eastAsia="zh-CN"/>
              </w:rPr>
              <w:t>得</w:t>
            </w:r>
            <w:r>
              <w:rPr>
                <w:rFonts w:hint="eastAsia" w:ascii="宋体"/>
                <w:color w:val="auto"/>
                <w:sz w:val="21"/>
                <w:szCs w:val="21"/>
                <w:highlight w:val="none"/>
              </w:rPr>
              <w:t>1，不足50台不计分。提供设备安装地址清单，必须为智能柜员机（现金版）安装清单。（开标后行方将进行核实，弄虚作假将取消</w:t>
            </w:r>
            <w:r>
              <w:rPr>
                <w:rFonts w:hint="eastAsia" w:ascii="宋体"/>
                <w:color w:val="auto"/>
                <w:sz w:val="21"/>
                <w:szCs w:val="21"/>
                <w:highlight w:val="none"/>
                <w:lang w:eastAsia="zh-CN"/>
              </w:rPr>
              <w:t>参选</w:t>
            </w:r>
            <w:r>
              <w:rPr>
                <w:rFonts w:hint="eastAsia" w:ascii="宋体"/>
                <w:color w:val="auto"/>
                <w:sz w:val="21"/>
                <w:szCs w:val="21"/>
                <w:highlight w:val="none"/>
              </w:rPr>
              <w:t>资格，并列入行方黑名单）</w:t>
            </w:r>
          </w:p>
        </w:tc>
      </w:tr>
      <w:tr w14:paraId="60DD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4DB39762">
            <w:pPr>
              <w:rPr>
                <w:color w:val="auto"/>
                <w:highlight w:val="none"/>
              </w:rPr>
            </w:pPr>
          </w:p>
        </w:tc>
        <w:tc>
          <w:tcPr>
            <w:tcW w:w="749" w:type="dxa"/>
            <w:vMerge w:val="continue"/>
            <w:tcBorders>
              <w:top w:val="single" w:color="auto" w:sz="4" w:space="0"/>
              <w:left w:val="single" w:color="auto" w:sz="4" w:space="0"/>
              <w:right w:val="single" w:color="auto" w:sz="4" w:space="0"/>
            </w:tcBorders>
            <w:vAlign w:val="center"/>
          </w:tcPr>
          <w:p w14:paraId="5A726D25">
            <w:pPr>
              <w:rPr>
                <w:color w:val="auto"/>
                <w:highlight w:val="none"/>
              </w:rPr>
            </w:pPr>
          </w:p>
        </w:tc>
        <w:tc>
          <w:tcPr>
            <w:tcW w:w="1530" w:type="dxa"/>
            <w:vMerge w:val="continue"/>
            <w:tcBorders>
              <w:top w:val="single" w:color="auto" w:sz="4" w:space="0"/>
              <w:left w:val="single" w:color="auto" w:sz="4" w:space="0"/>
              <w:right w:val="single" w:color="auto" w:sz="4" w:space="0"/>
            </w:tcBorders>
            <w:vAlign w:val="center"/>
          </w:tcPr>
          <w:p w14:paraId="3BE74FA8">
            <w:pPr>
              <w:rPr>
                <w:color w:val="auto"/>
                <w:highlight w:val="none"/>
              </w:rPr>
            </w:pPr>
          </w:p>
        </w:tc>
        <w:tc>
          <w:tcPr>
            <w:tcW w:w="1200" w:type="dxa"/>
            <w:gridSpan w:val="2"/>
            <w:tcBorders>
              <w:top w:val="single" w:color="auto" w:sz="4" w:space="0"/>
              <w:left w:val="single" w:color="auto" w:sz="4" w:space="0"/>
              <w:right w:val="single" w:color="auto" w:sz="4" w:space="0"/>
            </w:tcBorders>
            <w:vAlign w:val="center"/>
          </w:tcPr>
          <w:p w14:paraId="2CEC5D05">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本地合作案例（10分）</w:t>
            </w:r>
          </w:p>
        </w:tc>
        <w:tc>
          <w:tcPr>
            <w:tcW w:w="5165" w:type="dxa"/>
            <w:vAlign w:val="center"/>
          </w:tcPr>
          <w:p w14:paraId="0B123BE2">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lang w:eastAsia="zh-CN"/>
              </w:rPr>
              <w:t>根据参选人2020年至今（以合同签订时间为准）与重庆市内银行合作的案列数量打分，每有一个得1分，满分10分。2020年至2024年，智能柜员机（现金版）合作案列（合同日期不清晰不计分，提供非智能柜员机（现金版）合同计零分，并取消本次参选资格）。合作案例银行应为：工商、农业、中国、建设、交通、邮储、招商、兴业、中信、平安、浦发、光大、民生、华夏、重庆、重庆农商。其他银行案例不得分。</w:t>
            </w:r>
          </w:p>
        </w:tc>
      </w:tr>
      <w:tr w14:paraId="0A1B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0758951A">
            <w:pPr>
              <w:rPr>
                <w:color w:val="auto"/>
                <w:highlight w:val="none"/>
              </w:rPr>
            </w:pPr>
          </w:p>
        </w:tc>
        <w:tc>
          <w:tcPr>
            <w:tcW w:w="749" w:type="dxa"/>
            <w:vMerge w:val="continue"/>
            <w:tcBorders>
              <w:top w:val="single" w:color="auto" w:sz="4" w:space="0"/>
              <w:left w:val="single" w:color="auto" w:sz="4" w:space="0"/>
              <w:right w:val="single" w:color="auto" w:sz="4" w:space="0"/>
            </w:tcBorders>
            <w:vAlign w:val="center"/>
          </w:tcPr>
          <w:p w14:paraId="151FB6BB">
            <w:pPr>
              <w:rPr>
                <w:color w:val="auto"/>
                <w:highlight w:val="none"/>
              </w:rPr>
            </w:pPr>
          </w:p>
        </w:tc>
        <w:tc>
          <w:tcPr>
            <w:tcW w:w="1530" w:type="dxa"/>
            <w:vMerge w:val="continue"/>
            <w:tcBorders>
              <w:top w:val="single" w:color="auto" w:sz="4" w:space="0"/>
              <w:left w:val="single" w:color="auto" w:sz="4" w:space="0"/>
              <w:right w:val="single" w:color="auto" w:sz="4" w:space="0"/>
            </w:tcBorders>
            <w:vAlign w:val="center"/>
          </w:tcPr>
          <w:p w14:paraId="45F7C04B">
            <w:pPr>
              <w:rPr>
                <w:color w:val="auto"/>
                <w:highlight w:val="none"/>
              </w:rPr>
            </w:pPr>
          </w:p>
        </w:tc>
        <w:tc>
          <w:tcPr>
            <w:tcW w:w="1200" w:type="dxa"/>
            <w:gridSpan w:val="2"/>
            <w:tcBorders>
              <w:top w:val="single" w:color="auto" w:sz="4" w:space="0"/>
              <w:left w:val="single" w:color="auto" w:sz="4" w:space="0"/>
              <w:right w:val="single" w:color="auto" w:sz="4" w:space="0"/>
            </w:tcBorders>
            <w:vAlign w:val="center"/>
          </w:tcPr>
          <w:p w14:paraId="466338DE">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现金</w:t>
            </w:r>
            <w:r>
              <w:rPr>
                <w:rFonts w:hint="eastAsia" w:ascii="宋体"/>
                <w:color w:val="auto"/>
                <w:sz w:val="21"/>
                <w:szCs w:val="21"/>
                <w:highlight w:val="none"/>
                <w:lang w:eastAsia="zh-CN"/>
              </w:rPr>
              <w:t>额</w:t>
            </w:r>
            <w:r>
              <w:rPr>
                <w:rFonts w:hint="eastAsia" w:ascii="宋体"/>
                <w:color w:val="auto"/>
                <w:sz w:val="21"/>
                <w:szCs w:val="21"/>
                <w:highlight w:val="none"/>
                <w:lang w:val="en-US" w:eastAsia="zh-CN"/>
              </w:rPr>
              <w:t>情况</w:t>
            </w:r>
            <w:r>
              <w:rPr>
                <w:rFonts w:hint="eastAsia" w:ascii="宋体"/>
                <w:color w:val="auto"/>
                <w:sz w:val="21"/>
                <w:szCs w:val="21"/>
                <w:highlight w:val="none"/>
                <w:lang w:eastAsia="zh-CN"/>
              </w:rPr>
              <w:t>（5分）</w:t>
            </w:r>
          </w:p>
        </w:tc>
        <w:tc>
          <w:tcPr>
            <w:tcW w:w="5165" w:type="dxa"/>
            <w:vAlign w:val="center"/>
          </w:tcPr>
          <w:p w14:paraId="355E72A1">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根据</w:t>
            </w:r>
            <w:r>
              <w:rPr>
                <w:rFonts w:hint="eastAsia" w:ascii="宋体"/>
                <w:color w:val="auto"/>
                <w:sz w:val="21"/>
                <w:szCs w:val="21"/>
                <w:highlight w:val="none"/>
                <w:lang w:val="en-US" w:eastAsia="zh-CN"/>
              </w:rPr>
              <w:t>参选人提供的</w:t>
            </w:r>
            <w:r>
              <w:rPr>
                <w:rFonts w:hint="eastAsia" w:ascii="宋体"/>
                <w:color w:val="auto"/>
                <w:sz w:val="21"/>
                <w:szCs w:val="21"/>
                <w:highlight w:val="none"/>
              </w:rPr>
              <w:t>财务报表</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对参选人</w:t>
            </w:r>
            <w:r>
              <w:rPr>
                <w:rFonts w:hint="eastAsia" w:ascii="宋体"/>
                <w:color w:val="auto"/>
                <w:sz w:val="21"/>
                <w:szCs w:val="21"/>
                <w:highlight w:val="none"/>
              </w:rPr>
              <w:t>近三年（2020年至今）销售商品、提供劳务收到的现金</w:t>
            </w:r>
            <w:r>
              <w:rPr>
                <w:rFonts w:hint="eastAsia" w:ascii="宋体"/>
                <w:color w:val="auto"/>
                <w:sz w:val="21"/>
                <w:szCs w:val="21"/>
                <w:highlight w:val="none"/>
                <w:lang w:eastAsia="zh-CN"/>
              </w:rPr>
              <w:t>额</w:t>
            </w:r>
            <w:r>
              <w:rPr>
                <w:rFonts w:hint="eastAsia" w:ascii="宋体"/>
                <w:color w:val="auto"/>
                <w:sz w:val="21"/>
                <w:szCs w:val="21"/>
                <w:highlight w:val="none"/>
              </w:rPr>
              <w:t>合计</w:t>
            </w:r>
            <w:r>
              <w:rPr>
                <w:rFonts w:hint="eastAsia" w:ascii="宋体"/>
                <w:color w:val="auto"/>
                <w:sz w:val="21"/>
                <w:szCs w:val="21"/>
                <w:highlight w:val="none"/>
                <w:lang w:eastAsia="zh-CN"/>
              </w:rPr>
              <w:t>由高到低</w:t>
            </w:r>
            <w:r>
              <w:rPr>
                <w:rFonts w:hint="eastAsia" w:ascii="宋体"/>
                <w:color w:val="auto"/>
                <w:sz w:val="21"/>
                <w:szCs w:val="21"/>
                <w:highlight w:val="none"/>
              </w:rPr>
              <w:t>排序，</w:t>
            </w:r>
            <w:r>
              <w:rPr>
                <w:rFonts w:hint="eastAsia" w:ascii="宋体"/>
                <w:color w:val="auto"/>
                <w:sz w:val="21"/>
                <w:szCs w:val="21"/>
                <w:highlight w:val="none"/>
                <w:lang w:eastAsia="zh-CN"/>
              </w:rPr>
              <w:t>排名第一的得满分5</w:t>
            </w:r>
            <w:r>
              <w:rPr>
                <w:rFonts w:hint="eastAsia" w:ascii="宋体"/>
                <w:color w:val="auto"/>
                <w:sz w:val="21"/>
                <w:szCs w:val="21"/>
                <w:highlight w:val="none"/>
                <w:lang w:val="en-US" w:eastAsia="zh-CN"/>
              </w:rPr>
              <w:t>分，</w:t>
            </w:r>
            <w:r>
              <w:rPr>
                <w:rFonts w:hint="eastAsia" w:ascii="宋体"/>
                <w:color w:val="auto"/>
                <w:sz w:val="21"/>
                <w:szCs w:val="21"/>
                <w:highlight w:val="none"/>
              </w:rPr>
              <w:t>依次递减1分，</w:t>
            </w:r>
            <w:r>
              <w:rPr>
                <w:rFonts w:hint="eastAsia" w:ascii="宋体"/>
                <w:color w:val="auto"/>
                <w:sz w:val="21"/>
                <w:szCs w:val="21"/>
                <w:highlight w:val="none"/>
                <w:lang w:val="en-US" w:eastAsia="zh-CN"/>
              </w:rPr>
              <w:t>排名第六及之后的不得分</w:t>
            </w:r>
            <w:r>
              <w:rPr>
                <w:rFonts w:hint="eastAsia" w:ascii="宋体"/>
                <w:color w:val="auto"/>
                <w:sz w:val="21"/>
                <w:szCs w:val="21"/>
                <w:highlight w:val="none"/>
              </w:rPr>
              <w:t>。（提供财报复印件上数据模糊不得分）</w:t>
            </w:r>
          </w:p>
        </w:tc>
      </w:tr>
      <w:tr w14:paraId="4417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0" w:type="dxa"/>
            <w:vMerge w:val="continue"/>
            <w:vAlign w:val="center"/>
          </w:tcPr>
          <w:p w14:paraId="0C4F7984">
            <w:pPr>
              <w:rPr>
                <w:color w:val="auto"/>
                <w:highlight w:val="none"/>
              </w:rPr>
            </w:pPr>
          </w:p>
        </w:tc>
        <w:tc>
          <w:tcPr>
            <w:tcW w:w="749" w:type="dxa"/>
            <w:vMerge w:val="continue"/>
            <w:tcBorders>
              <w:top w:val="single" w:color="auto" w:sz="4" w:space="0"/>
              <w:left w:val="single" w:color="auto" w:sz="4" w:space="0"/>
              <w:right w:val="single" w:color="auto" w:sz="4" w:space="0"/>
            </w:tcBorders>
            <w:vAlign w:val="center"/>
          </w:tcPr>
          <w:p w14:paraId="2F6BEE7D">
            <w:pPr>
              <w:rPr>
                <w:color w:val="auto"/>
                <w:highlight w:val="none"/>
              </w:rPr>
            </w:pPr>
          </w:p>
        </w:tc>
        <w:tc>
          <w:tcPr>
            <w:tcW w:w="1530" w:type="dxa"/>
            <w:vMerge w:val="continue"/>
            <w:tcBorders>
              <w:top w:val="single" w:color="auto" w:sz="4" w:space="0"/>
              <w:left w:val="single" w:color="auto" w:sz="4" w:space="0"/>
              <w:right w:val="single" w:color="auto" w:sz="4" w:space="0"/>
            </w:tcBorders>
            <w:vAlign w:val="center"/>
          </w:tcPr>
          <w:p w14:paraId="77610809">
            <w:pPr>
              <w:rPr>
                <w:color w:val="auto"/>
                <w:highlight w:val="none"/>
              </w:rPr>
            </w:pPr>
          </w:p>
        </w:tc>
        <w:tc>
          <w:tcPr>
            <w:tcW w:w="1200" w:type="dxa"/>
            <w:gridSpan w:val="2"/>
            <w:tcBorders>
              <w:top w:val="single" w:color="auto" w:sz="4" w:space="0"/>
              <w:left w:val="single" w:color="auto" w:sz="4" w:space="0"/>
              <w:right w:val="single" w:color="auto" w:sz="4" w:space="0"/>
            </w:tcBorders>
            <w:vAlign w:val="center"/>
          </w:tcPr>
          <w:p w14:paraId="3E0B5DFC">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利润情况（5分）</w:t>
            </w:r>
          </w:p>
        </w:tc>
        <w:tc>
          <w:tcPr>
            <w:tcW w:w="5165" w:type="dxa"/>
            <w:vAlign w:val="center"/>
          </w:tcPr>
          <w:p w14:paraId="6642A73D">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ascii="宋体" w:hAnsi="宋体" w:cs="宋体"/>
                <w:color w:val="auto"/>
                <w:kern w:val="0"/>
                <w:sz w:val="21"/>
                <w:szCs w:val="21"/>
                <w:highlight w:val="none"/>
                <w:lang w:val="en-US" w:eastAsia="zh-CN"/>
              </w:rPr>
            </w:pPr>
            <w:r>
              <w:rPr>
                <w:rFonts w:hint="eastAsia" w:ascii="宋体"/>
                <w:color w:val="auto"/>
                <w:sz w:val="21"/>
                <w:szCs w:val="21"/>
                <w:highlight w:val="none"/>
              </w:rPr>
              <w:t>根据</w:t>
            </w:r>
            <w:r>
              <w:rPr>
                <w:rFonts w:hint="eastAsia" w:ascii="宋体"/>
                <w:color w:val="auto"/>
                <w:sz w:val="21"/>
                <w:szCs w:val="21"/>
                <w:highlight w:val="none"/>
                <w:lang w:val="en-US" w:eastAsia="zh-CN"/>
              </w:rPr>
              <w:t>参选人提供的</w:t>
            </w:r>
            <w:r>
              <w:rPr>
                <w:rFonts w:hint="eastAsia" w:ascii="宋体"/>
                <w:color w:val="auto"/>
                <w:sz w:val="21"/>
                <w:szCs w:val="21"/>
                <w:highlight w:val="none"/>
              </w:rPr>
              <w:t>财务报表</w:t>
            </w:r>
            <w:r>
              <w:rPr>
                <w:rFonts w:hint="eastAsia" w:ascii="宋体"/>
                <w:color w:val="auto"/>
                <w:sz w:val="21"/>
                <w:szCs w:val="21"/>
                <w:highlight w:val="none"/>
                <w:lang w:eastAsia="zh-CN"/>
              </w:rPr>
              <w:t>，</w:t>
            </w:r>
            <w:r>
              <w:rPr>
                <w:rFonts w:hint="eastAsia" w:ascii="宋体"/>
                <w:color w:val="auto"/>
                <w:sz w:val="21"/>
                <w:szCs w:val="21"/>
                <w:highlight w:val="none"/>
                <w:lang w:val="en-US" w:eastAsia="zh-CN"/>
              </w:rPr>
              <w:t>对参选人</w:t>
            </w:r>
            <w:r>
              <w:rPr>
                <w:rFonts w:hint="eastAsia" w:ascii="宋体"/>
                <w:color w:val="auto"/>
                <w:sz w:val="21"/>
                <w:szCs w:val="21"/>
                <w:highlight w:val="none"/>
              </w:rPr>
              <w:t>近三年（2020年至今）营业利润情况打分，满分5分。利润均为正增长得满分，利润出现负增长不得分。（提供财报复印件上数据模糊不得分）</w:t>
            </w:r>
          </w:p>
        </w:tc>
      </w:tr>
      <w:tr w14:paraId="627C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784575C3">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3</w:t>
            </w:r>
          </w:p>
        </w:tc>
        <w:tc>
          <w:tcPr>
            <w:tcW w:w="749" w:type="dxa"/>
            <w:tcBorders>
              <w:top w:val="single" w:color="auto" w:sz="4" w:space="0"/>
              <w:left w:val="single" w:color="auto" w:sz="4" w:space="0"/>
              <w:right w:val="single" w:color="auto" w:sz="4" w:space="0"/>
            </w:tcBorders>
            <w:vAlign w:val="center"/>
          </w:tcPr>
          <w:p w14:paraId="3C37CB8B">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评审程序</w:t>
            </w:r>
          </w:p>
        </w:tc>
        <w:tc>
          <w:tcPr>
            <w:tcW w:w="7895" w:type="dxa"/>
            <w:gridSpan w:val="4"/>
          </w:tcPr>
          <w:p w14:paraId="7AC615D7">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1.初步评审前，按本章第3.1.3项的规定对</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报价有算术性错误的进行算术性错误修正。</w:t>
            </w:r>
          </w:p>
          <w:p w14:paraId="388B302C">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2.初步评审合格的</w:t>
            </w:r>
            <w:r>
              <w:rPr>
                <w:rFonts w:hint="eastAsia" w:ascii="宋体" w:hAnsi="宋体" w:cs="宋体"/>
                <w:color w:val="auto"/>
                <w:sz w:val="21"/>
                <w:szCs w:val="21"/>
                <w:highlight w:val="none"/>
                <w:lang w:eastAsia="zh-CN"/>
              </w:rPr>
              <w:t>参选文件</w:t>
            </w:r>
            <w:r>
              <w:rPr>
                <w:rFonts w:hint="eastAsia" w:ascii="宋体" w:hAnsi="宋体" w:cs="宋体"/>
                <w:color w:val="auto"/>
                <w:sz w:val="21"/>
                <w:szCs w:val="21"/>
                <w:highlight w:val="none"/>
              </w:rPr>
              <w:t>进行</w:t>
            </w:r>
            <w:r>
              <w:rPr>
                <w:rFonts w:hint="eastAsia" w:ascii="宋体" w:hAnsi="宋体" w:cs="宋体"/>
                <w:color w:val="auto"/>
                <w:sz w:val="21"/>
                <w:szCs w:val="21"/>
                <w:highlight w:val="none"/>
                <w:lang w:eastAsia="zh-CN"/>
              </w:rPr>
              <w:t>参选</w:t>
            </w:r>
            <w:r>
              <w:rPr>
                <w:rFonts w:hint="eastAsia" w:ascii="宋体" w:hAnsi="宋体" w:cs="宋体"/>
                <w:color w:val="auto"/>
                <w:sz w:val="21"/>
                <w:szCs w:val="21"/>
                <w:highlight w:val="none"/>
              </w:rPr>
              <w:t>报价、商务部分的评分。主观评审部分由各专家独立评审打分，最后取平均得分，保留2位小数。</w:t>
            </w:r>
          </w:p>
          <w:p w14:paraId="18FECC6F">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3.根据综合得分由高至低进行排序，推荐1-3家合格的中选候选人。并依次为第一、二、三中选候选人。</w:t>
            </w:r>
          </w:p>
        </w:tc>
      </w:tr>
      <w:tr w14:paraId="12DC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69" w:type="dxa"/>
            <w:gridSpan w:val="2"/>
            <w:vAlign w:val="center"/>
          </w:tcPr>
          <w:p w14:paraId="50BA55B4">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rPr>
              <w:t>3.2.3</w:t>
            </w:r>
          </w:p>
        </w:tc>
        <w:tc>
          <w:tcPr>
            <w:tcW w:w="2244" w:type="dxa"/>
            <w:gridSpan w:val="2"/>
            <w:tcBorders>
              <w:top w:val="single" w:color="auto" w:sz="4" w:space="0"/>
              <w:left w:val="single" w:color="auto" w:sz="4" w:space="0"/>
              <w:right w:val="single" w:color="auto" w:sz="4" w:space="0"/>
            </w:tcBorders>
            <w:vAlign w:val="center"/>
          </w:tcPr>
          <w:p w14:paraId="1B63A8F6">
            <w:pPr>
              <w:keepNext w:val="0"/>
              <w:keepLines w:val="0"/>
              <w:pageBreakBefore w:val="0"/>
              <w:widowControl w:val="0"/>
              <w:kinsoku/>
              <w:wordWrap/>
              <w:overflowPunct/>
              <w:topLinePunct w:val="0"/>
              <w:autoSpaceDE w:val="0"/>
              <w:autoSpaceDN w:val="0"/>
              <w:bidi w:val="0"/>
              <w:spacing w:line="360" w:lineRule="auto"/>
              <w:ind w:left="0" w:right="0" w:firstLine="0" w:firstLineChars="0"/>
              <w:textAlignment w:val="auto"/>
              <w:rPr>
                <w:rFonts w:ascii="宋体" w:hAnsi="宋体" w:cs="宋体"/>
                <w:color w:val="auto"/>
                <w:sz w:val="21"/>
                <w:szCs w:val="21"/>
                <w:highlight w:val="none"/>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w:t>
            </w:r>
          </w:p>
        </w:tc>
        <w:tc>
          <w:tcPr>
            <w:tcW w:w="5651" w:type="dxa"/>
            <w:gridSpan w:val="2"/>
            <w:vAlign w:val="center"/>
          </w:tcPr>
          <w:p w14:paraId="5A15EFB6">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参选人</w:t>
            </w:r>
            <w:r>
              <w:rPr>
                <w:rFonts w:hint="eastAsia" w:ascii="宋体" w:hAnsi="宋体" w:cs="宋体"/>
                <w:color w:val="auto"/>
                <w:sz w:val="21"/>
                <w:szCs w:val="21"/>
                <w:highlight w:val="none"/>
              </w:rPr>
              <w:t>得分=参选价格得分+本地维护站得分</w:t>
            </w:r>
            <w:r>
              <w:rPr>
                <w:rFonts w:hint="eastAsia" w:ascii="宋体" w:hAnsi="宋体" w:cs="宋体"/>
                <w:color w:val="auto"/>
                <w:sz w:val="21"/>
                <w:szCs w:val="21"/>
                <w:highlight w:val="none"/>
                <w:lang w:val="en-US" w:eastAsia="zh-CN"/>
              </w:rPr>
              <w:t>+本地装机规模得分+本地合作案例得分+</w:t>
            </w:r>
            <w:r>
              <w:rPr>
                <w:rFonts w:hint="eastAsia" w:ascii="宋体"/>
                <w:color w:val="auto"/>
                <w:sz w:val="21"/>
                <w:szCs w:val="21"/>
                <w:highlight w:val="none"/>
              </w:rPr>
              <w:t>现金</w:t>
            </w:r>
            <w:r>
              <w:rPr>
                <w:rFonts w:hint="eastAsia" w:ascii="宋体"/>
                <w:color w:val="auto"/>
                <w:sz w:val="21"/>
                <w:szCs w:val="21"/>
                <w:highlight w:val="none"/>
                <w:lang w:eastAsia="zh-CN"/>
              </w:rPr>
              <w:t>额</w:t>
            </w:r>
            <w:r>
              <w:rPr>
                <w:rFonts w:hint="eastAsia" w:ascii="宋体"/>
                <w:color w:val="auto"/>
                <w:sz w:val="21"/>
                <w:szCs w:val="21"/>
                <w:highlight w:val="none"/>
                <w:lang w:val="en-US" w:eastAsia="zh-CN"/>
              </w:rPr>
              <w:t>情况得分+</w:t>
            </w:r>
            <w:r>
              <w:rPr>
                <w:rFonts w:hint="eastAsia" w:ascii="宋体"/>
                <w:color w:val="auto"/>
                <w:sz w:val="21"/>
                <w:szCs w:val="21"/>
                <w:highlight w:val="none"/>
              </w:rPr>
              <w:t>利润情况</w:t>
            </w:r>
            <w:r>
              <w:rPr>
                <w:rFonts w:hint="eastAsia" w:ascii="宋体"/>
                <w:color w:val="auto"/>
                <w:sz w:val="21"/>
                <w:szCs w:val="21"/>
                <w:highlight w:val="none"/>
                <w:lang w:val="en-US" w:eastAsia="zh-CN"/>
              </w:rPr>
              <w:t>得分</w:t>
            </w:r>
          </w:p>
        </w:tc>
      </w:tr>
      <w:bookmarkEnd w:id="69"/>
    </w:tbl>
    <w:p w14:paraId="7E6FB5AB">
      <w:pPr>
        <w:rPr>
          <w:rFonts w:ascii="宋体" w:hAnsi="宋体" w:cs="宋体"/>
          <w:snapToGrid w:val="0"/>
          <w:color w:val="auto"/>
          <w:sz w:val="21"/>
          <w:szCs w:val="21"/>
          <w:highlight w:val="none"/>
        </w:rPr>
      </w:pPr>
      <w:bookmarkStart w:id="70" w:name="_Toc636"/>
      <w:bookmarkStart w:id="71" w:name="_Toc21111"/>
      <w:r>
        <w:rPr>
          <w:rFonts w:hint="eastAsia" w:ascii="宋体" w:hAnsi="宋体" w:cs="宋体"/>
          <w:snapToGrid w:val="0"/>
          <w:color w:val="auto"/>
          <w:sz w:val="21"/>
          <w:szCs w:val="21"/>
          <w:highlight w:val="none"/>
        </w:rPr>
        <w:br w:type="page"/>
      </w:r>
    </w:p>
    <w:p w14:paraId="04CBF276">
      <w:pPr>
        <w:pStyle w:val="4"/>
        <w:bidi w:val="0"/>
        <w:rPr>
          <w:color w:val="auto"/>
          <w:highlight w:val="none"/>
          <w:lang w:val="en-US" w:eastAsia="zh-CN"/>
        </w:rPr>
      </w:pPr>
      <w:bookmarkStart w:id="72" w:name="_Toc28684"/>
      <w:bookmarkStart w:id="73" w:name="_Toc27234"/>
      <w:bookmarkStart w:id="74" w:name="_Toc18283"/>
      <w:r>
        <w:rPr>
          <w:rFonts w:hint="eastAsia"/>
          <w:color w:val="auto"/>
          <w:highlight w:val="none"/>
          <w:lang w:val="en-US" w:eastAsia="zh-CN"/>
        </w:rPr>
        <w:t>1. 评审方法</w:t>
      </w:r>
      <w:bookmarkEnd w:id="70"/>
      <w:bookmarkEnd w:id="71"/>
      <w:bookmarkEnd w:id="72"/>
      <w:bookmarkEnd w:id="73"/>
      <w:bookmarkEnd w:id="74"/>
    </w:p>
    <w:p w14:paraId="395009F6">
      <w:pPr>
        <w:bidi w:val="0"/>
        <w:rPr>
          <w:color w:val="auto"/>
          <w:highlight w:val="none"/>
        </w:rPr>
      </w:pPr>
      <w:bookmarkStart w:id="75" w:name="_Toc330569206"/>
      <w:bookmarkStart w:id="76" w:name="_Toc377067339"/>
      <w:bookmarkStart w:id="77" w:name="_Toc277082619"/>
      <w:bookmarkStart w:id="78" w:name="_Toc224103385"/>
      <w:bookmarkStart w:id="79" w:name="_Toc287620752"/>
      <w:bookmarkStart w:id="80" w:name="_Toc376114120"/>
      <w:bookmarkStart w:id="81" w:name="_Toc287607813"/>
      <w:bookmarkStart w:id="82" w:name="_Toc440022827"/>
      <w:bookmarkStart w:id="83" w:name="_Toc377115419"/>
      <w:bookmarkStart w:id="84" w:name="_Toc407195379"/>
      <w:bookmarkStart w:id="85" w:name="_Toc200513199"/>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2158F850">
      <w:pPr>
        <w:pStyle w:val="4"/>
        <w:bidi w:val="0"/>
        <w:rPr>
          <w:color w:val="auto"/>
          <w:highlight w:val="none"/>
          <w:lang w:val="en-US" w:eastAsia="zh-CN"/>
        </w:rPr>
      </w:pPr>
      <w:bookmarkStart w:id="86" w:name="_Toc27931"/>
      <w:bookmarkStart w:id="87" w:name="_Toc23969"/>
      <w:bookmarkStart w:id="88" w:name="_Toc5950"/>
      <w:bookmarkStart w:id="89" w:name="_Toc16716"/>
      <w:bookmarkStart w:id="90" w:name="_Toc2274"/>
      <w:bookmarkStart w:id="91" w:name="_Toc27406"/>
      <w:bookmarkStart w:id="92" w:name="_Toc444155968"/>
      <w:bookmarkStart w:id="93" w:name="_Toc31615"/>
      <w:bookmarkStart w:id="94" w:name="_Toc765"/>
      <w:r>
        <w:rPr>
          <w:rFonts w:hint="eastAsia"/>
          <w:color w:val="auto"/>
          <w:highlight w:val="none"/>
          <w:lang w:val="en-US" w:eastAsia="zh-CN"/>
        </w:rPr>
        <w:t>2. 评审标准</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6E1A32B">
      <w:pPr>
        <w:pStyle w:val="2"/>
        <w:bidi w:val="0"/>
        <w:rPr>
          <w:color w:val="auto"/>
          <w:highlight w:val="none"/>
          <w:lang w:val="en-US" w:eastAsia="zh-CN"/>
        </w:rPr>
      </w:pPr>
      <w:bookmarkStart w:id="95" w:name="_Toc21593"/>
      <w:bookmarkStart w:id="96" w:name="_Toc7584"/>
      <w:bookmarkStart w:id="97" w:name="_Toc23425"/>
      <w:bookmarkStart w:id="98" w:name="_Toc16537"/>
      <w:bookmarkStart w:id="99" w:name="_Toc440022828"/>
      <w:bookmarkStart w:id="100" w:name="_Toc444155969"/>
      <w:bookmarkStart w:id="101" w:name="_Toc287620753"/>
      <w:bookmarkStart w:id="102" w:name="_Toc10533"/>
      <w:bookmarkStart w:id="103" w:name="_Toc377115420"/>
      <w:bookmarkStart w:id="104" w:name="_Toc224103386"/>
      <w:bookmarkStart w:id="105" w:name="_Toc1358"/>
      <w:bookmarkStart w:id="106" w:name="_Toc330569207"/>
      <w:bookmarkStart w:id="107" w:name="_Toc377067340"/>
      <w:bookmarkStart w:id="108" w:name="_Toc200513200"/>
      <w:bookmarkStart w:id="109" w:name="_Toc277082620"/>
      <w:bookmarkStart w:id="110" w:name="_Toc287607814"/>
      <w:bookmarkStart w:id="111" w:name="_Toc376114121"/>
      <w:bookmarkStart w:id="112" w:name="_Toc11839"/>
      <w:bookmarkStart w:id="113" w:name="_Toc407195380"/>
      <w:r>
        <w:rPr>
          <w:rFonts w:hint="eastAsia"/>
          <w:color w:val="auto"/>
          <w:highlight w:val="none"/>
          <w:lang w:val="en-US" w:eastAsia="zh-CN"/>
        </w:rPr>
        <w:t>2.1 初步评审标准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EB03F18">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4205D532">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0CC681FE">
      <w:pPr>
        <w:bidi w:val="0"/>
        <w:rPr>
          <w:color w:val="auto"/>
          <w:highlight w:val="none"/>
        </w:rPr>
      </w:pPr>
      <w:r>
        <w:rPr>
          <w:rFonts w:hint="eastAsia"/>
          <w:color w:val="auto"/>
          <w:highlight w:val="none"/>
        </w:rPr>
        <w:t>2.1.3 响应性评审标准：见评审办法前附表。</w:t>
      </w:r>
    </w:p>
    <w:p w14:paraId="2EBAE45A">
      <w:pPr>
        <w:pStyle w:val="2"/>
        <w:bidi w:val="0"/>
        <w:rPr>
          <w:color w:val="auto"/>
          <w:highlight w:val="none"/>
          <w:lang w:val="en-US" w:eastAsia="zh-CN"/>
        </w:rPr>
      </w:pPr>
      <w:bookmarkStart w:id="114" w:name="_Toc2340"/>
      <w:bookmarkStart w:id="115" w:name="_Toc287607815"/>
      <w:bookmarkStart w:id="116" w:name="_Toc20840"/>
      <w:bookmarkStart w:id="117" w:name="_Toc440022829"/>
      <w:bookmarkStart w:id="118" w:name="_Toc9090"/>
      <w:bookmarkStart w:id="119" w:name="_Toc277082621"/>
      <w:bookmarkStart w:id="120" w:name="_Toc377067341"/>
      <w:bookmarkStart w:id="121" w:name="_Toc200513201"/>
      <w:bookmarkStart w:id="122" w:name="_Toc224103387"/>
      <w:bookmarkStart w:id="123" w:name="_Toc6503"/>
      <w:bookmarkStart w:id="124" w:name="_Toc287620754"/>
      <w:bookmarkStart w:id="125" w:name="_Toc25129"/>
      <w:bookmarkStart w:id="126" w:name="_Toc1387"/>
      <w:bookmarkStart w:id="127" w:name="_Toc377115421"/>
      <w:bookmarkStart w:id="128" w:name="_Toc444155970"/>
      <w:bookmarkStart w:id="129" w:name="_Toc23296"/>
      <w:bookmarkStart w:id="130" w:name="_Toc330569208"/>
      <w:bookmarkStart w:id="131" w:name="_Toc376114122"/>
      <w:bookmarkStart w:id="132" w:name="_Toc407195381"/>
      <w:r>
        <w:rPr>
          <w:rFonts w:hint="eastAsia"/>
          <w:color w:val="auto"/>
          <w:highlight w:val="none"/>
          <w:lang w:val="en-US" w:eastAsia="zh-CN"/>
        </w:rPr>
        <w:t>2.2 分值构成与评分标准</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5F5B14C">
      <w:pPr>
        <w:bidi w:val="0"/>
        <w:rPr>
          <w:color w:val="auto"/>
          <w:highlight w:val="none"/>
        </w:rPr>
      </w:pPr>
      <w:r>
        <w:rPr>
          <w:rFonts w:hint="eastAsia"/>
          <w:color w:val="auto"/>
          <w:highlight w:val="none"/>
        </w:rPr>
        <w:t xml:space="preserve">2.2.1 分值构成：见评审办法前附表。 </w:t>
      </w:r>
    </w:p>
    <w:p w14:paraId="1A6A9FE2">
      <w:pPr>
        <w:bidi w:val="0"/>
        <w:rPr>
          <w:color w:val="auto"/>
          <w:highlight w:val="none"/>
        </w:rPr>
      </w:pPr>
      <w:r>
        <w:rPr>
          <w:rFonts w:hint="eastAsia"/>
          <w:color w:val="auto"/>
          <w:highlight w:val="none"/>
        </w:rPr>
        <w:t>2.2.2 评审基准价计算方法：见评审办法前附表。</w:t>
      </w:r>
    </w:p>
    <w:p w14:paraId="159A88AF">
      <w:pPr>
        <w:bidi w:val="0"/>
        <w:rPr>
          <w:color w:val="auto"/>
          <w:highlight w:val="none"/>
        </w:rPr>
      </w:pPr>
      <w:r>
        <w:rPr>
          <w:rFonts w:hint="eastAsia"/>
          <w:color w:val="auto"/>
          <w:highlight w:val="none"/>
        </w:rPr>
        <w:t>2.2.3 评分标准：</w:t>
      </w:r>
    </w:p>
    <w:p w14:paraId="08D73293">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70CB419C">
      <w:pPr>
        <w:bidi w:val="0"/>
        <w:rPr>
          <w:color w:val="auto"/>
          <w:highlight w:val="none"/>
        </w:rPr>
      </w:pPr>
      <w:r>
        <w:rPr>
          <w:rFonts w:hint="eastAsia"/>
          <w:color w:val="auto"/>
          <w:highlight w:val="none"/>
        </w:rPr>
        <w:t>（2）商务部分评分标准：见评审办法前附表；</w:t>
      </w:r>
    </w:p>
    <w:p w14:paraId="6AAEDF71">
      <w:pPr>
        <w:pStyle w:val="4"/>
        <w:bidi w:val="0"/>
        <w:rPr>
          <w:color w:val="auto"/>
          <w:highlight w:val="none"/>
          <w:lang w:val="en-US" w:eastAsia="zh-CN"/>
        </w:rPr>
      </w:pPr>
      <w:bookmarkStart w:id="133" w:name="_Toc444155971"/>
      <w:bookmarkStart w:id="134" w:name="_Toc287607816"/>
      <w:bookmarkStart w:id="135" w:name="_Toc224103388"/>
      <w:bookmarkStart w:id="136" w:name="_Toc277082622"/>
      <w:bookmarkStart w:id="137" w:name="_Toc23633"/>
      <w:bookmarkStart w:id="138" w:name="_Toc330569209"/>
      <w:bookmarkStart w:id="139" w:name="_Toc376114123"/>
      <w:bookmarkStart w:id="140" w:name="_Toc377067342"/>
      <w:bookmarkStart w:id="141" w:name="_Toc14353"/>
      <w:bookmarkStart w:id="142" w:name="_Toc8004"/>
      <w:bookmarkStart w:id="143" w:name="_Toc287620755"/>
      <w:bookmarkStart w:id="144" w:name="_Toc12538"/>
      <w:bookmarkStart w:id="145" w:name="_Toc2982"/>
      <w:bookmarkStart w:id="146" w:name="_Toc200513202"/>
      <w:bookmarkStart w:id="147" w:name="_Toc5546"/>
      <w:bookmarkStart w:id="148" w:name="_Toc440022830"/>
      <w:bookmarkStart w:id="149" w:name="_Toc407195382"/>
      <w:bookmarkStart w:id="150" w:name="_Toc377115422"/>
      <w:bookmarkStart w:id="151" w:name="_Toc15132"/>
      <w:bookmarkStart w:id="152" w:name="_Toc9488"/>
      <w:r>
        <w:rPr>
          <w:rFonts w:hint="eastAsia"/>
          <w:color w:val="auto"/>
          <w:highlight w:val="none"/>
          <w:lang w:val="en-US" w:eastAsia="zh-CN"/>
        </w:rPr>
        <w:t>3. 评审程序</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A87B3A3">
      <w:pPr>
        <w:pStyle w:val="2"/>
        <w:bidi w:val="0"/>
        <w:rPr>
          <w:color w:val="auto"/>
          <w:highlight w:val="none"/>
          <w:lang w:val="en-US" w:eastAsia="zh-CN"/>
        </w:rPr>
      </w:pPr>
      <w:bookmarkStart w:id="153" w:name="_Toc5462"/>
      <w:bookmarkStart w:id="154" w:name="_Toc32002"/>
      <w:bookmarkStart w:id="155" w:name="_Toc377115423"/>
      <w:bookmarkStart w:id="156" w:name="_Toc200513203"/>
      <w:bookmarkStart w:id="157" w:name="_Toc277082623"/>
      <w:bookmarkStart w:id="158" w:name="_Toc22279"/>
      <w:bookmarkStart w:id="159" w:name="_Toc6448"/>
      <w:bookmarkStart w:id="160" w:name="_Toc19840"/>
      <w:bookmarkStart w:id="161" w:name="_Toc376114124"/>
      <w:bookmarkStart w:id="162" w:name="_Toc440022831"/>
      <w:bookmarkStart w:id="163" w:name="_Toc224103389"/>
      <w:bookmarkStart w:id="164" w:name="_Toc9683"/>
      <w:bookmarkStart w:id="165" w:name="_Toc287607817"/>
      <w:bookmarkStart w:id="166" w:name="_Toc444155972"/>
      <w:bookmarkStart w:id="167" w:name="_Toc407195383"/>
      <w:bookmarkStart w:id="168" w:name="_Toc330569210"/>
      <w:bookmarkStart w:id="169" w:name="_Toc287620756"/>
      <w:bookmarkStart w:id="170" w:name="_Toc13851"/>
      <w:bookmarkStart w:id="171" w:name="_Toc377067343"/>
      <w:r>
        <w:rPr>
          <w:rFonts w:hint="eastAsia"/>
          <w:color w:val="auto"/>
          <w:highlight w:val="none"/>
          <w:lang w:val="en-US" w:eastAsia="zh-CN"/>
        </w:rPr>
        <w:t>3.1 初步评审</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38855A9">
      <w:pPr>
        <w:bidi w:val="0"/>
        <w:rPr>
          <w:color w:val="auto"/>
          <w:highlight w:val="none"/>
        </w:rPr>
      </w:pPr>
      <w:bookmarkStart w:id="172" w:name="_Toc356243677"/>
      <w:bookmarkStart w:id="173" w:name="_Toc373172234"/>
      <w:bookmarkStart w:id="174" w:name="_Toc356484119"/>
      <w:bookmarkStart w:id="175" w:name="_Toc332028970"/>
      <w:bookmarkStart w:id="176" w:name="_Toc407195384"/>
      <w:bookmarkStart w:id="177" w:name="_Toc330569211"/>
      <w:bookmarkStart w:id="178" w:name="_Toc373264792"/>
      <w:bookmarkStart w:id="179" w:name="_Toc376114125"/>
      <w:bookmarkStart w:id="180" w:name="_Toc377115424"/>
      <w:bookmarkStart w:id="181" w:name="_Toc331232467"/>
      <w:bookmarkStart w:id="182" w:name="_Toc334002333"/>
      <w:bookmarkStart w:id="183" w:name="_Toc332015984"/>
      <w:bookmarkStart w:id="184" w:name="_Toc440022832"/>
      <w:bookmarkStart w:id="185" w:name="_Toc354387014"/>
      <w:bookmarkStart w:id="186" w:name="_Toc444155973"/>
      <w:bookmarkStart w:id="187" w:name="_Toc377067344"/>
      <w:bookmarkStart w:id="188" w:name="_Toc331232649"/>
      <w:bookmarkStart w:id="189" w:name="_Toc332380970"/>
      <w:bookmarkStart w:id="190" w:name="_Toc27164"/>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C63A039">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6B3A04FB">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188005A9">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13251FAD">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0805830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70CFBC50">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408EEFCF">
      <w:pPr>
        <w:pStyle w:val="2"/>
        <w:bidi w:val="0"/>
        <w:rPr>
          <w:color w:val="auto"/>
          <w:highlight w:val="none"/>
          <w:lang w:val="en-US" w:eastAsia="zh-CN"/>
        </w:rPr>
      </w:pPr>
      <w:bookmarkStart w:id="191" w:name="_Toc29925"/>
      <w:bookmarkStart w:id="192" w:name="_Toc200513204"/>
      <w:bookmarkStart w:id="193" w:name="_Toc407195385"/>
      <w:bookmarkStart w:id="194" w:name="_Toc10847"/>
      <w:bookmarkStart w:id="195" w:name="_Toc7832"/>
      <w:bookmarkStart w:id="196" w:name="_Toc22848"/>
      <w:bookmarkStart w:id="197" w:name="_Toc11246"/>
      <w:bookmarkStart w:id="198" w:name="_Toc224103390"/>
      <w:bookmarkStart w:id="199" w:name="_Toc330569212"/>
      <w:bookmarkStart w:id="200" w:name="_Toc444155974"/>
      <w:bookmarkStart w:id="201" w:name="_Toc440022833"/>
      <w:bookmarkStart w:id="202" w:name="_Toc277082624"/>
      <w:bookmarkStart w:id="203" w:name="_Toc287607818"/>
      <w:bookmarkStart w:id="204" w:name="_Toc376114126"/>
      <w:bookmarkStart w:id="205" w:name="_Toc377067345"/>
      <w:bookmarkStart w:id="206" w:name="_Toc19604"/>
      <w:bookmarkStart w:id="207" w:name="_Toc377115425"/>
      <w:bookmarkStart w:id="208" w:name="_Toc22246"/>
      <w:bookmarkStart w:id="209" w:name="_Toc287620757"/>
      <w:r>
        <w:rPr>
          <w:rFonts w:hint="eastAsia"/>
          <w:color w:val="auto"/>
          <w:highlight w:val="none"/>
          <w:lang w:val="en-US" w:eastAsia="zh-CN"/>
        </w:rPr>
        <w:t>3.2 详细评审</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FA96277">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894E5F">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5D6A86A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4677E4B7">
      <w:pPr>
        <w:bidi w:val="0"/>
        <w:rPr>
          <w:color w:val="auto"/>
          <w:highlight w:val="none"/>
        </w:rPr>
      </w:pPr>
      <w:r>
        <w:rPr>
          <w:rFonts w:hint="eastAsia"/>
          <w:color w:val="auto"/>
          <w:highlight w:val="none"/>
        </w:rPr>
        <w:t>3.2.2 评分分值计算保留小数点后两位，小数点后第三位“四舍五入”。</w:t>
      </w:r>
    </w:p>
    <w:p w14:paraId="728CFE25">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p>
    <w:p w14:paraId="3C1D9819">
      <w:pPr>
        <w:pStyle w:val="2"/>
        <w:bidi w:val="0"/>
        <w:rPr>
          <w:color w:val="auto"/>
          <w:highlight w:val="none"/>
          <w:lang w:val="en-US" w:eastAsia="zh-CN"/>
        </w:rPr>
      </w:pPr>
      <w:bookmarkStart w:id="210" w:name="_Toc444155975"/>
      <w:bookmarkStart w:id="211" w:name="_Toc277082625"/>
      <w:bookmarkStart w:id="212" w:name="_Toc2542"/>
      <w:bookmarkStart w:id="213" w:name="_Toc440022834"/>
      <w:bookmarkStart w:id="214" w:name="_Toc407195386"/>
      <w:bookmarkStart w:id="215" w:name="_Toc224103391"/>
      <w:bookmarkStart w:id="216" w:name="_Toc330569213"/>
      <w:bookmarkStart w:id="217" w:name="_Toc20948"/>
      <w:bookmarkStart w:id="218" w:name="_Toc18708"/>
      <w:bookmarkStart w:id="219" w:name="_Toc200513205"/>
      <w:bookmarkStart w:id="220" w:name="_Toc32039"/>
      <w:bookmarkStart w:id="221" w:name="_Toc7176"/>
      <w:bookmarkStart w:id="222" w:name="_Toc287620758"/>
      <w:bookmarkStart w:id="223" w:name="_Toc376114127"/>
      <w:bookmarkStart w:id="224" w:name="_Toc377115426"/>
      <w:bookmarkStart w:id="225" w:name="_Toc1080"/>
      <w:bookmarkStart w:id="226" w:name="_Toc29261"/>
      <w:bookmarkStart w:id="227" w:name="_Toc287607819"/>
      <w:bookmarkStart w:id="228" w:name="_Toc377067346"/>
      <w:r>
        <w:rPr>
          <w:rFonts w:hint="eastAsia"/>
          <w:color w:val="auto"/>
          <w:highlight w:val="none"/>
          <w:lang w:val="en-US" w:eastAsia="zh-CN"/>
        </w:rPr>
        <w:t>3.3 参选文件的澄清和补正</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A0CE40F">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35B6C0B6">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8A1E100">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798321AF">
      <w:pPr>
        <w:pStyle w:val="2"/>
        <w:bidi w:val="0"/>
        <w:rPr>
          <w:color w:val="auto"/>
          <w:highlight w:val="none"/>
          <w:lang w:val="en-US" w:eastAsia="zh-CN"/>
        </w:rPr>
      </w:pPr>
      <w:bookmarkStart w:id="229" w:name="_Toc200513206"/>
      <w:bookmarkStart w:id="230" w:name="_Toc287620759"/>
      <w:bookmarkStart w:id="231" w:name="_Toc377115427"/>
      <w:bookmarkStart w:id="232" w:name="_Toc6310"/>
      <w:bookmarkStart w:id="233" w:name="_Toc277082626"/>
      <w:bookmarkStart w:id="234" w:name="_Toc31270"/>
      <w:bookmarkStart w:id="235" w:name="_Toc287607820"/>
      <w:bookmarkStart w:id="236" w:name="_Toc14840"/>
      <w:bookmarkStart w:id="237" w:name="_Toc444155976"/>
      <w:bookmarkStart w:id="238" w:name="_Toc224103392"/>
      <w:bookmarkStart w:id="239" w:name="_Toc440022835"/>
      <w:bookmarkStart w:id="240" w:name="_Toc376114128"/>
      <w:bookmarkStart w:id="241" w:name="_Toc330569214"/>
      <w:bookmarkStart w:id="242" w:name="_Toc21450"/>
      <w:bookmarkStart w:id="243" w:name="_Toc30672"/>
      <w:bookmarkStart w:id="244" w:name="_Toc19054"/>
      <w:bookmarkStart w:id="245" w:name="_Toc4814"/>
      <w:bookmarkStart w:id="246" w:name="_Toc407195387"/>
      <w:bookmarkStart w:id="247" w:name="_Toc377067347"/>
      <w:r>
        <w:rPr>
          <w:rFonts w:hint="eastAsia"/>
          <w:color w:val="auto"/>
          <w:highlight w:val="none"/>
          <w:lang w:val="en-US" w:eastAsia="zh-CN"/>
        </w:rPr>
        <w:t>3.4 评审结果</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5DBC389">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2C200FEB">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56A65657">
      <w:pPr>
        <w:rPr>
          <w:color w:val="auto"/>
          <w:highlight w:val="none"/>
        </w:rPr>
      </w:pPr>
      <w:r>
        <w:rPr>
          <w:rFonts w:hint="eastAsia"/>
          <w:color w:val="auto"/>
          <w:highlight w:val="none"/>
          <w:lang w:val="en-US" w:eastAsia="zh-CN"/>
        </w:rPr>
        <w:t>3.4.3 有效参选不足两个的，</w:t>
      </w:r>
      <w:r>
        <w:rPr>
          <w:rFonts w:hint="eastAsia" w:ascii="Cambria Math" w:hAns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hAnsi="Cambria Math" w:cs="Cambria Math"/>
          <w:snapToGrid/>
          <w:color w:val="auto"/>
          <w:kern w:val="2"/>
          <w:sz w:val="24"/>
          <w:szCs w:val="20"/>
          <w:highlight w:val="none"/>
        </w:rPr>
        <w:t>判定，</w:t>
      </w:r>
      <w:r>
        <w:rPr>
          <w:rFonts w:hint="eastAsia" w:ascii="Cambria Math" w:hAnsi="Cambria Math" w:cs="Cambria Math"/>
          <w:snapToGrid/>
          <w:color w:val="auto"/>
          <w:kern w:val="2"/>
          <w:sz w:val="24"/>
          <w:szCs w:val="20"/>
          <w:highlight w:val="none"/>
          <w:lang w:val="en-US" w:eastAsia="zh-CN"/>
        </w:rPr>
        <w:t>参选人</w:t>
      </w:r>
      <w:r>
        <w:rPr>
          <w:rFonts w:hint="eastAsia" w:ascii="Cambria Math" w:hAns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5E424786">
      <w:pPr>
        <w:pStyle w:val="2"/>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2BD7334F">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443D94F6">
      <w:pPr>
        <w:pStyle w:val="2"/>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1C705726">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10092F7E">
      <w:pPr>
        <w:bidi w:val="0"/>
        <w:rPr>
          <w:color w:val="auto"/>
          <w:highlight w:val="none"/>
        </w:rPr>
      </w:pPr>
    </w:p>
    <w:p w14:paraId="44C47149">
      <w:pPr>
        <w:bidi w:val="0"/>
        <w:rPr>
          <w:rFonts w:hint="eastAsia"/>
          <w:color w:val="auto"/>
          <w:highlight w:val="none"/>
        </w:rPr>
      </w:pPr>
      <w:bookmarkStart w:id="248" w:name="_Toc150953074"/>
      <w:bookmarkStart w:id="249" w:name="_Toc89675170"/>
      <w:bookmarkStart w:id="250" w:name="_Toc303066034"/>
      <w:r>
        <w:rPr>
          <w:rFonts w:hint="eastAsia"/>
          <w:color w:val="auto"/>
          <w:highlight w:val="none"/>
        </w:rPr>
        <w:br w:type="page"/>
      </w:r>
    </w:p>
    <w:p w14:paraId="3C1E9172">
      <w:pPr>
        <w:pStyle w:val="3"/>
        <w:bidi w:val="0"/>
        <w:rPr>
          <w:color w:val="auto"/>
          <w:highlight w:val="none"/>
        </w:rPr>
      </w:pPr>
      <w:bookmarkStart w:id="251" w:name="_Toc6686"/>
      <w:r>
        <w:rPr>
          <w:rFonts w:hint="eastAsia"/>
          <w:color w:val="auto"/>
          <w:highlight w:val="none"/>
        </w:rPr>
        <w:t>第</w:t>
      </w:r>
      <w:r>
        <w:rPr>
          <w:rFonts w:hint="eastAsia"/>
          <w:color w:val="auto"/>
          <w:highlight w:val="none"/>
          <w:lang w:val="en-US" w:eastAsia="zh-CN"/>
        </w:rPr>
        <w:t>五</w:t>
      </w:r>
      <w:r>
        <w:rPr>
          <w:rFonts w:hint="eastAsia"/>
          <w:color w:val="auto"/>
          <w:highlight w:val="none"/>
        </w:rPr>
        <w:t>章 合同</w:t>
      </w:r>
      <w:r>
        <w:rPr>
          <w:color w:val="auto"/>
          <w:highlight w:val="none"/>
        </w:rPr>
        <w:t>模板</w:t>
      </w:r>
      <w:bookmarkEnd w:id="248"/>
      <w:bookmarkEnd w:id="251"/>
    </w:p>
    <w:p w14:paraId="7E829E52">
      <w:pPr>
        <w:keepNext w:val="0"/>
        <w:keepLines w:val="0"/>
        <w:pageBreakBefore w:val="0"/>
        <w:widowControl w:val="0"/>
        <w:kinsoku/>
        <w:wordWrap/>
        <w:overflowPunct/>
        <w:topLinePunct w:val="0"/>
        <w:autoSpaceDE w:val="0"/>
        <w:autoSpaceDN w:val="0"/>
        <w:bidi w:val="0"/>
        <w:adjustRightInd/>
        <w:snapToGrid/>
        <w:ind w:left="0" w:right="0" w:firstLine="0" w:firstLineChars="0"/>
        <w:jc w:val="center"/>
        <w:textAlignment w:val="auto"/>
        <w:rPr>
          <w:rFonts w:hint="eastAsia"/>
          <w:color w:val="auto"/>
          <w:highlight w:val="none"/>
          <w:lang w:val="en-US" w:eastAsia="zh-CN"/>
        </w:rPr>
      </w:pPr>
      <w:r>
        <w:rPr>
          <w:rFonts w:hint="eastAsia"/>
          <w:color w:val="auto"/>
          <w:highlight w:val="none"/>
          <w:lang w:val="en-US" w:eastAsia="zh-CN"/>
        </w:rPr>
        <w:t>（本章节的合同条款及格式仅供参考，具体以合同签订时为准）</w:t>
      </w:r>
    </w:p>
    <w:p w14:paraId="1FF8E059">
      <w:pPr>
        <w:jc w:val="center"/>
        <w:outlineLvl w:val="9"/>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重庆三峡银行智能柜员机（现金版）采购合同</w:t>
      </w:r>
    </w:p>
    <w:p w14:paraId="3EAF470E">
      <w:pPr>
        <w:outlineLvl w:val="9"/>
        <w:rPr>
          <w:rFonts w:hint="eastAsia" w:ascii="仿宋_GB2312" w:eastAsia="仿宋_GB2312"/>
          <w:color w:val="auto"/>
          <w:sz w:val="24"/>
          <w:highlight w:val="none"/>
        </w:rPr>
      </w:pPr>
      <w:r>
        <w:rPr>
          <w:rFonts w:hint="eastAsia" w:ascii="仿宋_GB2312" w:eastAsia="仿宋_GB2312"/>
          <w:b/>
          <w:color w:val="auto"/>
          <w:sz w:val="32"/>
          <w:szCs w:val="32"/>
          <w:highlight w:val="none"/>
        </w:rPr>
        <w:t xml:space="preserve">                                </w:t>
      </w:r>
      <w:r>
        <w:rPr>
          <w:rFonts w:hint="eastAsia" w:ascii="仿宋_GB2312" w:eastAsia="仿宋_GB2312"/>
          <w:color w:val="auto"/>
          <w:sz w:val="24"/>
          <w:highlight w:val="none"/>
        </w:rPr>
        <w:t>合同编号：</w:t>
      </w:r>
    </w:p>
    <w:p w14:paraId="2A66EC61">
      <w:pPr>
        <w:outlineLvl w:val="9"/>
        <w:rPr>
          <w:rFonts w:hint="eastAsia" w:ascii="仿宋_GB2312" w:eastAsia="仿宋_GB2312"/>
          <w:color w:val="auto"/>
          <w:sz w:val="32"/>
          <w:szCs w:val="32"/>
          <w:highlight w:val="none"/>
        </w:rPr>
      </w:pPr>
    </w:p>
    <w:p w14:paraId="266673D2">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甲方：重庆三峡银行股份有限公司</w:t>
      </w:r>
    </w:p>
    <w:p w14:paraId="422DBE42">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电话：                               传真：</w:t>
      </w:r>
    </w:p>
    <w:p w14:paraId="74F9517D">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地址：</w:t>
      </w:r>
    </w:p>
    <w:p w14:paraId="6C16CC21">
      <w:pPr>
        <w:outlineLvl w:val="9"/>
        <w:rPr>
          <w:rFonts w:hint="eastAsia" w:ascii="仿宋_GB2312" w:eastAsia="仿宋_GB2312"/>
          <w:color w:val="auto"/>
          <w:sz w:val="28"/>
          <w:szCs w:val="28"/>
          <w:highlight w:val="none"/>
        </w:rPr>
      </w:pPr>
    </w:p>
    <w:p w14:paraId="2EF73493">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乙方：                            （以下简称乙方） </w:t>
      </w:r>
    </w:p>
    <w:p w14:paraId="700D5F2D">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电话：                               传真：</w:t>
      </w:r>
    </w:p>
    <w:p w14:paraId="7354126F">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地址：</w:t>
      </w:r>
    </w:p>
    <w:p w14:paraId="5A373DAD">
      <w:pPr>
        <w:outlineLvl w:val="9"/>
        <w:rPr>
          <w:rFonts w:hint="eastAsia" w:ascii="仿宋_GB2312" w:eastAsia="仿宋_GB2312"/>
          <w:color w:val="auto"/>
          <w:sz w:val="28"/>
          <w:szCs w:val="28"/>
          <w:highlight w:val="none"/>
        </w:rPr>
      </w:pPr>
    </w:p>
    <w:p w14:paraId="19FBDE00">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甲、乙双方本着平等自愿、互惠互利、共同发展的原则，经友好协商，并在国家法律法规和行业政策允许的范围内就智能柜员机（现金版）合作项目达成如下协议：</w:t>
      </w:r>
    </w:p>
    <w:p w14:paraId="6452B478">
      <w:pPr>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第一条  合作内容</w:t>
      </w:r>
    </w:p>
    <w:p w14:paraId="46DEEB20">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（一）甲方根据自身业务发展需要，确定智能柜员机（现金版）采购批次、数量及供货时间。</w:t>
      </w:r>
    </w:p>
    <w:p w14:paraId="4D5E3423">
      <w:pPr>
        <w:ind w:firstLine="554"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合作期间，若单台智能柜员机（现金版）的价格上浮的，仍按本合同约定价格执行，甲方无需支付上浮部分价格；单台智能柜员机（现金版）的价格下浮动超过5%（含）的，甲方可向乙方提出议价需求，并以议价结果作为采购依据，签订补充协议。</w:t>
      </w:r>
    </w:p>
    <w:p w14:paraId="596DABFD">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（三）本项目中甲方向乙方所采购的所有智能柜员机（现金版）乙方均需免费参与后期设备维护，维护期自甲方</w:t>
      </w:r>
      <w:r>
        <w:rPr>
          <w:rFonts w:ascii="仿宋_GB2312" w:eastAsia="仿宋_GB2312"/>
          <w:color w:val="auto"/>
          <w:sz w:val="28"/>
          <w:szCs w:val="28"/>
          <w:highlight w:val="none"/>
        </w:rPr>
        <w:t>正式对外使用</w:t>
      </w:r>
      <w:r>
        <w:rPr>
          <w:rFonts w:hint="eastAsia" w:ascii="仿宋_GB2312" w:eastAsia="仿宋_GB2312"/>
          <w:color w:val="auto"/>
          <w:sz w:val="28"/>
          <w:szCs w:val="28"/>
          <w:highlight w:val="none"/>
        </w:rPr>
        <w:t>之日起计算6年，维护期内乙方需无条件向甲方提供长期有效的技术支持，配合甲方解决设备运行过程中遇到的技术性问题。维护期满后，甲方若需乙方继续进行维护工作，由双方另行约定。</w:t>
      </w:r>
    </w:p>
    <w:p w14:paraId="00DAAFAA">
      <w:pPr>
        <w:spacing w:line="360" w:lineRule="auto"/>
        <w:ind w:right="-264" w:rightChars="-110" w:firstLine="495" w:firstLineChars="177"/>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（四）乙方对甲方采购机型进行维护（详见附件三），包括但不限于：设备日常保养、软硬件升级、故障模块更换等。并满足甲方业务需求及监管部门相关要求作出的任何升级改造。</w:t>
      </w:r>
    </w:p>
    <w:p w14:paraId="62BCFCB4">
      <w:pPr>
        <w:snapToGrid w:val="0"/>
        <w:spacing w:line="360" w:lineRule="auto"/>
        <w:ind w:firstLine="560" w:firstLineChars="200"/>
        <w:outlineLvl w:val="9"/>
        <w:rPr>
          <w:rFonts w:hint="eastAsia" w:ascii="仿宋_GB2312" w:eastAsia="仿宋_GB2312"/>
          <w:snapToGrid w:val="0"/>
          <w:color w:val="auto"/>
          <w:sz w:val="28"/>
          <w:szCs w:val="28"/>
          <w:highlight w:val="none"/>
        </w:rPr>
      </w:pPr>
      <w:r>
        <w:rPr>
          <w:rFonts w:hint="eastAsia" w:ascii="仿宋_GB2312" w:eastAsia="仿宋_GB2312"/>
          <w:color w:val="auto"/>
          <w:sz w:val="28"/>
          <w:szCs w:val="28"/>
          <w:highlight w:val="none"/>
        </w:rPr>
        <w:t>（五）乙方向甲方出售智能柜员机（现金版），型号为：       ,设备每台单价价格为含税价     元</w:t>
      </w:r>
      <w:r>
        <w:rPr>
          <w:rFonts w:hint="eastAsia" w:ascii="仿宋_GB2312" w:eastAsia="仿宋_GB2312"/>
          <w:color w:val="auto"/>
          <w:kern w:val="0"/>
          <w:sz w:val="28"/>
          <w:szCs w:val="28"/>
          <w:highlight w:val="none"/>
        </w:rPr>
        <w:t>，</w:t>
      </w:r>
      <w:r>
        <w:rPr>
          <w:rFonts w:hint="eastAsia" w:ascii="仿宋_GB2312" w:eastAsia="仿宋_GB2312"/>
          <w:color w:val="auto"/>
          <w:sz w:val="28"/>
          <w:szCs w:val="28"/>
          <w:highlight w:val="none"/>
        </w:rPr>
        <w:t>乙方向甲方出售的智能柜员机（现金版）需包含《设备配置清单》（附件一）列出所有功能模块和设备部件，甲方无需另行支付此部分价格款。具体设备采购数量以甲方出具的《重庆三峡银行自助设备发货通知书》（附件二）为准。若甲方需另行采购附件一所列设备配置的，价格按照附件一执行（</w:t>
      </w:r>
      <w:r>
        <w:rPr>
          <w:rFonts w:hint="eastAsia" w:ascii="仿宋_GB2312" w:eastAsia="仿宋_GB2312"/>
          <w:snapToGrid w:val="0"/>
          <w:color w:val="auto"/>
          <w:sz w:val="28"/>
          <w:szCs w:val="28"/>
          <w:highlight w:val="none"/>
        </w:rPr>
        <w:t>零整比不高于设备价格的30%）。</w:t>
      </w:r>
    </w:p>
    <w:p w14:paraId="1FB56E52">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（六）甲、乙双方在签订本合同的同时需签订《重庆三峡银行智能柜员机（现金版）技术服务协议》作为本合同不可分割之部分（附件三）。</w:t>
      </w:r>
    </w:p>
    <w:p w14:paraId="48DDAD65">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七）甲方按自身需要向乙方提出送货要求，甲方在本合同项下没有必须向乙方订货的义务，双方按实际交付的货物数量结算。如果甲方在本合同有效期内没有向乙方提出送货的要求，本合同自行终止，乙方无权要求甲方承担违约责任，甲方无需向乙方支付任何费用。</w:t>
      </w:r>
    </w:p>
    <w:p w14:paraId="3481F951">
      <w:pPr>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第二条  付款方式</w:t>
      </w:r>
    </w:p>
    <w:p w14:paraId="70CC25F7">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（一）本合同中的一切价款、费用、金额等均以人民币进行结算、支付；</w:t>
      </w:r>
    </w:p>
    <w:p w14:paraId="4B3FE535">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本合同中乙方智能柜员机（现金版）安装到甲方指定位置投入正常使用并经甲方验收通过后，次月由乙方向甲方提交对账单，双方核对采购的设备数目无误后，乙方向甲方出具智能柜员机（现金版）采购发票（13%的增值税专用发票），甲方收到乙方发票后30日内将设备采购款项通过转账形式划到乙方指定的乙方银行账户;</w:t>
      </w:r>
    </w:p>
    <w:p w14:paraId="4E401DA9">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（三）乙方指定的银行账户信息：</w:t>
      </w:r>
    </w:p>
    <w:p w14:paraId="24A6DD7E">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户  名：</w:t>
      </w:r>
    </w:p>
    <w:p w14:paraId="28EBA5F9">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开户行：</w:t>
      </w:r>
    </w:p>
    <w:p w14:paraId="6CD3226D">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账  号：</w:t>
      </w:r>
    </w:p>
    <w:p w14:paraId="1A8D991C">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（四）在质保期内（维护期内），如乙方未按约定履行维护义务，甲方有权另行委托第三方进行维修（维护），由此产生的费用从质保金中扣除，不足部分由乙方按要求补足。</w:t>
      </w:r>
    </w:p>
    <w:p w14:paraId="1DEB3BB0">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五）本条约定的开具发票所涉及到的相应税费由乙方交纳。若乙方提供的发票不符合约定，甲方有权拒绝支付任何款项并不承担逾期付款违约责任。相关税费如遇国家税务政策调整，按调整后的国家税务政策开具增值税专用发票。</w:t>
      </w:r>
    </w:p>
    <w:p w14:paraId="2F141495">
      <w:pPr>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第三条  相关标准及违约责任</w:t>
      </w:r>
    </w:p>
    <w:p w14:paraId="3E48AC0C">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（一）乙方在收到甲方出具的《重庆三峡银行自助设备发货通知书》后50日内将智能柜员机（现金版）送达指定地址且按甲方要求和标准安装到位并通过甲方书面确认，其间发生的一切费用、风险由乙方承担。</w:t>
      </w:r>
    </w:p>
    <w:p w14:paraId="70A52D29">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乙方如未在甲方规定时间内将智能柜员机（现金版）送达指定安装地点并安装到位时，甲方可拒绝签字确认，且每延迟一天，乙方须向甲方支付1000元违约金，同时甲方有权拒收该设备并更换其他品牌设备（因甲方临时变更设备安装地址除外），由此给甲方造成的损失，乙方应全额赔偿。延迟超过7日，甲方有权解除本合同。</w:t>
      </w:r>
    </w:p>
    <w:p w14:paraId="1B1C622C">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三）甲方验收智能柜员机（现金版）时发现设备外观损毁、配件不全或其他严重质量问题时，甲方有权要求乙方一周内补齐配件或免费重新更换新设备。否则，甲方有权随时解除本合同，不予支付任何费用，且乙方应赔偿给甲方造成的所有损失。</w:t>
      </w:r>
    </w:p>
    <w:p w14:paraId="59986A2C">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（四）甲方对智能柜员机（现金版）验收时需提前1天通知乙方做好相应准备工作，且验收过程中乙方工作人员必须到场全程参与。</w:t>
      </w:r>
    </w:p>
    <w:p w14:paraId="6A936B18">
      <w:pPr>
        <w:ind w:firstLine="54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六）因智能柜员机（现金版）漏电、静电、感应电或设备自身原因导致的火灾等情况发生时，造成的财产损失或导致的人体不适、人身伤害、财产损失等安全事故，由乙方承担全部赔偿责任，同时乙方需承担甲方因此事件采取紧急应对措施所涉及到的全部费用。</w:t>
      </w:r>
    </w:p>
    <w:p w14:paraId="26514274">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七）智能柜员机（现金版）安装到位后由乙方对其设备进行加固处理：采用膨胀螺丝、专业加固卡等不易破坏的金属材质埋入地下，同时地面部位与设备的连接处需用电焊焊死，保证其不松动、不脱落、不易破坏，乙方未对设备进行加固或加固不牢时，甲方有权拒绝设备验收并要求乙方进行整改，直至达到相关安防标准,由此产生的费用由乙方承担。若整改后仍未通过甲方验收，甲方有权随时解除本合同，不予支付任何费用，且乙方应赔偿给甲方造成的所有损失。</w:t>
      </w:r>
    </w:p>
    <w:p w14:paraId="523DE10B">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八）智能柜员机（现金版）因自身原因或乙方原因造成吐钞异常或发生账务差错时，所造成的甲方损失由乙方全部承担。因甲方系统故障或甲方原因造成的设备吐钞异常或账务差错时，乙方不承担任何责任。如出现设备吐钞异常或账务差错责任不明的情况时，由乙方先行垫付相关差错金额。</w:t>
      </w:r>
    </w:p>
    <w:p w14:paraId="140F14E2">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（九）智能柜员机（现金版）无论任何形式收取到假币、变造币等非法定正常流通币种时，乙方须立即按照1:1的比例对甲方进行赔付。同时，甲方需全力配合乙方进行相关取证工作。</w:t>
      </w:r>
    </w:p>
    <w:p w14:paraId="2100EF5F">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十）甲乙双方另行签订《重庆三峡银行智能柜员机（现金版）技术服务协议》，界定智能柜员机（现金版）服务范围、要求及标准等事项，该协议作为《重庆三峡银行智能柜员机（现金版）采购合同》的重要组成部分，因乙方提供智能柜员机（现金版）设计缺陷造成设备不能恢复正常运行或未达到《重庆三峡银行智能柜员机（现金版）技术服务协议》中约定时，甲方有权要求乙方免费更换</w:t>
      </w:r>
      <w:r>
        <w:rPr>
          <w:rFonts w:hint="eastAsia" w:ascii="仿宋_GB2312" w:eastAsia="仿宋_GB2312" w:cs="宋体"/>
          <w:snapToGrid w:val="0"/>
          <w:color w:val="auto"/>
          <w:kern w:val="0"/>
          <w:sz w:val="28"/>
          <w:szCs w:val="28"/>
          <w:highlight w:val="none"/>
          <w:lang w:bidi="ar-SA"/>
        </w:rPr>
        <w:t>该型号的新设备</w:t>
      </w:r>
      <w:r>
        <w:rPr>
          <w:rFonts w:hint="eastAsia" w:ascii="仿宋_GB2312" w:eastAsia="仿宋_GB2312"/>
          <w:color w:val="auto"/>
          <w:sz w:val="28"/>
          <w:szCs w:val="28"/>
          <w:highlight w:val="none"/>
        </w:rPr>
        <w:t>或将设备直接退还乙方，乙方根据甲方固定资产剩余残值向甲方退还已付设备采购款项，同时甲方重新更换其他厂商设备，由此产生和涉及到的运费、设备安装拆除费等一切费用均由乙方承担，甲方不再支付任何费用。</w:t>
      </w:r>
    </w:p>
    <w:p w14:paraId="5C0BC25E">
      <w:pPr>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第四条  知识产权</w:t>
      </w:r>
    </w:p>
    <w:p w14:paraId="05C92BAE">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乙方依据本合同向甲方提供的任何产品（包括但不限于：设备硬件、设备软件、设备配件、设备本身等）和服务不存在侵犯任何其他方知识产权或专利权的情形；如甲方因此遭受任何第三方的起诉或索赔，乙方承诺主动与起诉方或索赔方进行交涉，为甲方的应诉或处理索赔事宜支付费用，支付甲方因败诉或被索赔应偿付的赔偿款，并对甲方由此造成的全部损失进行赔偿。</w:t>
      </w:r>
    </w:p>
    <w:p w14:paraId="5EA6B277">
      <w:pPr>
        <w:pStyle w:val="9"/>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第五条  争议解决方式</w:t>
      </w:r>
    </w:p>
    <w:p w14:paraId="0A278D72">
      <w:pPr>
        <w:pStyle w:val="9"/>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（一）甲、乙双方在本合同的履行过程中发生争议时应本着友好协商、平等互利的原则协商解决；协商不成时任何一方均有权向本合同首部载明的甲方地址所在地有管辖权的人民法院提起诉讼；</w:t>
      </w:r>
    </w:p>
    <w:p w14:paraId="7710D8C1">
      <w:pPr>
        <w:pStyle w:val="9"/>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（二）诉讼期间双方应继续履行合同中没有争议部分的义务。</w:t>
      </w:r>
    </w:p>
    <w:p w14:paraId="40E77E11">
      <w:pPr>
        <w:pStyle w:val="9"/>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第六条 通知与送达</w:t>
      </w:r>
    </w:p>
    <w:p w14:paraId="113D401D">
      <w:pPr>
        <w:pStyle w:val="9"/>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除双方另有约定，本合同项下的所有通知均应通过书面形式，按本合同载明的住所/地址及联系方式进行，乙方地址、联系方式如有变动，应于10日内以书面形式通知甲方，甲方住所/地址、联系方式如有变动，应采用公告、网上银行、电话银行等方式通知乙方。否则，向本合同所载明的住所/地址和联系方式发送有关文件，均视为送达。</w:t>
      </w:r>
    </w:p>
    <w:p w14:paraId="1591AF54">
      <w:pPr>
        <w:pStyle w:val="9"/>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发生纠纷的，本合同所载明的住所/地址为司法送达地址，法院、仲裁机构等有权机关依照前述地址邮寄的传票、证据、通知、裁定、判决等诉讼（仲裁）文书及执行阶段法律文书资料，无论是否签收，均视为送达，当事人承担法律责任。</w:t>
      </w:r>
    </w:p>
    <w:p w14:paraId="46576252">
      <w:pPr>
        <w:pStyle w:val="9"/>
        <w:outlineLvl w:val="9"/>
        <w:rPr>
          <w:rFonts w:hint="eastAsia" w:ascii="仿宋_GB2312" w:eastAsia="仿宋_GB2312"/>
          <w:b/>
          <w:color w:val="auto"/>
          <w:sz w:val="28"/>
          <w:szCs w:val="28"/>
          <w:highlight w:val="none"/>
        </w:rPr>
      </w:pPr>
      <w:r>
        <w:rPr>
          <w:rFonts w:hint="eastAsia" w:ascii="仿宋_GB2312" w:eastAsia="仿宋_GB2312"/>
          <w:b/>
          <w:color w:val="auto"/>
          <w:sz w:val="28"/>
          <w:szCs w:val="28"/>
          <w:highlight w:val="none"/>
        </w:rPr>
        <w:t>第七条  其他</w:t>
      </w:r>
    </w:p>
    <w:p w14:paraId="334DB0DB">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（一）除非本合同另有约定外，本合同中权利、义务所涉及到的内容均指在合作服务期内；</w:t>
      </w:r>
    </w:p>
    <w:p w14:paraId="662E1FF8">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（二）本合同壹式陆份，甲、乙双方各执叁份，自双方加盖公章之日起正式生效，每份合同具有同等法律效力；</w:t>
      </w:r>
    </w:p>
    <w:p w14:paraId="0B26A2F5">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（三）未尽事宜双方协商解决，可另行签订补充合同和附件，经双方加盖公章后生效；</w:t>
      </w:r>
    </w:p>
    <w:p w14:paraId="20696044">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（四）甲方有权经提前通知乙方后随时解除或终止本合同；</w:t>
      </w:r>
    </w:p>
    <w:p w14:paraId="00A8FE16">
      <w:pPr>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（五）本合同于    年   月   日在重庆市签署，自签订之日起生效，有效期</w:t>
      </w:r>
      <w:r>
        <w:rPr>
          <w:rFonts w:ascii="仿宋_GB2312" w:eastAsia="仿宋_GB2312"/>
          <w:color w:val="auto"/>
          <w:sz w:val="28"/>
          <w:szCs w:val="28"/>
          <w:highlight w:val="none"/>
        </w:rPr>
        <w:t>一年，合同期满后如双方无异议，合同自动顺延一年，但最长时限不超过三年</w:t>
      </w:r>
      <w:r>
        <w:rPr>
          <w:rFonts w:hint="eastAsia" w:ascii="仿宋_GB2312" w:eastAsia="仿宋_GB2312"/>
          <w:color w:val="auto"/>
          <w:sz w:val="28"/>
          <w:szCs w:val="28"/>
          <w:highlight w:val="none"/>
        </w:rPr>
        <w:t>。</w:t>
      </w:r>
    </w:p>
    <w:p w14:paraId="529CAD93">
      <w:pPr>
        <w:pStyle w:val="9"/>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附件一：《设备配置清单》 </w:t>
      </w:r>
    </w:p>
    <w:p w14:paraId="3EED3C2A">
      <w:pPr>
        <w:pStyle w:val="9"/>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附件二：《重庆三峡银行自助设备发货通知书》</w:t>
      </w:r>
    </w:p>
    <w:p w14:paraId="2A42ACB6">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附件三：《重庆三峡银行智能柜员机（现金版）技术服务协议》</w:t>
      </w:r>
    </w:p>
    <w:p w14:paraId="38C98260">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（本页无正文，为编号：     《重庆三峡银行智能柜员机（现金版）采购合同》签署页）</w:t>
      </w:r>
    </w:p>
    <w:p w14:paraId="097A77A0">
      <w:pPr>
        <w:outlineLvl w:val="9"/>
        <w:rPr>
          <w:rFonts w:hint="eastAsia" w:ascii="仿宋_GB2312" w:eastAsia="仿宋_GB2312"/>
          <w:color w:val="auto"/>
          <w:sz w:val="28"/>
          <w:szCs w:val="28"/>
          <w:highlight w:val="none"/>
        </w:rPr>
      </w:pPr>
    </w:p>
    <w:p w14:paraId="6FFF82F1">
      <w:pPr>
        <w:outlineLvl w:val="9"/>
        <w:rPr>
          <w:rFonts w:hint="eastAsia" w:ascii="仿宋_GB2312" w:eastAsia="仿宋_GB2312"/>
          <w:color w:val="auto"/>
          <w:sz w:val="28"/>
          <w:szCs w:val="28"/>
          <w:highlight w:val="none"/>
        </w:rPr>
      </w:pPr>
    </w:p>
    <w:p w14:paraId="4D129368">
      <w:pPr>
        <w:outlineLvl w:val="9"/>
        <w:rPr>
          <w:rFonts w:hint="eastAsia" w:ascii="仿宋_GB2312" w:eastAsia="仿宋_GB2312"/>
          <w:color w:val="auto"/>
          <w:sz w:val="28"/>
          <w:szCs w:val="28"/>
          <w:highlight w:val="none"/>
        </w:rPr>
      </w:pPr>
    </w:p>
    <w:p w14:paraId="4BDAE16F">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甲方（盖章）：                      乙方（盖章）：</w:t>
      </w:r>
    </w:p>
    <w:p w14:paraId="4BB567AD">
      <w:pPr>
        <w:ind w:left="4900" w:hanging="4900" w:hangingChars="175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u w:val="single"/>
        </w:rPr>
        <w:t>重庆三峡银行股份有限公司</w:t>
      </w: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kern w:val="0"/>
          <w:sz w:val="28"/>
          <w:szCs w:val="28"/>
          <w:highlight w:val="none"/>
          <w:u w:val="single"/>
        </w:rPr>
        <w:t xml:space="preserve">      </w:t>
      </w:r>
      <w:r>
        <w:rPr>
          <w:rFonts w:hint="eastAsia" w:ascii="仿宋_GB2312" w:eastAsia="仿宋_GB2312"/>
          <w:color w:val="auto"/>
          <w:sz w:val="28"/>
          <w:szCs w:val="28"/>
          <w:highlight w:val="none"/>
          <w:u w:val="single"/>
        </w:rPr>
        <w:t xml:space="preserve"> </w:t>
      </w:r>
    </w:p>
    <w:p w14:paraId="2E6693DD">
      <w:pPr>
        <w:pStyle w:val="9"/>
        <w:outlineLvl w:val="9"/>
        <w:rPr>
          <w:rFonts w:hint="eastAsia" w:ascii="仿宋_GB2312" w:eastAsia="仿宋_GB2312"/>
          <w:color w:val="auto"/>
          <w:sz w:val="28"/>
          <w:szCs w:val="28"/>
          <w:highlight w:val="none"/>
        </w:rPr>
      </w:pPr>
    </w:p>
    <w:p w14:paraId="48DB6D82">
      <w:pPr>
        <w:outlineLvl w:val="9"/>
        <w:rPr>
          <w:color w:val="auto"/>
          <w:highlight w:val="none"/>
        </w:rPr>
      </w:pPr>
    </w:p>
    <w:p w14:paraId="18770B76">
      <w:pPr>
        <w:outlineLvl w:val="9"/>
        <w:rPr>
          <w:color w:val="auto"/>
          <w:highlight w:val="none"/>
        </w:rPr>
      </w:pPr>
    </w:p>
    <w:p w14:paraId="7B30D0AB">
      <w:pPr>
        <w:outlineLvl w:val="9"/>
        <w:rPr>
          <w:color w:val="auto"/>
          <w:highlight w:val="none"/>
        </w:rPr>
      </w:pPr>
    </w:p>
    <w:p w14:paraId="7BE94D77">
      <w:pPr>
        <w:outlineLvl w:val="9"/>
        <w:rPr>
          <w:color w:val="auto"/>
          <w:highlight w:val="none"/>
        </w:rPr>
      </w:pPr>
    </w:p>
    <w:p w14:paraId="20381070">
      <w:pPr>
        <w:pStyle w:val="9"/>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附件：一</w:t>
      </w:r>
    </w:p>
    <w:tbl>
      <w:tblPr>
        <w:tblStyle w:val="15"/>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2160"/>
        <w:gridCol w:w="1441"/>
        <w:gridCol w:w="720"/>
        <w:gridCol w:w="900"/>
        <w:gridCol w:w="3060"/>
      </w:tblGrid>
      <w:tr w14:paraId="7A12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928" w:type="dxa"/>
            <w:gridSpan w:val="6"/>
            <w:tcBorders>
              <w:top w:val="nil"/>
              <w:left w:val="nil"/>
              <w:bottom w:val="single" w:color="auto" w:sz="4" w:space="0"/>
              <w:right w:val="nil"/>
              <w:tl2br w:val="nil"/>
              <w:tr2bl w:val="nil"/>
            </w:tcBorders>
            <w:noWrap/>
            <w:vAlign w:val="center"/>
          </w:tcPr>
          <w:p w14:paraId="28F380F8">
            <w:pPr>
              <w:spacing w:line="240" w:lineRule="auto"/>
              <w:ind w:firstLine="0" w:firstLineChars="0"/>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设备配置清单</w:t>
            </w:r>
          </w:p>
        </w:tc>
      </w:tr>
      <w:tr w14:paraId="350F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D9CAD45">
            <w:pPr>
              <w:spacing w:line="240" w:lineRule="auto"/>
              <w:ind w:left="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43C4B75F">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模块名称</w:t>
            </w: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A551EF8">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EB6BB3A">
            <w:pPr>
              <w:spacing w:line="240" w:lineRule="auto"/>
              <w:ind w:left="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24FCB667">
            <w:pPr>
              <w:spacing w:line="240" w:lineRule="auto"/>
              <w:ind w:left="0" w:firstLine="0" w:firstLineChars="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5533D204">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r>
      <w:tr w14:paraId="2B5EE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1FFC136E">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130DD27">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06A4A600">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002F638B">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2281A95B">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1F63A21C">
            <w:pPr>
              <w:spacing w:line="240" w:lineRule="auto"/>
              <w:ind w:firstLine="0" w:firstLineChars="0"/>
              <w:jc w:val="center"/>
              <w:outlineLvl w:val="9"/>
              <w:rPr>
                <w:rFonts w:hint="eastAsia" w:ascii="宋体" w:hAnsi="宋体" w:eastAsia="宋体" w:cs="宋体"/>
                <w:color w:val="auto"/>
                <w:sz w:val="21"/>
                <w:szCs w:val="21"/>
                <w:highlight w:val="none"/>
              </w:rPr>
            </w:pPr>
          </w:p>
        </w:tc>
      </w:tr>
      <w:tr w14:paraId="3C786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2E157938">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9CD5986">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285879CF">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551E833">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64F0324">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74A73476">
            <w:pPr>
              <w:spacing w:line="240" w:lineRule="auto"/>
              <w:ind w:firstLine="0" w:firstLineChars="0"/>
              <w:jc w:val="center"/>
              <w:outlineLvl w:val="9"/>
              <w:rPr>
                <w:rFonts w:hint="eastAsia" w:ascii="宋体" w:hAnsi="宋体" w:eastAsia="宋体" w:cs="宋体"/>
                <w:color w:val="auto"/>
                <w:sz w:val="21"/>
                <w:szCs w:val="21"/>
                <w:highlight w:val="none"/>
              </w:rPr>
            </w:pPr>
          </w:p>
        </w:tc>
      </w:tr>
      <w:tr w14:paraId="1AED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1DB0ECC9">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771E862F">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D8BA58D">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0FABBF2E">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627D87FD">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6A08B132">
            <w:pPr>
              <w:spacing w:line="240" w:lineRule="auto"/>
              <w:ind w:firstLine="0" w:firstLineChars="0"/>
              <w:jc w:val="center"/>
              <w:outlineLvl w:val="9"/>
              <w:rPr>
                <w:rFonts w:hint="eastAsia" w:ascii="宋体" w:hAnsi="宋体" w:eastAsia="宋体" w:cs="宋体"/>
                <w:color w:val="auto"/>
                <w:sz w:val="21"/>
                <w:szCs w:val="21"/>
                <w:highlight w:val="none"/>
              </w:rPr>
            </w:pPr>
          </w:p>
        </w:tc>
      </w:tr>
      <w:tr w14:paraId="6A39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7D58F45">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77B9A9E5">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6914384">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519AECC">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AB9E6EA">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121FA152">
            <w:pPr>
              <w:spacing w:line="240" w:lineRule="auto"/>
              <w:ind w:firstLine="0" w:firstLineChars="0"/>
              <w:jc w:val="center"/>
              <w:outlineLvl w:val="9"/>
              <w:rPr>
                <w:rFonts w:hint="eastAsia" w:ascii="宋体" w:hAnsi="宋体" w:eastAsia="宋体" w:cs="宋体"/>
                <w:color w:val="auto"/>
                <w:sz w:val="21"/>
                <w:szCs w:val="21"/>
                <w:highlight w:val="none"/>
              </w:rPr>
            </w:pPr>
          </w:p>
        </w:tc>
      </w:tr>
      <w:tr w14:paraId="23982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367E11F2">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338159B">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EB77AE4">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661458AA">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9FF729D">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1186BFBD">
            <w:pPr>
              <w:spacing w:line="240" w:lineRule="auto"/>
              <w:ind w:firstLine="0" w:firstLineChars="0"/>
              <w:jc w:val="center"/>
              <w:outlineLvl w:val="9"/>
              <w:rPr>
                <w:rFonts w:hint="eastAsia" w:ascii="宋体" w:hAnsi="宋体" w:eastAsia="宋体" w:cs="宋体"/>
                <w:color w:val="auto"/>
                <w:sz w:val="21"/>
                <w:szCs w:val="21"/>
                <w:highlight w:val="none"/>
              </w:rPr>
            </w:pPr>
          </w:p>
        </w:tc>
      </w:tr>
      <w:tr w14:paraId="0B7A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43767CE4">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C6823BB">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031B2B09">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352EB79">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0022D0B3">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D560477">
            <w:pPr>
              <w:spacing w:line="240" w:lineRule="auto"/>
              <w:ind w:firstLine="0" w:firstLineChars="0"/>
              <w:jc w:val="center"/>
              <w:outlineLvl w:val="9"/>
              <w:rPr>
                <w:rFonts w:hint="eastAsia" w:ascii="宋体" w:hAnsi="宋体" w:eastAsia="宋体" w:cs="宋体"/>
                <w:color w:val="auto"/>
                <w:sz w:val="21"/>
                <w:szCs w:val="21"/>
                <w:highlight w:val="none"/>
              </w:rPr>
            </w:pPr>
          </w:p>
        </w:tc>
      </w:tr>
      <w:tr w14:paraId="5E1FF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6CFF498">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538ECBE8">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AC7D5AD">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E1BB2E3">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904BB7B">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3441D8D9">
            <w:pPr>
              <w:spacing w:line="240" w:lineRule="auto"/>
              <w:ind w:firstLine="0" w:firstLineChars="0"/>
              <w:jc w:val="center"/>
              <w:outlineLvl w:val="9"/>
              <w:rPr>
                <w:rFonts w:hint="eastAsia" w:ascii="宋体" w:hAnsi="宋体" w:eastAsia="宋体" w:cs="宋体"/>
                <w:color w:val="auto"/>
                <w:sz w:val="21"/>
                <w:szCs w:val="21"/>
                <w:highlight w:val="none"/>
              </w:rPr>
            </w:pPr>
          </w:p>
        </w:tc>
      </w:tr>
      <w:tr w14:paraId="45DD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3D90E98">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45DF5C95">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31C4932">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3D14FB9">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9A838C1">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42BEE72">
            <w:pPr>
              <w:spacing w:line="240" w:lineRule="auto"/>
              <w:ind w:firstLine="0" w:firstLineChars="0"/>
              <w:jc w:val="center"/>
              <w:outlineLvl w:val="9"/>
              <w:rPr>
                <w:rFonts w:hint="eastAsia" w:ascii="宋体" w:hAnsi="宋体" w:eastAsia="宋体" w:cs="宋体"/>
                <w:color w:val="auto"/>
                <w:sz w:val="21"/>
                <w:szCs w:val="21"/>
                <w:highlight w:val="none"/>
              </w:rPr>
            </w:pPr>
          </w:p>
        </w:tc>
      </w:tr>
      <w:tr w14:paraId="4046D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0C683C1">
            <w:pPr>
              <w:spacing w:line="240" w:lineRule="auto"/>
              <w:ind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7612F08">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16818CC6">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4C574757">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944EDD7">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36AB807C">
            <w:pPr>
              <w:spacing w:line="240" w:lineRule="auto"/>
              <w:ind w:firstLine="0" w:firstLineChars="0"/>
              <w:jc w:val="center"/>
              <w:outlineLvl w:val="9"/>
              <w:rPr>
                <w:rFonts w:hint="eastAsia" w:ascii="宋体" w:hAnsi="宋体" w:eastAsia="宋体" w:cs="宋体"/>
                <w:color w:val="auto"/>
                <w:sz w:val="21"/>
                <w:szCs w:val="21"/>
                <w:highlight w:val="none"/>
              </w:rPr>
            </w:pPr>
          </w:p>
        </w:tc>
      </w:tr>
      <w:tr w14:paraId="61E7C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3384D12B">
            <w:pPr>
              <w:spacing w:line="240" w:lineRule="auto"/>
              <w:ind w:left="0" w:firstLine="0" w:firstLineChars="0"/>
              <w:jc w:val="center"/>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9450B5E">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70E8808E">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3E1E75A">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77A2B925">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4C5D26D9">
            <w:pPr>
              <w:spacing w:line="240" w:lineRule="auto"/>
              <w:ind w:firstLine="0" w:firstLineChars="0"/>
              <w:jc w:val="center"/>
              <w:outlineLvl w:val="9"/>
              <w:rPr>
                <w:rFonts w:hint="eastAsia" w:ascii="宋体" w:hAnsi="宋体" w:eastAsia="宋体" w:cs="宋体"/>
                <w:color w:val="auto"/>
                <w:sz w:val="21"/>
                <w:szCs w:val="21"/>
                <w:highlight w:val="none"/>
              </w:rPr>
            </w:pPr>
          </w:p>
        </w:tc>
      </w:tr>
      <w:tr w14:paraId="555B5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21D72819">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28317012">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7B5B2C4E">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FFC1BEF">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77534EB">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7999C4AF">
            <w:pPr>
              <w:spacing w:line="240" w:lineRule="auto"/>
              <w:ind w:firstLine="0" w:firstLineChars="0"/>
              <w:jc w:val="center"/>
              <w:outlineLvl w:val="9"/>
              <w:rPr>
                <w:rFonts w:hint="eastAsia" w:ascii="宋体" w:hAnsi="宋体" w:eastAsia="宋体" w:cs="宋体"/>
                <w:color w:val="auto"/>
                <w:sz w:val="21"/>
                <w:szCs w:val="21"/>
                <w:highlight w:val="none"/>
              </w:rPr>
            </w:pPr>
          </w:p>
        </w:tc>
      </w:tr>
      <w:tr w14:paraId="326A3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6DA1998C">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780EAA48">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4E05242C">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3EE9D5B4">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644C936">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F5E8A26">
            <w:pPr>
              <w:spacing w:line="240" w:lineRule="auto"/>
              <w:ind w:firstLine="0" w:firstLineChars="0"/>
              <w:jc w:val="center"/>
              <w:outlineLvl w:val="9"/>
              <w:rPr>
                <w:rFonts w:hint="eastAsia" w:ascii="宋体" w:hAnsi="宋体" w:eastAsia="宋体" w:cs="宋体"/>
                <w:color w:val="auto"/>
                <w:sz w:val="21"/>
                <w:szCs w:val="21"/>
                <w:highlight w:val="none"/>
              </w:rPr>
            </w:pPr>
          </w:p>
        </w:tc>
      </w:tr>
      <w:tr w14:paraId="2100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54CE316A">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8227C19">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527747AC">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0849E932">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611253EE">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33D9689">
            <w:pPr>
              <w:spacing w:line="240" w:lineRule="auto"/>
              <w:ind w:firstLine="0" w:firstLineChars="0"/>
              <w:jc w:val="center"/>
              <w:outlineLvl w:val="9"/>
              <w:rPr>
                <w:rFonts w:hint="eastAsia" w:ascii="宋体" w:hAnsi="宋体" w:eastAsia="宋体" w:cs="宋体"/>
                <w:color w:val="auto"/>
                <w:sz w:val="21"/>
                <w:szCs w:val="21"/>
                <w:highlight w:val="none"/>
              </w:rPr>
            </w:pPr>
          </w:p>
        </w:tc>
      </w:tr>
      <w:tr w14:paraId="3A32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086DB4CC">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1B5E0C1C">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393E1EC7">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924017A">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1C896500">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6409A85B">
            <w:pPr>
              <w:spacing w:line="240" w:lineRule="auto"/>
              <w:ind w:firstLine="0" w:firstLineChars="0"/>
              <w:jc w:val="center"/>
              <w:outlineLvl w:val="9"/>
              <w:rPr>
                <w:rFonts w:hint="eastAsia" w:ascii="宋体" w:hAnsi="宋体" w:eastAsia="宋体" w:cs="宋体"/>
                <w:color w:val="auto"/>
                <w:sz w:val="21"/>
                <w:szCs w:val="21"/>
                <w:highlight w:val="none"/>
              </w:rPr>
            </w:pPr>
          </w:p>
        </w:tc>
      </w:tr>
      <w:tr w14:paraId="01E82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3ECAF439">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4F5B9392">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60A3B595">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25BBB325">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450D9C19">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615EA820">
            <w:pPr>
              <w:spacing w:line="240" w:lineRule="auto"/>
              <w:ind w:firstLine="0" w:firstLineChars="0"/>
              <w:jc w:val="center"/>
              <w:outlineLvl w:val="9"/>
              <w:rPr>
                <w:rFonts w:hint="eastAsia" w:ascii="宋体" w:hAnsi="宋体" w:eastAsia="宋体" w:cs="宋体"/>
                <w:color w:val="auto"/>
                <w:sz w:val="21"/>
                <w:szCs w:val="21"/>
                <w:highlight w:val="none"/>
              </w:rPr>
            </w:pPr>
          </w:p>
        </w:tc>
      </w:tr>
      <w:tr w14:paraId="4F6C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22208B3C">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3C35B69B">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0FBF9568">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52D90BCF">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42DA28D">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2E113811">
            <w:pPr>
              <w:spacing w:line="240" w:lineRule="auto"/>
              <w:ind w:firstLine="0" w:firstLineChars="0"/>
              <w:jc w:val="center"/>
              <w:outlineLvl w:val="9"/>
              <w:rPr>
                <w:rFonts w:hint="eastAsia" w:ascii="宋体" w:hAnsi="宋体" w:eastAsia="宋体" w:cs="宋体"/>
                <w:color w:val="auto"/>
                <w:sz w:val="21"/>
                <w:szCs w:val="21"/>
                <w:highlight w:val="none"/>
              </w:rPr>
            </w:pPr>
          </w:p>
        </w:tc>
      </w:tr>
      <w:tr w14:paraId="1DF10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647" w:type="dxa"/>
            <w:tcBorders>
              <w:top w:val="single" w:color="auto" w:sz="4" w:space="0"/>
              <w:left w:val="single" w:color="auto" w:sz="4" w:space="0"/>
              <w:bottom w:val="single" w:color="auto" w:sz="4" w:space="0"/>
              <w:right w:val="single" w:color="auto" w:sz="4" w:space="0"/>
              <w:tl2br w:val="nil"/>
              <w:tr2bl w:val="nil"/>
            </w:tcBorders>
            <w:noWrap/>
            <w:vAlign w:val="center"/>
          </w:tcPr>
          <w:p w14:paraId="7A63252B">
            <w:pPr>
              <w:spacing w:line="240" w:lineRule="auto"/>
              <w:ind w:left="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2160" w:type="dxa"/>
            <w:tcBorders>
              <w:top w:val="single" w:color="auto" w:sz="4" w:space="0"/>
              <w:left w:val="single" w:color="auto" w:sz="4" w:space="0"/>
              <w:bottom w:val="single" w:color="auto" w:sz="4" w:space="0"/>
              <w:right w:val="single" w:color="auto" w:sz="4" w:space="0"/>
              <w:tl2br w:val="nil"/>
              <w:tr2bl w:val="nil"/>
            </w:tcBorders>
            <w:noWrap/>
            <w:vAlign w:val="center"/>
          </w:tcPr>
          <w:p w14:paraId="044C10CF">
            <w:pPr>
              <w:spacing w:line="240" w:lineRule="auto"/>
              <w:ind w:firstLine="0" w:firstLineChars="0"/>
              <w:jc w:val="center"/>
              <w:outlineLvl w:val="9"/>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l2br w:val="nil"/>
              <w:tr2bl w:val="nil"/>
            </w:tcBorders>
            <w:noWrap/>
            <w:vAlign w:val="center"/>
          </w:tcPr>
          <w:p w14:paraId="10CAC452">
            <w:pPr>
              <w:spacing w:line="240" w:lineRule="auto"/>
              <w:ind w:firstLine="0" w:firstLineChars="0"/>
              <w:jc w:val="center"/>
              <w:outlineLvl w:val="9"/>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l2br w:val="nil"/>
              <w:tr2bl w:val="nil"/>
            </w:tcBorders>
            <w:noWrap/>
            <w:vAlign w:val="center"/>
          </w:tcPr>
          <w:p w14:paraId="7E0F4213">
            <w:pPr>
              <w:spacing w:line="240" w:lineRule="auto"/>
              <w:ind w:firstLine="0" w:firstLineChars="0"/>
              <w:jc w:val="center"/>
              <w:outlineLvl w:val="9"/>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14:paraId="308ACC6E">
            <w:pPr>
              <w:spacing w:line="240" w:lineRule="auto"/>
              <w:ind w:firstLine="0" w:firstLineChars="0"/>
              <w:jc w:val="center"/>
              <w:outlineLvl w:val="9"/>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l2br w:val="nil"/>
              <w:tr2bl w:val="nil"/>
            </w:tcBorders>
            <w:noWrap/>
            <w:vAlign w:val="center"/>
          </w:tcPr>
          <w:p w14:paraId="57FE1B04">
            <w:pPr>
              <w:spacing w:line="240" w:lineRule="auto"/>
              <w:ind w:firstLine="0" w:firstLineChars="0"/>
              <w:jc w:val="center"/>
              <w:outlineLvl w:val="9"/>
              <w:rPr>
                <w:rFonts w:hint="eastAsia" w:ascii="宋体" w:hAnsi="宋体" w:eastAsia="宋体" w:cs="宋体"/>
                <w:color w:val="auto"/>
                <w:sz w:val="21"/>
                <w:szCs w:val="21"/>
                <w:highlight w:val="none"/>
              </w:rPr>
            </w:pPr>
          </w:p>
        </w:tc>
      </w:tr>
    </w:tbl>
    <w:p w14:paraId="7CC47F20">
      <w:pPr>
        <w:pStyle w:val="9"/>
        <w:ind w:left="0" w:firstLine="0" w:firstLineChars="0"/>
        <w:outlineLvl w:val="9"/>
        <w:rPr>
          <w:rFonts w:hint="eastAsia" w:ascii="仿宋_GB2312" w:eastAsia="仿宋_GB2312"/>
          <w:color w:val="auto"/>
          <w:sz w:val="20"/>
          <w:highlight w:val="none"/>
        </w:rPr>
      </w:pPr>
      <w:r>
        <w:rPr>
          <w:rFonts w:hint="eastAsia" w:ascii="仿宋_GB2312" w:eastAsia="仿宋_GB2312"/>
          <w:color w:val="auto"/>
          <w:sz w:val="20"/>
          <w:highlight w:val="none"/>
        </w:rPr>
        <w:t>……</w:t>
      </w:r>
    </w:p>
    <w:p w14:paraId="40E761F9">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附件：二</w:t>
      </w:r>
    </w:p>
    <w:p w14:paraId="087EB52D">
      <w:pPr>
        <w:jc w:val="center"/>
        <w:outlineLvl w:val="9"/>
        <w:rPr>
          <w:rFonts w:hint="eastAsia"/>
          <w:b/>
          <w:color w:val="auto"/>
          <w:sz w:val="32"/>
          <w:szCs w:val="32"/>
          <w:highlight w:val="none"/>
        </w:rPr>
      </w:pPr>
    </w:p>
    <w:p w14:paraId="78520BA6">
      <w:pPr>
        <w:jc w:val="center"/>
        <w:outlineLvl w:val="9"/>
        <w:rPr>
          <w:rFonts w:hint="eastAsia" w:ascii="仿宋_GB2312" w:eastAsia="仿宋_GB2312"/>
          <w:b/>
          <w:bCs/>
          <w:color w:val="auto"/>
          <w:sz w:val="28"/>
          <w:szCs w:val="28"/>
          <w:highlight w:val="none"/>
        </w:rPr>
      </w:pPr>
      <w:r>
        <w:rPr>
          <w:rFonts w:hint="eastAsia" w:ascii="仿宋_GB2312" w:eastAsia="仿宋_GB2312"/>
          <w:b/>
          <w:bCs/>
          <w:color w:val="auto"/>
          <w:sz w:val="28"/>
          <w:szCs w:val="28"/>
          <w:highlight w:val="none"/>
        </w:rPr>
        <w:t>重庆三峡银行自助设备发货通知书（样本）</w:t>
      </w:r>
    </w:p>
    <w:p w14:paraId="6248826C">
      <w:pPr>
        <w:spacing w:before="468" w:beforeLines="150" w:after="312" w:afterLines="100"/>
        <w:outlineLvl w:val="9"/>
        <w:rPr>
          <w:rFonts w:hint="eastAsia" w:ascii="仿宋_GB2312" w:eastAsia="仿宋_GB2312" w:cs="宋体"/>
          <w:b/>
          <w:bCs/>
          <w:color w:val="auto"/>
          <w:kern w:val="0"/>
          <w:sz w:val="28"/>
          <w:szCs w:val="28"/>
          <w:highlight w:val="none"/>
          <w:lang w:bidi="ar-SA"/>
        </w:rPr>
      </w:pPr>
      <w:r>
        <w:rPr>
          <w:rFonts w:hint="eastAsia" w:ascii="仿宋_GB2312" w:eastAsia="仿宋_GB2312" w:cs="宋体"/>
          <w:b/>
          <w:bCs/>
          <w:color w:val="auto"/>
          <w:kern w:val="0"/>
          <w:sz w:val="28"/>
          <w:szCs w:val="28"/>
          <w:highlight w:val="none"/>
          <w:lang w:bidi="ar-SA"/>
        </w:rPr>
        <w:t xml:space="preserve">致： </w:t>
      </w:r>
    </w:p>
    <w:p w14:paraId="5FD9C70B">
      <w:pPr>
        <w:spacing w:after="312" w:afterLines="100" w:line="360" w:lineRule="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因我行</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需要，特订购以下设备。</w:t>
      </w:r>
    </w:p>
    <w:tbl>
      <w:tblPr>
        <w:tblStyle w:val="15"/>
        <w:tblW w:w="82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6"/>
        <w:gridCol w:w="6519"/>
      </w:tblGrid>
      <w:tr w14:paraId="302A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single" w:color="auto" w:sz="4" w:space="0"/>
              <w:left w:val="single" w:color="auto" w:sz="4" w:space="0"/>
              <w:bottom w:val="single" w:color="auto" w:sz="4" w:space="0"/>
              <w:right w:val="single" w:color="auto" w:sz="4" w:space="0"/>
              <w:tl2br w:val="nil"/>
              <w:tr2bl w:val="nil"/>
            </w:tcBorders>
            <w:noWrap/>
            <w:vAlign w:val="center"/>
          </w:tcPr>
          <w:p w14:paraId="33A5708C">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供货单位</w:t>
            </w:r>
          </w:p>
        </w:tc>
        <w:tc>
          <w:tcPr>
            <w:tcW w:w="6518" w:type="dxa"/>
            <w:tcBorders>
              <w:top w:val="single" w:color="auto" w:sz="4" w:space="0"/>
              <w:left w:val="nil"/>
              <w:bottom w:val="single" w:color="auto" w:sz="4" w:space="0"/>
              <w:right w:val="single" w:color="auto" w:sz="4" w:space="0"/>
              <w:tl2br w:val="nil"/>
              <w:tr2bl w:val="nil"/>
            </w:tcBorders>
            <w:noWrap/>
            <w:vAlign w:val="center"/>
          </w:tcPr>
          <w:p w14:paraId="4B1A5F6F">
            <w:pPr>
              <w:widowControl/>
              <w:jc w:val="right"/>
              <w:outlineLvl w:val="9"/>
              <w:rPr>
                <w:rFonts w:hint="eastAsia" w:ascii="仿宋_GB2312" w:eastAsia="仿宋_GB2312" w:cs="宋体"/>
                <w:b/>
                <w:bCs/>
                <w:color w:val="auto"/>
                <w:kern w:val="0"/>
                <w:sz w:val="28"/>
                <w:szCs w:val="28"/>
                <w:highlight w:val="none"/>
                <w:lang w:bidi="ar-SA"/>
              </w:rPr>
            </w:pPr>
          </w:p>
        </w:tc>
      </w:tr>
      <w:tr w14:paraId="1808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42B9E68C">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设备型号</w:t>
            </w:r>
          </w:p>
        </w:tc>
        <w:tc>
          <w:tcPr>
            <w:tcW w:w="6518" w:type="dxa"/>
            <w:tcBorders>
              <w:top w:val="nil"/>
              <w:left w:val="nil"/>
              <w:bottom w:val="single" w:color="auto" w:sz="4" w:space="0"/>
              <w:right w:val="single" w:color="auto" w:sz="4" w:space="0"/>
              <w:tl2br w:val="nil"/>
              <w:tr2bl w:val="nil"/>
            </w:tcBorders>
            <w:noWrap/>
            <w:vAlign w:val="center"/>
          </w:tcPr>
          <w:p w14:paraId="6A39333B">
            <w:pPr>
              <w:widowControl/>
              <w:wordWrap w:val="0"/>
              <w:jc w:val="right"/>
              <w:outlineLvl w:val="9"/>
              <w:rPr>
                <w:rFonts w:hint="eastAsia" w:ascii="仿宋_GB2312" w:eastAsia="仿宋_GB2312"/>
                <w:color w:val="auto"/>
                <w:kern w:val="0"/>
                <w:sz w:val="28"/>
                <w:szCs w:val="28"/>
                <w:highlight w:val="none"/>
              </w:rPr>
            </w:pPr>
          </w:p>
        </w:tc>
      </w:tr>
      <w:tr w14:paraId="22E2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3CB46359">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定货数量</w:t>
            </w:r>
          </w:p>
        </w:tc>
        <w:tc>
          <w:tcPr>
            <w:tcW w:w="6518" w:type="dxa"/>
            <w:tcBorders>
              <w:top w:val="nil"/>
              <w:left w:val="nil"/>
              <w:bottom w:val="single" w:color="auto" w:sz="4" w:space="0"/>
              <w:right w:val="single" w:color="auto" w:sz="4" w:space="0"/>
              <w:tl2br w:val="nil"/>
              <w:tr2bl w:val="nil"/>
            </w:tcBorders>
            <w:noWrap/>
            <w:vAlign w:val="center"/>
          </w:tcPr>
          <w:p w14:paraId="38CC2E60">
            <w:pPr>
              <w:widowControl/>
              <w:wordWrap w:val="0"/>
              <w:jc w:val="right"/>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台</w:t>
            </w:r>
          </w:p>
        </w:tc>
      </w:tr>
      <w:tr w14:paraId="7927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67BCF46E">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定货单价</w:t>
            </w:r>
          </w:p>
        </w:tc>
        <w:tc>
          <w:tcPr>
            <w:tcW w:w="6518" w:type="dxa"/>
            <w:tcBorders>
              <w:top w:val="nil"/>
              <w:left w:val="nil"/>
              <w:bottom w:val="single" w:color="auto" w:sz="4" w:space="0"/>
              <w:right w:val="single" w:color="auto" w:sz="4" w:space="0"/>
              <w:tl2br w:val="nil"/>
              <w:tr2bl w:val="nil"/>
            </w:tcBorders>
            <w:noWrap/>
            <w:vAlign w:val="center"/>
          </w:tcPr>
          <w:p w14:paraId="5D37061C">
            <w:pPr>
              <w:widowControl/>
              <w:jc w:val="right"/>
              <w:outlineLvl w:val="9"/>
              <w:rPr>
                <w:rFonts w:hint="eastAsia" w:ascii="仿宋_GB2312" w:eastAsia="仿宋_GB2312"/>
                <w:color w:val="auto"/>
                <w:kern w:val="0"/>
                <w:sz w:val="28"/>
                <w:szCs w:val="28"/>
                <w:highlight w:val="none"/>
              </w:rPr>
            </w:pPr>
          </w:p>
        </w:tc>
      </w:tr>
      <w:tr w14:paraId="7B24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7A11EA23">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总金额</w:t>
            </w:r>
          </w:p>
        </w:tc>
        <w:tc>
          <w:tcPr>
            <w:tcW w:w="6518" w:type="dxa"/>
            <w:tcBorders>
              <w:top w:val="nil"/>
              <w:left w:val="nil"/>
              <w:bottom w:val="single" w:color="auto" w:sz="4" w:space="0"/>
              <w:right w:val="single" w:color="auto" w:sz="4" w:space="0"/>
              <w:tl2br w:val="nil"/>
              <w:tr2bl w:val="nil"/>
            </w:tcBorders>
            <w:noWrap/>
            <w:vAlign w:val="center"/>
          </w:tcPr>
          <w:p w14:paraId="044DE5FD">
            <w:pPr>
              <w:widowControl/>
              <w:jc w:val="right"/>
              <w:outlineLvl w:val="9"/>
              <w:rPr>
                <w:rFonts w:hint="eastAsia" w:ascii="仿宋_GB2312" w:eastAsia="仿宋_GB2312"/>
                <w:color w:val="auto"/>
                <w:kern w:val="0"/>
                <w:sz w:val="28"/>
                <w:szCs w:val="28"/>
                <w:highlight w:val="none"/>
              </w:rPr>
            </w:pPr>
          </w:p>
        </w:tc>
      </w:tr>
      <w:tr w14:paraId="7DFC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0106CA69">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到货时间</w:t>
            </w:r>
          </w:p>
        </w:tc>
        <w:tc>
          <w:tcPr>
            <w:tcW w:w="6518" w:type="dxa"/>
            <w:tcBorders>
              <w:top w:val="nil"/>
              <w:left w:val="nil"/>
              <w:bottom w:val="single" w:color="auto" w:sz="4" w:space="0"/>
              <w:right w:val="single" w:color="auto" w:sz="4" w:space="0"/>
              <w:tl2br w:val="nil"/>
              <w:tr2bl w:val="nil"/>
            </w:tcBorders>
            <w:noWrap/>
            <w:vAlign w:val="center"/>
          </w:tcPr>
          <w:p w14:paraId="76665CE4">
            <w:pPr>
              <w:widowControl/>
              <w:jc w:val="right"/>
              <w:outlineLvl w:val="9"/>
              <w:rPr>
                <w:rFonts w:hint="eastAsia" w:ascii="仿宋_GB2312" w:eastAsia="仿宋_GB2312"/>
                <w:color w:val="auto"/>
                <w:kern w:val="0"/>
                <w:sz w:val="28"/>
                <w:szCs w:val="28"/>
                <w:highlight w:val="none"/>
              </w:rPr>
            </w:pPr>
          </w:p>
        </w:tc>
      </w:tr>
      <w:tr w14:paraId="17EE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7834051A">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到货地点</w:t>
            </w:r>
          </w:p>
        </w:tc>
        <w:tc>
          <w:tcPr>
            <w:tcW w:w="6518" w:type="dxa"/>
            <w:tcBorders>
              <w:top w:val="nil"/>
              <w:left w:val="nil"/>
              <w:bottom w:val="single" w:color="auto" w:sz="4" w:space="0"/>
              <w:right w:val="single" w:color="auto" w:sz="4" w:space="0"/>
              <w:tl2br w:val="nil"/>
              <w:tr2bl w:val="nil"/>
            </w:tcBorders>
            <w:noWrap/>
            <w:vAlign w:val="center"/>
          </w:tcPr>
          <w:p w14:paraId="1712F7EC">
            <w:pPr>
              <w:widowControl/>
              <w:wordWrap w:val="0"/>
              <w:jc w:val="right"/>
              <w:outlineLvl w:val="9"/>
              <w:rPr>
                <w:rFonts w:hint="eastAsia" w:ascii="仿宋_GB2312" w:eastAsia="仿宋_GB2312"/>
                <w:color w:val="auto"/>
                <w:kern w:val="0"/>
                <w:sz w:val="28"/>
                <w:szCs w:val="28"/>
                <w:highlight w:val="none"/>
              </w:rPr>
            </w:pPr>
          </w:p>
        </w:tc>
      </w:tr>
      <w:tr w14:paraId="548E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0DABF7A2">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收货人及收货人联系方式</w:t>
            </w:r>
          </w:p>
        </w:tc>
        <w:tc>
          <w:tcPr>
            <w:tcW w:w="6518" w:type="dxa"/>
            <w:tcBorders>
              <w:top w:val="nil"/>
              <w:left w:val="nil"/>
              <w:bottom w:val="single" w:color="auto" w:sz="4" w:space="0"/>
              <w:right w:val="single" w:color="auto" w:sz="4" w:space="0"/>
              <w:tl2br w:val="nil"/>
              <w:tr2bl w:val="nil"/>
            </w:tcBorders>
            <w:noWrap/>
            <w:vAlign w:val="center"/>
          </w:tcPr>
          <w:p w14:paraId="3D39324E">
            <w:pPr>
              <w:widowControl/>
              <w:wordWrap w:val="0"/>
              <w:jc w:val="right"/>
              <w:outlineLvl w:val="9"/>
              <w:rPr>
                <w:rFonts w:hint="eastAsia" w:ascii="仿宋_GB2312" w:eastAsia="仿宋_GB2312"/>
                <w:color w:val="auto"/>
                <w:kern w:val="0"/>
                <w:sz w:val="28"/>
                <w:szCs w:val="28"/>
                <w:highlight w:val="none"/>
              </w:rPr>
            </w:pPr>
          </w:p>
        </w:tc>
      </w:tr>
      <w:tr w14:paraId="6822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776" w:type="dxa"/>
            <w:tcBorders>
              <w:top w:val="nil"/>
              <w:left w:val="single" w:color="auto" w:sz="4" w:space="0"/>
              <w:bottom w:val="single" w:color="auto" w:sz="4" w:space="0"/>
              <w:right w:val="single" w:color="auto" w:sz="4" w:space="0"/>
              <w:tl2br w:val="nil"/>
              <w:tr2bl w:val="nil"/>
            </w:tcBorders>
            <w:noWrap/>
            <w:vAlign w:val="center"/>
          </w:tcPr>
          <w:p w14:paraId="784E7FF0">
            <w:pPr>
              <w:widowControl/>
              <w:ind w:left="0" w:firstLine="0" w:firstLineChars="0"/>
              <w:jc w:val="left"/>
              <w:outlineLvl w:val="9"/>
              <w:rPr>
                <w:rFonts w:hint="eastAsia" w:ascii="仿宋_GB2312" w:eastAsia="仿宋_GB2312" w:cs="宋体"/>
                <w:b/>
                <w:bCs/>
                <w:color w:val="auto"/>
                <w:kern w:val="0"/>
                <w:sz w:val="24"/>
                <w:highlight w:val="none"/>
                <w:lang w:bidi="ar-SA"/>
              </w:rPr>
            </w:pPr>
            <w:r>
              <w:rPr>
                <w:rFonts w:hint="eastAsia" w:ascii="仿宋_GB2312" w:eastAsia="仿宋_GB2312" w:cs="宋体"/>
                <w:b/>
                <w:bCs/>
                <w:color w:val="auto"/>
                <w:kern w:val="0"/>
                <w:sz w:val="24"/>
                <w:highlight w:val="none"/>
                <w:lang w:bidi="ar-SA"/>
              </w:rPr>
              <w:t>备注</w:t>
            </w:r>
          </w:p>
        </w:tc>
        <w:tc>
          <w:tcPr>
            <w:tcW w:w="6518" w:type="dxa"/>
            <w:tcBorders>
              <w:top w:val="nil"/>
              <w:left w:val="nil"/>
              <w:bottom w:val="single" w:color="auto" w:sz="4" w:space="0"/>
              <w:right w:val="single" w:color="auto" w:sz="4" w:space="0"/>
              <w:tl2br w:val="nil"/>
              <w:tr2bl w:val="nil"/>
            </w:tcBorders>
            <w:noWrap/>
            <w:vAlign w:val="center"/>
          </w:tcPr>
          <w:p w14:paraId="563F3F0E">
            <w:pPr>
              <w:widowControl/>
              <w:jc w:val="right"/>
              <w:outlineLvl w:val="9"/>
              <w:rPr>
                <w:rFonts w:hint="eastAsia" w:ascii="仿宋_GB2312" w:eastAsia="仿宋_GB2312" w:cs="宋体"/>
                <w:color w:val="auto"/>
                <w:kern w:val="0"/>
                <w:sz w:val="28"/>
                <w:szCs w:val="28"/>
                <w:highlight w:val="none"/>
                <w:lang w:bidi="ar-SA"/>
              </w:rPr>
            </w:pPr>
            <w:r>
              <w:rPr>
                <w:rFonts w:hint="eastAsia" w:ascii="仿宋_GB2312" w:eastAsia="仿宋_GB2312" w:cs="宋体"/>
                <w:color w:val="auto"/>
                <w:kern w:val="0"/>
                <w:sz w:val="28"/>
                <w:szCs w:val="28"/>
                <w:highlight w:val="none"/>
                <w:lang w:bidi="ar-SA"/>
              </w:rPr>
              <w:t>　</w:t>
            </w:r>
          </w:p>
        </w:tc>
      </w:tr>
    </w:tbl>
    <w:p w14:paraId="2525F3AC">
      <w:pPr>
        <w:spacing w:after="312" w:afterLines="100" w:line="360" w:lineRule="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请按上述要求提前做好货物储备运输等相关工作。</w:t>
      </w:r>
    </w:p>
    <w:p w14:paraId="023BDED6">
      <w:pPr>
        <w:wordWrap w:val="0"/>
        <w:spacing w:after="312" w:afterLines="100" w:line="360" w:lineRule="auto"/>
        <w:jc w:val="right"/>
        <w:outlineLvl w:val="9"/>
        <w:rPr>
          <w:rFonts w:ascii="仿宋_GB2312" w:eastAsia="仿宋_GB2312"/>
          <w:color w:val="auto"/>
          <w:sz w:val="28"/>
          <w:szCs w:val="28"/>
          <w:highlight w:val="none"/>
        </w:rPr>
      </w:pP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ab/>
      </w:r>
      <w:r>
        <w:rPr>
          <w:rFonts w:hint="eastAsia"/>
          <w:color w:val="auto"/>
          <w:sz w:val="24"/>
          <w:highlight w:val="none"/>
        </w:rPr>
        <w:t xml:space="preserve">        </w:t>
      </w:r>
      <w:r>
        <w:rPr>
          <w:rFonts w:hint="eastAsia" w:ascii="仿宋_GB2312" w:eastAsia="仿宋_GB2312"/>
          <w:color w:val="auto"/>
          <w:sz w:val="28"/>
          <w:szCs w:val="28"/>
          <w:highlight w:val="none"/>
        </w:rPr>
        <w:t xml:space="preserve"> 重庆三峡银行股份有限公司</w:t>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ab/>
      </w:r>
      <w:r>
        <w:rPr>
          <w:rFonts w:hint="eastAsia" w:ascii="仿宋_GB2312" w:eastAsia="仿宋_GB2312"/>
          <w:color w:val="auto"/>
          <w:sz w:val="28"/>
          <w:szCs w:val="28"/>
          <w:highlight w:val="none"/>
        </w:rPr>
        <w:t xml:space="preserve">年   月   日 </w:t>
      </w:r>
    </w:p>
    <w:p w14:paraId="7B9B7D93">
      <w:pPr>
        <w:wordWrap/>
        <w:spacing w:after="0" w:afterLines="-2147483648" w:line="240" w:lineRule="auto"/>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br w:type="page"/>
      </w:r>
    </w:p>
    <w:p w14:paraId="5F94C6A1">
      <w:pP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附件：三</w:t>
      </w:r>
    </w:p>
    <w:p w14:paraId="0311AA07">
      <w:pPr>
        <w:jc w:val="center"/>
        <w:outlineLvl w:val="9"/>
        <w:rPr>
          <w:rFonts w:hint="eastAsia" w:ascii="黑体" w:eastAsia="黑体"/>
          <w:color w:val="auto"/>
          <w:sz w:val="44"/>
          <w:szCs w:val="44"/>
          <w:highlight w:val="none"/>
        </w:rPr>
      </w:pPr>
    </w:p>
    <w:p w14:paraId="411A7B52">
      <w:pPr>
        <w:spacing w:line="360" w:lineRule="auto"/>
        <w:jc w:val="center"/>
        <w:outlineLvl w:val="9"/>
        <w:rPr>
          <w:rFonts w:hint="eastAsia" w:ascii="黑体" w:eastAsia="黑体"/>
          <w:color w:val="auto"/>
          <w:sz w:val="44"/>
          <w:szCs w:val="44"/>
          <w:highlight w:val="none"/>
        </w:rPr>
      </w:pPr>
      <w:r>
        <w:rPr>
          <w:rFonts w:hint="eastAsia" w:ascii="黑体" w:eastAsia="黑体"/>
          <w:color w:val="auto"/>
          <w:sz w:val="44"/>
          <w:szCs w:val="44"/>
          <w:highlight w:val="none"/>
        </w:rPr>
        <w:t>重庆三峡银行智能柜员机（现金版）</w:t>
      </w:r>
    </w:p>
    <w:p w14:paraId="1F823D44">
      <w:pPr>
        <w:spacing w:line="360" w:lineRule="auto"/>
        <w:jc w:val="center"/>
        <w:outlineLvl w:val="9"/>
        <w:rPr>
          <w:rFonts w:hint="eastAsia" w:ascii="黑体" w:eastAsia="黑体"/>
          <w:color w:val="auto"/>
          <w:sz w:val="44"/>
          <w:szCs w:val="44"/>
          <w:highlight w:val="none"/>
        </w:rPr>
      </w:pPr>
      <w:r>
        <w:rPr>
          <w:rFonts w:hint="eastAsia" w:ascii="黑体" w:eastAsia="黑体"/>
          <w:color w:val="auto"/>
          <w:sz w:val="44"/>
          <w:szCs w:val="44"/>
          <w:highlight w:val="none"/>
        </w:rPr>
        <w:t>技术服务协议</w:t>
      </w:r>
    </w:p>
    <w:p w14:paraId="5BEFD77B">
      <w:pPr>
        <w:spacing w:line="360" w:lineRule="auto"/>
        <w:jc w:val="center"/>
        <w:outlineLvl w:val="9"/>
        <w:rPr>
          <w:rFonts w:hint="eastAsia" w:ascii="黑体" w:eastAsia="黑体"/>
          <w:color w:val="auto"/>
          <w:sz w:val="44"/>
          <w:szCs w:val="44"/>
          <w:highlight w:val="none"/>
        </w:rPr>
      </w:pPr>
    </w:p>
    <w:p w14:paraId="1EB4B456">
      <w:pPr>
        <w:spacing w:line="360" w:lineRule="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甲方：重庆三峡银行股份有限公司（以下简称甲方）</w:t>
      </w:r>
    </w:p>
    <w:p w14:paraId="08569624">
      <w:pPr>
        <w:spacing w:line="360" w:lineRule="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乙方：                        （以下简称乙方）</w:t>
      </w:r>
    </w:p>
    <w:p w14:paraId="6FC431BF">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经甲、乙双方友好协商，就乙方承担甲方所使用的智能柜员机（现金版）的技术服务事宜达成如下协议。</w:t>
      </w:r>
    </w:p>
    <w:p w14:paraId="4CB85794">
      <w:pPr>
        <w:spacing w:line="360" w:lineRule="auto"/>
        <w:jc w:val="center"/>
        <w:outlineLvl w:val="9"/>
        <w:rPr>
          <w:rFonts w:hint="eastAsia" w:ascii="仿宋_GB2312" w:eastAsia="仿宋_GB2312"/>
          <w:color w:val="auto"/>
          <w:sz w:val="28"/>
          <w:szCs w:val="28"/>
          <w:highlight w:val="none"/>
        </w:rPr>
      </w:pPr>
    </w:p>
    <w:p w14:paraId="4745EF97">
      <w:pPr>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第一条  技术服务内容</w:t>
      </w:r>
    </w:p>
    <w:p w14:paraId="075FE96C">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协议所指技术服务，是乙方为保障本协议规定的智能柜员机（现金版）运行稳定、性能良好、处理无差错，能够准确完成甲方购买该设备以期实现所有服务功能的一系列技术举措。技术服务内容包括但不限于：设备维修、维护与保养、软件开发与升级、操作及业务培训、每周7天×24小时技术咨询与支持等。</w:t>
      </w:r>
    </w:p>
    <w:p w14:paraId="0F8AD376">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一、设备维修</w:t>
      </w:r>
    </w:p>
    <w:p w14:paraId="0824B5E2">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设备维修是指本协议规定的设备出现运行故障后，进行的有效技术处置，使设备达到正常服务状态。</w:t>
      </w:r>
    </w:p>
    <w:p w14:paraId="0BCE120D">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1、设备维修应保证设备恢复故障前所有的服务功能，且运行稳定、性能良好、处理无差错。</w:t>
      </w:r>
    </w:p>
    <w:p w14:paraId="34A08648">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2、设备维修响应源于设备故障发现，一是甲方向乙方报告故障；二是乙方在例行维护、保养工作中主动发现。</w:t>
      </w:r>
    </w:p>
    <w:p w14:paraId="275A18B7">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二、维护与保养</w:t>
      </w:r>
    </w:p>
    <w:p w14:paraId="4C00B272">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乙方提供的设备维护及保养服务，是指对本协议规定的设备进行每年不少于四次、每个季度不少于一次的例行巡检与技术处置，确保设备持续达到正常服务状态，运行稳定、性能良好、处理无差错。并且，乙方应根据甲方需要，及时响应对设备内部进行清洁、调校的请求。维护与保养内容包括：</w:t>
      </w:r>
    </w:p>
    <w:p w14:paraId="6056ED1D">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1、应从专业角度对保养设备的外部运行环境（如外接电源、防尘、防腐、防水等措施）的合理性及内部运行状况（如损坏、磨损、污垢等）进行检查，并将检查结果反馈甲方，给甲方提出改善建议。</w:t>
      </w:r>
    </w:p>
    <w:p w14:paraId="6BAFB418">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2、应对设备的外观、用户操作界面（包括但不限于键盘、显示屏内外屏、入卡口、出钞口、入钞口、凭条出口、摄像头等）进行清洁。</w:t>
      </w:r>
    </w:p>
    <w:p w14:paraId="6ABD266D">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3、浏览设备错误日志，咨询甲方设备操作人员，分析设备隐患，及时提出解决办法。</w:t>
      </w:r>
    </w:p>
    <w:p w14:paraId="4CD513B2">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4、应对整个设备各部件进行清洁、除尘，包括设备的传感器、传动轴等部件。</w:t>
      </w:r>
    </w:p>
    <w:p w14:paraId="0DC80895">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5、应对各模块性能进行检查和调校，及时更换或修复设备的损坏部件，更换磨损老化零部件、易损部件和有隐患零部件。</w:t>
      </w:r>
    </w:p>
    <w:p w14:paraId="13406731">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6、维护与保养完成后，</w:t>
      </w:r>
      <w:r>
        <w:rPr>
          <w:rFonts w:hint="eastAsia" w:ascii="仿宋_GB2312" w:eastAsia="仿宋_GB2312"/>
          <w:bCs/>
          <w:color w:val="auto"/>
          <w:sz w:val="28"/>
          <w:szCs w:val="28"/>
          <w:highlight w:val="none"/>
        </w:rPr>
        <w:t>必须对设备各模块进行检测调试，确认其能正常工作。</w:t>
      </w:r>
    </w:p>
    <w:p w14:paraId="700E42AB">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三、软件开发与升级服务</w:t>
      </w:r>
    </w:p>
    <w:p w14:paraId="78252E8F">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乙方根据甲方业务需要，免费提供本协议规定的设备软件开发与升级服务，保证本协议规定的设备能够准确完成甲方购买该设备以期实现所有服务功能。</w:t>
      </w:r>
    </w:p>
    <w:p w14:paraId="398AE556">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color w:val="auto"/>
          <w:sz w:val="28"/>
          <w:szCs w:val="28"/>
          <w:highlight w:val="none"/>
        </w:rPr>
        <w:t>1、乙方免费</w:t>
      </w:r>
      <w:r>
        <w:rPr>
          <w:rFonts w:hint="eastAsia" w:ascii="仿宋_GB2312" w:eastAsia="仿宋_GB2312"/>
          <w:bCs/>
          <w:color w:val="auto"/>
          <w:sz w:val="28"/>
          <w:szCs w:val="28"/>
          <w:highlight w:val="none"/>
        </w:rPr>
        <w:t>提供软件升级服务，包括操作系统升级、功能模块升级、防病毒软件安装及升级和SP驱动升级等。</w:t>
      </w:r>
    </w:p>
    <w:p w14:paraId="186A328B">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bCs/>
          <w:color w:val="auto"/>
          <w:sz w:val="28"/>
          <w:szCs w:val="28"/>
          <w:highlight w:val="none"/>
        </w:rPr>
        <w:t>2、在对设备软件升级改造增加新功能时，乙方应在三个工作日内响应并提交初步方案。乙方免费负责提供技术支持和软件升级服务，软件升级后版权归甲方所有。</w:t>
      </w:r>
    </w:p>
    <w:p w14:paraId="4E3FAF08">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color w:val="auto"/>
          <w:sz w:val="28"/>
          <w:szCs w:val="28"/>
          <w:highlight w:val="none"/>
        </w:rPr>
        <w:t>3、</w:t>
      </w:r>
      <w:r>
        <w:rPr>
          <w:rFonts w:hint="eastAsia" w:ascii="仿宋_GB2312" w:eastAsia="仿宋_GB2312"/>
          <w:bCs/>
          <w:color w:val="auto"/>
          <w:sz w:val="28"/>
          <w:szCs w:val="28"/>
          <w:highlight w:val="none"/>
        </w:rPr>
        <w:t>乙方发现设备软件有设计缺陷和质量问题时，须主动通知甲方，并免费进行设备软件的升级，软件升级后版权归甲方所有。</w:t>
      </w:r>
    </w:p>
    <w:p w14:paraId="1376525F">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4、乙方发现设备硬件有设计缺陷和质量问题时，须主动通知甲方，并免费进行设备硬件的更换。</w:t>
      </w:r>
    </w:p>
    <w:p w14:paraId="5424DC86">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5、乙方需对软件开发修改内容进行详细记录，合同期满后，乙方免费向甲方移交完整的智能柜员机（现金版）软件源程序、开发文档和相应的开发环境。乙方为甲方开发和维护的智能柜员机（现金版）软件版权归甲方所有。</w:t>
      </w:r>
    </w:p>
    <w:p w14:paraId="73481A85">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6、</w:t>
      </w:r>
      <w:r>
        <w:rPr>
          <w:rFonts w:hint="eastAsia" w:ascii="仿宋_GB2312" w:eastAsia="仿宋_GB2312"/>
          <w:color w:val="auto"/>
          <w:sz w:val="28"/>
          <w:szCs w:val="28"/>
          <w:highlight w:val="none"/>
        </w:rPr>
        <w:t>乙方依据本协议向甲方提供的任何产品或服务（包括但不限于：设备软件、设备配件、设备本身等）不存在侵犯任何其他方知识产权或专利权的情形；如甲方因此遭受任何第三方的起诉或索赔，乙方承诺主动与起诉方或索赔方进行交涉，为甲方的应诉或处理索赔事宜支付费用，支付甲方因败诉或被索赔应偿付的赔偿款，并对甲方由此造成的全部损失进行赔偿。</w:t>
      </w:r>
    </w:p>
    <w:p w14:paraId="7B772988">
      <w:pPr>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四、操作及业务培训</w:t>
      </w:r>
    </w:p>
    <w:p w14:paraId="3FE5C934">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向甲方提供规范的专业技术培训（分别针对设备操作人员和技术维护人员两个层次），使甲方操作人员了解和掌握设备的性能和操作，并能解决设备的常见问题。</w:t>
      </w:r>
    </w:p>
    <w:p w14:paraId="26E3F2AE">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1、专业技术培训次数：设备操作培训1次/年；技术维护培训4次/年（巡检时现场培训）。</w:t>
      </w:r>
    </w:p>
    <w:p w14:paraId="4185479F">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2、培训时间、培训地点由甲方确定。培训费用由乙方承担（不包括甲方培训学员往返的差旅、住宿费）。</w:t>
      </w:r>
    </w:p>
    <w:p w14:paraId="7AD80C38">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bCs/>
          <w:color w:val="auto"/>
          <w:sz w:val="28"/>
          <w:szCs w:val="28"/>
          <w:highlight w:val="none"/>
        </w:rPr>
        <w:t>3、乙方免费为甲方提供设备安装和维护培训，使甲方掌握正确的操作和使用方法。</w:t>
      </w:r>
    </w:p>
    <w:p w14:paraId="48B45D83">
      <w:pPr>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bCs/>
          <w:color w:val="auto"/>
          <w:sz w:val="28"/>
          <w:szCs w:val="28"/>
          <w:highlight w:val="none"/>
        </w:rPr>
        <w:t>五、</w:t>
      </w:r>
      <w:r>
        <w:rPr>
          <w:rFonts w:hint="eastAsia" w:ascii="仿宋_GB2312" w:eastAsia="仿宋_GB2312"/>
          <w:color w:val="auto"/>
          <w:sz w:val="28"/>
          <w:szCs w:val="28"/>
          <w:highlight w:val="none"/>
        </w:rPr>
        <w:t>技术咨询与支持</w:t>
      </w:r>
    </w:p>
    <w:p w14:paraId="4E3C5257">
      <w:pPr>
        <w:spacing w:line="360" w:lineRule="auto"/>
        <w:ind w:firstLine="57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向甲方提供7*24小时不间断服务热线保障，即每周7天，每天24小时的全天候不间断服务。其内容包括：电话咨询、现场维修和技术指导服务。</w:t>
      </w:r>
    </w:p>
    <w:p w14:paraId="7DED7705">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1、乙方向甲方提供7*24小时不间断服务热线保障，即每周7天，每天24小时的全天候不间断服务。其内容包括：电话咨询、现场维修和技术指导服务。</w:t>
      </w:r>
    </w:p>
    <w:p w14:paraId="4454482A">
      <w:pPr>
        <w:spacing w:line="360" w:lineRule="auto"/>
        <w:ind w:firstLine="480" w:firstLineChars="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2、服务热线包括但不限于乙方总公司客户服务电话、区域服务主管电话、本地技术人员或维修工程师电话。</w:t>
      </w:r>
    </w:p>
    <w:p w14:paraId="44AE3747">
      <w:pPr>
        <w:spacing w:line="360" w:lineRule="auto"/>
        <w:ind w:firstLine="480" w:firstLineChars="0"/>
        <w:outlineLvl w:val="9"/>
        <w:rPr>
          <w:rFonts w:hint="eastAsia" w:ascii="仿宋_GB2312" w:eastAsia="仿宋_GB2312"/>
          <w:color w:val="auto"/>
          <w:sz w:val="28"/>
          <w:szCs w:val="28"/>
          <w:highlight w:val="none"/>
        </w:rPr>
      </w:pPr>
    </w:p>
    <w:p w14:paraId="5AB8B5AB">
      <w:pPr>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第二条  技术服务标准</w:t>
      </w:r>
    </w:p>
    <w:p w14:paraId="1E3DD03A">
      <w:pPr>
        <w:autoSpaceDE w:val="0"/>
        <w:autoSpaceDN w:val="0"/>
        <w:spacing w:line="360" w:lineRule="auto"/>
        <w:ind w:firstLine="560" w:firstLineChars="200"/>
        <w:jc w:val="left"/>
        <w:outlineLvl w:val="9"/>
        <w:rPr>
          <w:rFonts w:hint="eastAsia" w:ascii="仿宋_GB2312" w:eastAsia="仿宋_GB2312" w:cs="宋体"/>
          <w:snapToGrid w:val="0"/>
          <w:color w:val="auto"/>
          <w:kern w:val="0"/>
          <w:sz w:val="28"/>
          <w:szCs w:val="28"/>
          <w:highlight w:val="none"/>
          <w:lang w:bidi="ar-SA"/>
        </w:rPr>
      </w:pPr>
      <w:r>
        <w:rPr>
          <w:rFonts w:hint="eastAsia" w:ascii="仿宋_GB2312" w:eastAsia="仿宋_GB2312" w:cs="仿宋_GB2312"/>
          <w:color w:val="auto"/>
          <w:sz w:val="28"/>
          <w:szCs w:val="28"/>
          <w:highlight w:val="none"/>
          <w:lang w:bidi="ar-SA"/>
        </w:rPr>
        <w:t>1、</w:t>
      </w:r>
      <w:r>
        <w:rPr>
          <w:rFonts w:hint="eastAsia" w:ascii="仿宋_GB2312" w:eastAsia="仿宋_GB2312" w:cs="宋体"/>
          <w:snapToGrid w:val="0"/>
          <w:color w:val="auto"/>
          <w:kern w:val="0"/>
          <w:sz w:val="28"/>
          <w:szCs w:val="28"/>
          <w:highlight w:val="none"/>
          <w:lang w:bidi="ar-SA"/>
        </w:rPr>
        <w:t>乙方需对设备每年进行</w:t>
      </w:r>
      <w:r>
        <w:rPr>
          <w:rFonts w:hint="eastAsia" w:ascii="仿宋_GB2312" w:eastAsia="仿宋_GB2312" w:cs="仿宋_GB2312"/>
          <w:color w:val="auto"/>
          <w:sz w:val="28"/>
          <w:szCs w:val="28"/>
          <w:highlight w:val="none"/>
          <w:lang w:bidi="ar-SA"/>
        </w:rPr>
        <w:t>定期巡检，巡检次数应达到至少每季度一次，每年四次的频率。</w:t>
      </w:r>
      <w:r>
        <w:rPr>
          <w:rFonts w:hint="eastAsia" w:ascii="仿宋_GB2312" w:eastAsia="仿宋_GB2312" w:cs="宋体"/>
          <w:snapToGrid w:val="0"/>
          <w:color w:val="auto"/>
          <w:kern w:val="0"/>
          <w:sz w:val="28"/>
          <w:szCs w:val="28"/>
          <w:highlight w:val="none"/>
          <w:lang w:bidi="ar-SA"/>
        </w:rPr>
        <w:t>(巡检内容包括但不限于：对设备进行内外清洁、检查读卡器、出钞口、非接读卡器、各种传感器、皮带、按钮、USB接口、内部线路、密码键盘、语音系统、设备运行速度、效验触摸屏等)，确保设备持运行稳定、性能良好。</w:t>
      </w:r>
    </w:p>
    <w:p w14:paraId="15598B05">
      <w:pPr>
        <w:autoSpaceDE w:val="0"/>
        <w:autoSpaceDN w:val="0"/>
        <w:spacing w:line="360" w:lineRule="auto"/>
        <w:ind w:firstLine="560" w:firstLineChars="200"/>
        <w:jc w:val="left"/>
        <w:outlineLvl w:val="9"/>
        <w:rPr>
          <w:rFonts w:hint="eastAsia" w:ascii="仿宋_GB2312" w:eastAsia="仿宋_GB2312" w:cs="宋体"/>
          <w:snapToGrid w:val="0"/>
          <w:color w:val="auto"/>
          <w:kern w:val="0"/>
          <w:sz w:val="28"/>
          <w:szCs w:val="28"/>
          <w:highlight w:val="none"/>
          <w:lang w:bidi="ar-SA"/>
        </w:rPr>
      </w:pPr>
      <w:r>
        <w:rPr>
          <w:rFonts w:hint="eastAsia" w:ascii="仿宋_GB2312" w:eastAsia="仿宋_GB2312" w:cs="宋体"/>
          <w:snapToGrid w:val="0"/>
          <w:color w:val="auto"/>
          <w:kern w:val="0"/>
          <w:sz w:val="28"/>
          <w:szCs w:val="28"/>
          <w:highlight w:val="none"/>
          <w:lang w:bidi="ar-SA"/>
        </w:rPr>
        <w:t>2、乙方接到甲方故障报修后需立即响应，主城区(渝中区、江北区、渝北区、大渡口区、沙坪坝区、九龙坡区、南岸区、北碚区、巴南区)应于2小时内到达故障现场；其他区县应于4小时内到达故障现场；若乙方在夜间接到甲方故障报修，乙方最迟需于次日9点前到达故障现场。如超过该时限，甲方有权按每台智能柜员机（现金版）每延迟1小时计收100元的延时费用，延时费用优先从质保金中扣除，若质保金不足以支付的，由乙方另行支付。</w:t>
      </w:r>
    </w:p>
    <w:p w14:paraId="72E73DF4">
      <w:pPr>
        <w:autoSpaceDE w:val="0"/>
        <w:autoSpaceDN w:val="0"/>
        <w:spacing w:line="360" w:lineRule="auto"/>
        <w:ind w:firstLine="560" w:firstLineChars="200"/>
        <w:jc w:val="left"/>
        <w:outlineLvl w:val="9"/>
        <w:rPr>
          <w:rFonts w:hint="eastAsia" w:ascii="仿宋_GB2312" w:eastAsia="仿宋_GB2312" w:cs="宋体"/>
          <w:snapToGrid w:val="0"/>
          <w:color w:val="auto"/>
          <w:kern w:val="0"/>
          <w:sz w:val="28"/>
          <w:szCs w:val="28"/>
          <w:highlight w:val="none"/>
          <w:lang w:bidi="ar-SA"/>
        </w:rPr>
      </w:pPr>
      <w:r>
        <w:rPr>
          <w:rFonts w:hint="eastAsia" w:ascii="仿宋_GB2312" w:eastAsia="仿宋_GB2312" w:cs="宋体"/>
          <w:snapToGrid w:val="0"/>
          <w:color w:val="auto"/>
          <w:kern w:val="0"/>
          <w:sz w:val="28"/>
          <w:szCs w:val="28"/>
          <w:highlight w:val="none"/>
          <w:lang w:bidi="ar-SA"/>
        </w:rPr>
        <w:t>3、乙方接到甲方故障报修，到达现场后应于6时内修复故障，并保证设备正常运行，如超过此时限，甲方有权按每台智能柜员机（现金版）每延迟1小时计收100元的延时费用。同时，对于48小时不能修复的设备，甲方有权要求乙方在24小时内更换该型号的新设备。延时费用优先从质保金中扣除，若质保金用不足以支付的，由乙方另行支付。</w:t>
      </w:r>
    </w:p>
    <w:p w14:paraId="7B083D90">
      <w:pPr>
        <w:autoSpaceDE w:val="0"/>
        <w:autoSpaceDN w:val="0"/>
        <w:spacing w:line="360" w:lineRule="auto"/>
        <w:ind w:firstLine="560" w:firstLineChars="200"/>
        <w:jc w:val="left"/>
        <w:outlineLvl w:val="9"/>
        <w:rPr>
          <w:rFonts w:hint="eastAsia" w:ascii="仿宋_GB2312" w:eastAsia="仿宋_GB2312" w:cs="宋体"/>
          <w:snapToGrid w:val="0"/>
          <w:color w:val="auto"/>
          <w:kern w:val="0"/>
          <w:sz w:val="28"/>
          <w:szCs w:val="28"/>
          <w:highlight w:val="none"/>
          <w:lang w:bidi="ar-SA"/>
        </w:rPr>
      </w:pPr>
      <w:r>
        <w:rPr>
          <w:rFonts w:hint="eastAsia" w:ascii="仿宋_GB2312" w:eastAsia="仿宋_GB2312" w:cs="宋体"/>
          <w:snapToGrid w:val="0"/>
          <w:color w:val="auto"/>
          <w:kern w:val="0"/>
          <w:sz w:val="28"/>
          <w:szCs w:val="28"/>
          <w:highlight w:val="none"/>
          <w:lang w:bidi="ar-SA"/>
        </w:rPr>
        <w:t>4、单台设备365天区间内的维修次数不得超过10次，如超过此限制，每超过一次，乙方应向甲方支付500元违约金，甲方有权从优先从质保金中扣除，不足部分，由乙方另行支付，并要求乙方免费更换该型号的新设备或要求乙方退货，由此给甲方带来的损失由乙方全额承担。</w:t>
      </w:r>
    </w:p>
    <w:p w14:paraId="25A84E03">
      <w:pPr>
        <w:spacing w:line="360" w:lineRule="auto"/>
        <w:ind w:firstLine="480" w:firstLineChars="0"/>
        <w:outlineLvl w:val="9"/>
        <w:rPr>
          <w:rFonts w:hint="eastAsia" w:ascii="仿宋_GB2312" w:eastAsia="仿宋_GB2312"/>
          <w:bCs/>
          <w:color w:val="auto"/>
          <w:sz w:val="28"/>
          <w:szCs w:val="28"/>
          <w:highlight w:val="none"/>
        </w:rPr>
      </w:pPr>
      <w:r>
        <w:rPr>
          <w:rFonts w:hint="eastAsia" w:ascii="仿宋_GB2312" w:eastAsia="仿宋_GB2312"/>
          <w:color w:val="auto"/>
          <w:sz w:val="28"/>
          <w:szCs w:val="28"/>
          <w:highlight w:val="none"/>
        </w:rPr>
        <w:t>5、乙方维修或更换</w:t>
      </w:r>
      <w:r>
        <w:rPr>
          <w:rFonts w:hint="eastAsia" w:ascii="仿宋_GB2312" w:eastAsia="仿宋_GB2312"/>
          <w:bCs/>
          <w:color w:val="auto"/>
          <w:sz w:val="28"/>
          <w:szCs w:val="28"/>
          <w:highlight w:val="none"/>
        </w:rPr>
        <w:t>故障设备所损坏的零部件时,乙方须保证更换的部件为原厂商备件或高于原厂备件的配件，所更换部件均应粘贴经原厂商最终检验合格的相关标识，并报知甲方同意。若因甲方人为损坏或不可抗力造成的设备损坏,由甲方承担备件费用,乙方应给予免费安装。</w:t>
      </w:r>
    </w:p>
    <w:p w14:paraId="324CA142">
      <w:pPr>
        <w:spacing w:line="360" w:lineRule="auto"/>
        <w:outlineLvl w:val="9"/>
        <w:rPr>
          <w:rFonts w:hint="eastAsia" w:ascii="仿宋_GB2312" w:eastAsia="仿宋_GB2312"/>
          <w:color w:val="auto"/>
          <w:sz w:val="28"/>
          <w:szCs w:val="28"/>
          <w:highlight w:val="none"/>
        </w:rPr>
      </w:pPr>
    </w:p>
    <w:p w14:paraId="18E55EAA">
      <w:pPr>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第三条  双方责任</w:t>
      </w:r>
    </w:p>
    <w:p w14:paraId="05A1DBDF">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一、乙方责任</w:t>
      </w:r>
    </w:p>
    <w:p w14:paraId="43FB73E0">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1、乙方在甲方使用其设备期间，须严格按照本协议“第一条  技术服务内容”和“第二条  技术服务标准”的描述，为甲方所使用的设备提供技术服务。确保本协议规定的设备运行稳定、性能良好、处理无差错，能够准确完成甲方购买该设备以期实现所有服务功能。</w:t>
      </w:r>
    </w:p>
    <w:p w14:paraId="36D681CA">
      <w:pPr>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乙方提供的智能柜员机（现金版）及其相关软件、配件必须符合国家及行业有关规定或标准，如未达到相关规定或标准造成甲方客户信息泄露、火灾、人身伤害等财产损失、安全事故或声誉风险事件，由乙方承担全部责任，并向甲方赔偿因该事件所造成的全部损失（含直接损失和间接损失）。</w:t>
      </w:r>
    </w:p>
    <w:p w14:paraId="7D0D52CA">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二、甲方责任</w:t>
      </w:r>
    </w:p>
    <w:p w14:paraId="73B5C24A">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1、甲方应按乙方要求提供设备正常工作环境，如乙方认为甲方提供的环境不符合相关的技术要求，或对甲方使用和管理设备中存在的问题提出合理建议时，甲方应予以接受并进行相应的改善。</w:t>
      </w:r>
    </w:p>
    <w:p w14:paraId="287E76FE">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2、甲方应按设备使用说明进行正确操作，负责设备的一般维护，包括耗材更换、日常清机、加钞等维护工作。</w:t>
      </w:r>
    </w:p>
    <w:p w14:paraId="097EACEE">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3、甲方通过乙方服务电话通报设备故障时，有责任按乙方工程师的询问要求尽可能详细地向乙方说明设备的故障情况。</w:t>
      </w:r>
    </w:p>
    <w:p w14:paraId="0E7B92DF">
      <w:pPr>
        <w:tabs>
          <w:tab w:val="left" w:pos="360"/>
        </w:tabs>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4、非经乙方工程师允许或指导，甲方人员不得擅自对设备进行拆卸、维修。在乙方维修、维护过程中，甲方应提供乙方开展服务之便利，保证工作环境的安全，有责任配合乙方设备的检修工作。</w:t>
      </w:r>
    </w:p>
    <w:p w14:paraId="44A3B653">
      <w:pPr>
        <w:spacing w:line="360" w:lineRule="auto"/>
        <w:jc w:val="center"/>
        <w:outlineLvl w:val="9"/>
        <w:rPr>
          <w:rFonts w:hint="eastAsia" w:ascii="仿宋_GB2312" w:eastAsia="仿宋_GB2312"/>
          <w:color w:val="auto"/>
          <w:sz w:val="28"/>
          <w:szCs w:val="28"/>
          <w:highlight w:val="none"/>
        </w:rPr>
      </w:pPr>
    </w:p>
    <w:p w14:paraId="4FDCA3F8">
      <w:pPr>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第四条  服务的提供及服务对象</w:t>
      </w:r>
    </w:p>
    <w:p w14:paraId="3F92A5F9">
      <w:pPr>
        <w:spacing w:line="360" w:lineRule="auto"/>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1.设备技术服务提供方（即本协议乙方），原则上为设备供货商或供货商指定的技术服务团队。若设备供货商或指定的技术服务团队不能履行本协议的全部内容，则甲方有权另行指定服务方，由此产生的费用优先从本合同质保金中扣除，不足部分由乙方按要求补足。</w:t>
      </w:r>
    </w:p>
    <w:p w14:paraId="066144AE">
      <w:pPr>
        <w:spacing w:line="360" w:lineRule="auto"/>
        <w:ind w:firstLine="560" w:firstLineChars="200"/>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2.本协议规定的设备是指由甲乙双方共同认定的甲方使用的智能柜员机（现金版）。设备类型：智能柜员机（现金版）;品牌</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；型号</w:t>
      </w:r>
      <w:r>
        <w:rPr>
          <w:rFonts w:hint="eastAsia" w:ascii="仿宋_GB2312" w:eastAsia="仿宋_GB2312"/>
          <w:color w:val="auto"/>
          <w:sz w:val="28"/>
          <w:szCs w:val="28"/>
          <w:highlight w:val="none"/>
          <w:u w:val="single"/>
        </w:rPr>
        <w:t xml:space="preserve"> </w:t>
      </w:r>
      <w:r>
        <w:rPr>
          <w:rFonts w:hint="eastAsia" w:ascii="仿宋_GB2312" w:eastAsia="仿宋_GB2312"/>
          <w:color w:val="auto"/>
          <w:kern w:val="0"/>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w:t>
      </w:r>
    </w:p>
    <w:p w14:paraId="717E0EC8">
      <w:pPr>
        <w:spacing w:line="360" w:lineRule="auto"/>
        <w:ind w:firstLine="560" w:firstLineChars="200"/>
        <w:jc w:val="left"/>
        <w:outlineLvl w:val="9"/>
        <w:rPr>
          <w:rFonts w:hint="eastAsia" w:ascii="仿宋_GB2312" w:eastAsia="仿宋_GB2312"/>
          <w:color w:val="auto"/>
          <w:sz w:val="28"/>
          <w:szCs w:val="28"/>
          <w:highlight w:val="none"/>
        </w:rPr>
      </w:pPr>
    </w:p>
    <w:p w14:paraId="57F46D94">
      <w:pPr>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第五条  设备报废与回收</w:t>
      </w:r>
    </w:p>
    <w:p w14:paraId="0FD67384">
      <w:pPr>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若甲方须对本合同规定的一台或多台设备进行报废处置，</w:t>
      </w:r>
      <w:r>
        <w:rPr>
          <w:rFonts w:hint="eastAsia" w:ascii="仿宋_GB2312" w:eastAsia="仿宋_GB2312"/>
          <w:bCs/>
          <w:color w:val="auto"/>
          <w:sz w:val="28"/>
          <w:szCs w:val="28"/>
          <w:highlight w:val="none"/>
        </w:rPr>
        <w:t>乙方负责无偿回收和处置报废智能柜员机（现金版），对设备核心部件和设备外壳进行物理粉碎处理。报废设备处理和销毁后，乙方须出具相关设备部件和外壳已经销毁的承诺函，承诺函必须按照统一规则编号，并保证报废设备相关部件及外壳不能外流。</w:t>
      </w:r>
      <w:r>
        <w:rPr>
          <w:rFonts w:hint="eastAsia" w:ascii="仿宋_GB2312" w:eastAsia="仿宋_GB2312"/>
          <w:color w:val="auto"/>
          <w:sz w:val="28"/>
          <w:szCs w:val="28"/>
          <w:highlight w:val="none"/>
        </w:rPr>
        <w:t>同时，终止该设备技术服务及本协议对该设备的约束。</w:t>
      </w:r>
    </w:p>
    <w:p w14:paraId="7724A57C">
      <w:pPr>
        <w:spacing w:line="360" w:lineRule="auto"/>
        <w:ind w:firstLine="560" w:firstLineChars="200"/>
        <w:outlineLvl w:val="9"/>
        <w:rPr>
          <w:rFonts w:hint="eastAsia" w:ascii="仿宋_GB2312" w:eastAsia="仿宋_GB2312"/>
          <w:color w:val="auto"/>
          <w:sz w:val="28"/>
          <w:szCs w:val="28"/>
          <w:highlight w:val="none"/>
        </w:rPr>
      </w:pPr>
    </w:p>
    <w:p w14:paraId="6BCB47B5">
      <w:pPr>
        <w:tabs>
          <w:tab w:val="left" w:pos="360"/>
        </w:tabs>
        <w:spacing w:line="360" w:lineRule="auto"/>
        <w:jc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第六章  其他约定</w:t>
      </w:r>
    </w:p>
    <w:p w14:paraId="615BED07">
      <w:pPr>
        <w:tabs>
          <w:tab w:val="left" w:pos="360"/>
        </w:tabs>
        <w:spacing w:line="360" w:lineRule="auto"/>
        <w:ind w:firstLine="560" w:firstLineChars="200"/>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1、不可抗力的自然、政策等因素导致违约，双方均可免责。</w:t>
      </w:r>
    </w:p>
    <w:p w14:paraId="1EBA0707">
      <w:pPr>
        <w:tabs>
          <w:tab w:val="left" w:pos="360"/>
        </w:tabs>
        <w:spacing w:line="360" w:lineRule="auto"/>
        <w:ind w:firstLine="560" w:firstLineChars="200"/>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2、本协议如发生争议，双方均应向主合同首部载明的甲方地址所在地（即重庆市江北区）人民法院提起诉讼。</w:t>
      </w:r>
    </w:p>
    <w:p w14:paraId="2337DFBF">
      <w:pPr>
        <w:spacing w:line="360" w:lineRule="auto"/>
        <w:ind w:firstLine="560" w:firstLineChars="200"/>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3、协议中未尽事宜，可另行签订补充合同和附件，经双方加盖公章后生效。</w:t>
      </w:r>
    </w:p>
    <w:p w14:paraId="1F033E22">
      <w:pPr>
        <w:tabs>
          <w:tab w:val="left" w:pos="360"/>
        </w:tabs>
        <w:spacing w:line="360" w:lineRule="auto"/>
        <w:ind w:firstLine="482" w:firstLineChars="0"/>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4、本协议一式陆份，甲方叁份、乙方叁份，均具有同等法律效力，双方盖章后生效。</w:t>
      </w:r>
    </w:p>
    <w:p w14:paraId="60991EE4">
      <w:pPr>
        <w:tabs>
          <w:tab w:val="left" w:pos="360"/>
        </w:tabs>
        <w:spacing w:line="360" w:lineRule="auto"/>
        <w:jc w:val="left"/>
        <w:outlineLvl w:val="9"/>
        <w:rPr>
          <w:rFonts w:hint="eastAsia" w:ascii="仿宋_GB2312" w:eastAsia="仿宋_GB2312"/>
          <w:color w:val="auto"/>
          <w:sz w:val="28"/>
          <w:szCs w:val="28"/>
          <w:highlight w:val="none"/>
        </w:rPr>
      </w:pPr>
    </w:p>
    <w:p w14:paraId="0D0B237F">
      <w:pPr>
        <w:tabs>
          <w:tab w:val="left" w:pos="360"/>
        </w:tabs>
        <w:spacing w:line="160" w:lineRule="atLeast"/>
        <w:ind w:left="6300" w:hanging="6300" w:hangingChars="2250"/>
        <w:jc w:val="left"/>
        <w:outlineLvl w:val="9"/>
        <w:rPr>
          <w:rFonts w:hint="eastAsia" w:ascii="仿宋_GB2312" w:eastAsia="仿宋_GB2312"/>
          <w:color w:val="auto"/>
          <w:kern w:val="0"/>
          <w:sz w:val="28"/>
          <w:szCs w:val="28"/>
          <w:highlight w:val="none"/>
          <w:u w:val="single"/>
        </w:rPr>
      </w:pPr>
      <w:r>
        <w:rPr>
          <w:rFonts w:hint="eastAsia" w:ascii="仿宋_GB2312" w:eastAsia="仿宋_GB2312"/>
          <w:color w:val="auto"/>
          <w:sz w:val="28"/>
          <w:szCs w:val="28"/>
          <w:highlight w:val="none"/>
        </w:rPr>
        <w:t>甲方：</w:t>
      </w:r>
      <w:r>
        <w:rPr>
          <w:rFonts w:hint="eastAsia" w:ascii="仿宋_GB2312" w:eastAsia="仿宋_GB2312"/>
          <w:color w:val="auto"/>
          <w:sz w:val="28"/>
          <w:szCs w:val="28"/>
          <w:highlight w:val="none"/>
          <w:u w:val="single"/>
        </w:rPr>
        <w:t>重庆三峡银行股份有限公司</w:t>
      </w:r>
      <w:r>
        <w:rPr>
          <w:rFonts w:hint="eastAsia" w:ascii="仿宋_GB2312" w:eastAsia="仿宋_GB2312"/>
          <w:color w:val="auto"/>
          <w:sz w:val="28"/>
          <w:szCs w:val="28"/>
          <w:highlight w:val="none"/>
        </w:rPr>
        <w:t xml:space="preserve">    乙方：</w:t>
      </w:r>
      <w:r>
        <w:rPr>
          <w:rFonts w:hint="eastAsia" w:ascii="仿宋_GB2312" w:eastAsia="仿宋_GB2312"/>
          <w:color w:val="auto"/>
          <w:sz w:val="28"/>
          <w:szCs w:val="28"/>
          <w:highlight w:val="none"/>
          <w:u w:val="single"/>
        </w:rPr>
        <w:t xml:space="preserve">                    </w:t>
      </w:r>
    </w:p>
    <w:p w14:paraId="6443F1E5">
      <w:pPr>
        <w:tabs>
          <w:tab w:val="left" w:pos="360"/>
        </w:tabs>
        <w:spacing w:line="160" w:lineRule="atLeast"/>
        <w:jc w:val="left"/>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（公章）                          （公章）</w:t>
      </w:r>
    </w:p>
    <w:p w14:paraId="4240031F">
      <w:pPr>
        <w:outlineLvl w:val="9"/>
        <w:rPr>
          <w:color w:val="auto"/>
          <w:highlight w:val="none"/>
        </w:rPr>
      </w:pPr>
    </w:p>
    <w:p w14:paraId="71196A5F">
      <w:pPr>
        <w:outlineLvl w:val="9"/>
        <w:rPr>
          <w:color w:val="auto"/>
          <w:highlight w:val="none"/>
        </w:rPr>
      </w:pPr>
    </w:p>
    <w:p w14:paraId="7D05C03E">
      <w:pPr>
        <w:outlineLvl w:val="9"/>
        <w:rPr>
          <w:color w:val="auto"/>
          <w:highlight w:val="none"/>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56EF9BB7">
      <w:pPr>
        <w:pStyle w:val="3"/>
        <w:bidi w:val="0"/>
        <w:rPr>
          <w:color w:val="auto"/>
          <w:highlight w:val="none"/>
        </w:rPr>
      </w:pPr>
      <w:bookmarkStart w:id="252" w:name="_Toc2560"/>
      <w:r>
        <w:rPr>
          <w:rFonts w:hint="eastAsia"/>
          <w:color w:val="auto"/>
          <w:highlight w:val="none"/>
        </w:rPr>
        <w:t>第</w:t>
      </w:r>
      <w:r>
        <w:rPr>
          <w:rFonts w:hint="eastAsia"/>
          <w:color w:val="auto"/>
          <w:highlight w:val="none"/>
          <w:lang w:val="en-US" w:eastAsia="zh-CN"/>
        </w:rPr>
        <w:t>六</w:t>
      </w:r>
      <w:r>
        <w:rPr>
          <w:rFonts w:hint="eastAsia"/>
          <w:color w:val="auto"/>
          <w:highlight w:val="none"/>
        </w:rPr>
        <w:t>章 参选文件</w:t>
      </w:r>
      <w:bookmarkEnd w:id="249"/>
      <w:bookmarkEnd w:id="250"/>
      <w:bookmarkStart w:id="253" w:name="_Toc303066035"/>
      <w:r>
        <w:rPr>
          <w:rFonts w:hint="eastAsia"/>
          <w:color w:val="auto"/>
          <w:highlight w:val="none"/>
        </w:rPr>
        <w:t>格式</w:t>
      </w:r>
      <w:bookmarkEnd w:id="252"/>
    </w:p>
    <w:bookmarkEnd w:id="253"/>
    <w:p w14:paraId="51AC3A3B">
      <w:pPr>
        <w:keepNext w:val="0"/>
        <w:keepLines w:val="0"/>
        <w:pageBreakBefore w:val="0"/>
        <w:widowControl w:val="0"/>
        <w:tabs>
          <w:tab w:val="left" w:pos="6516"/>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u w:val="single"/>
        </w:rPr>
      </w:pPr>
    </w:p>
    <w:p w14:paraId="0E608A5C">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hint="eastAsia" w:ascii="Times New Roman" w:hAnsi="Times New Roman" w:cs="Times New Roman"/>
          <w:b/>
          <w:snapToGrid w:val="0"/>
          <w:color w:val="auto"/>
          <w:kern w:val="0"/>
          <w:sz w:val="48"/>
          <w:szCs w:val="84"/>
          <w:highlight w:val="none"/>
          <w:lang w:val="en-US" w:eastAsia="zh-CN"/>
        </w:rPr>
      </w:pPr>
      <w:r>
        <w:rPr>
          <w:rFonts w:hint="eastAsia" w:ascii="Times New Roman" w:hAnsi="Times New Roman" w:cs="Times New Roman"/>
          <w:b/>
          <w:snapToGrid w:val="0"/>
          <w:color w:val="auto"/>
          <w:kern w:val="0"/>
          <w:sz w:val="48"/>
          <w:szCs w:val="84"/>
          <w:highlight w:val="none"/>
          <w:lang w:val="en-US" w:eastAsia="zh-CN"/>
        </w:rPr>
        <w:t>重庆三峡银行</w:t>
      </w:r>
    </w:p>
    <w:p w14:paraId="6978AEA1">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eastAsia="宋体"/>
          <w:color w:val="auto"/>
          <w:kern w:val="0"/>
          <w:sz w:val="44"/>
          <w:highlight w:val="none"/>
          <w:u w:val="none"/>
          <w:lang w:val="en-US" w:eastAsia="zh-CN"/>
        </w:rPr>
      </w:pPr>
      <w:r>
        <w:rPr>
          <w:rFonts w:hint="eastAsia" w:ascii="Times New Roman" w:hAnsi="Times New Roman" w:cs="Times New Roman"/>
          <w:b/>
          <w:snapToGrid w:val="0"/>
          <w:color w:val="auto"/>
          <w:kern w:val="0"/>
          <w:sz w:val="48"/>
          <w:szCs w:val="84"/>
          <w:highlight w:val="none"/>
          <w:u w:val="none"/>
          <w:lang w:val="en-US" w:eastAsia="zh-CN"/>
        </w:rPr>
        <w:t>智能柜员机（现金版）采购项目</w:t>
      </w:r>
    </w:p>
    <w:p w14:paraId="5D646022">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14:paraId="1A5A3E4E">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44"/>
          <w:highlight w:val="none"/>
        </w:rPr>
      </w:pPr>
    </w:p>
    <w:p w14:paraId="76B089A7">
      <w:pPr>
        <w:keepNext w:val="0"/>
        <w:keepLines w:val="0"/>
        <w:pageBreakBefore w:val="0"/>
        <w:widowControl w:val="0"/>
        <w:tabs>
          <w:tab w:val="left" w:pos="3600"/>
          <w:tab w:val="left" w:pos="4480"/>
          <w:tab w:val="left" w:pos="536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84"/>
          <w:highlight w:val="none"/>
        </w:rPr>
      </w:pPr>
      <w:r>
        <w:rPr>
          <w:rFonts w:hint="eastAsia" w:ascii="宋体" w:hAnsi="宋体"/>
          <w:b/>
          <w:color w:val="auto"/>
          <w:kern w:val="0"/>
          <w:sz w:val="84"/>
          <w:highlight w:val="none"/>
        </w:rPr>
        <w:t>参  选  文  件</w:t>
      </w:r>
    </w:p>
    <w:p w14:paraId="2F494F0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color w:val="auto"/>
          <w:kern w:val="0"/>
          <w:sz w:val="16"/>
          <w:highlight w:val="none"/>
        </w:rPr>
      </w:pPr>
    </w:p>
    <w:p w14:paraId="72A7AF37">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15B871A9">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54F1FB8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04199F3C">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12B05A52">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6EC2EC66">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3CD4EA6A">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48D7152D">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594F1594">
      <w:pPr>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sz w:val="20"/>
          <w:highlight w:val="none"/>
        </w:rPr>
      </w:pPr>
    </w:p>
    <w:p w14:paraId="731FFB4E">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2629D1AA">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分支机构负责人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697D62BF">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1F991232">
      <w:pPr>
        <w:keepNext w:val="0"/>
        <w:keepLines w:val="0"/>
        <w:pageBreakBefore w:val="0"/>
        <w:widowControl w:val="0"/>
        <w:tabs>
          <w:tab w:val="left" w:pos="3280"/>
          <w:tab w:val="left" w:pos="4680"/>
          <w:tab w:val="left" w:pos="6080"/>
        </w:tabs>
        <w:kinsoku/>
        <w:wordWrap/>
        <w:overflowPunct/>
        <w:topLinePunct w:val="0"/>
        <w:autoSpaceDE w:val="0"/>
        <w:autoSpaceDN w:val="0"/>
        <w:bidi w:val="0"/>
        <w:adjustRightInd w:val="0"/>
        <w:snapToGrid w:val="0"/>
        <w:spacing w:line="360" w:lineRule="auto"/>
        <w:ind w:left="0" w:right="0" w:firstLine="0" w:firstLineChars="0"/>
        <w:jc w:val="center"/>
        <w:textAlignment w:val="auto"/>
        <w:rPr>
          <w:rFonts w:ascii="宋体" w:hAnsi="宋体"/>
          <w:b/>
          <w:color w:val="auto"/>
          <w:kern w:val="0"/>
          <w:highlight w:val="none"/>
        </w:rPr>
      </w:pPr>
    </w:p>
    <w:p w14:paraId="063DD6F0">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14:paraId="1D284DC6">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pPr>
    </w:p>
    <w:p w14:paraId="236CE3BA">
      <w:pPr>
        <w:keepNext w:val="0"/>
        <w:keepLines w:val="0"/>
        <w:pageBreakBefore w:val="0"/>
        <w:widowControl w:val="0"/>
        <w:tabs>
          <w:tab w:val="left" w:pos="6300"/>
        </w:tabs>
        <w:kinsoku/>
        <w:wordWrap/>
        <w:overflowPunct/>
        <w:topLinePunct w:val="0"/>
        <w:autoSpaceDE w:val="0"/>
        <w:autoSpaceDN w:val="0"/>
        <w:bidi w:val="0"/>
        <w:snapToGrid w:val="0"/>
        <w:spacing w:line="360" w:lineRule="auto"/>
        <w:ind w:left="0" w:right="0" w:firstLine="0" w:firstLineChars="0"/>
        <w:jc w:val="center"/>
        <w:textAlignment w:val="auto"/>
        <w:rPr>
          <w:rFonts w:ascii="宋体" w:hAnsi="宋体"/>
          <w:snapToGrid w:val="0"/>
          <w:color w:val="auto"/>
          <w:kern w:val="0"/>
          <w:szCs w:val="28"/>
          <w:highlight w:val="none"/>
        </w:rPr>
        <w:sectPr>
          <w:pgSz w:w="11906" w:h="16838"/>
          <w:pgMar w:top="1440" w:right="1800" w:bottom="1440" w:left="1800" w:header="851" w:footer="992" w:gutter="0"/>
          <w:pgNumType w:fmt="decimal"/>
          <w:cols w:space="720" w:num="1"/>
          <w:docGrid w:type="lines" w:linePitch="312" w:charSpace="0"/>
        </w:sectPr>
      </w:pPr>
    </w:p>
    <w:p w14:paraId="4540B9CE">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right="0" w:firstLine="0" w:firstLineChars="0"/>
        <w:jc w:val="center"/>
        <w:textAlignment w:val="auto"/>
        <w:outlineLvl w:val="1"/>
        <w:rPr>
          <w:rFonts w:ascii="宋体"/>
          <w:b/>
          <w:snapToGrid w:val="0"/>
          <w:color w:val="auto"/>
          <w:kern w:val="0"/>
          <w:sz w:val="36"/>
          <w:szCs w:val="28"/>
          <w:highlight w:val="none"/>
        </w:rPr>
      </w:pPr>
      <w:r>
        <w:rPr>
          <w:rFonts w:hint="eastAsia" w:ascii="宋体"/>
          <w:b/>
          <w:snapToGrid w:val="0"/>
          <w:color w:val="auto"/>
          <w:kern w:val="0"/>
          <w:sz w:val="36"/>
          <w:szCs w:val="28"/>
          <w:highlight w:val="none"/>
        </w:rPr>
        <w:t>目  录</w:t>
      </w:r>
    </w:p>
    <w:p w14:paraId="6AB6EEEE">
      <w:pPr>
        <w:bidi w:val="0"/>
        <w:rPr>
          <w:rFonts w:hint="eastAsia"/>
        </w:rPr>
      </w:pPr>
      <w:r>
        <w:rPr>
          <w:rFonts w:hint="eastAsia"/>
          <w:lang w:val="en-US" w:eastAsia="zh-CN"/>
        </w:rPr>
        <w:t>一、</w:t>
      </w:r>
      <w:r>
        <w:rPr>
          <w:rFonts w:hint="eastAsia"/>
        </w:rPr>
        <w:t>参选函</w:t>
      </w:r>
    </w:p>
    <w:p w14:paraId="30060D10">
      <w:pPr>
        <w:rPr>
          <w:rFonts w:hint="default"/>
          <w:lang w:val="en-US" w:eastAsia="zh-CN"/>
        </w:rPr>
      </w:pPr>
      <w:r>
        <w:rPr>
          <w:rFonts w:hint="eastAsia"/>
          <w:lang w:val="en-US" w:eastAsia="zh-CN"/>
        </w:rPr>
        <w:t>二、报价一览表</w:t>
      </w:r>
    </w:p>
    <w:p w14:paraId="30F12651">
      <w:pPr>
        <w:bidi w:val="0"/>
      </w:pPr>
      <w:r>
        <w:rPr>
          <w:rFonts w:hint="eastAsia"/>
          <w:lang w:val="en-US" w:eastAsia="zh-CN"/>
        </w:rPr>
        <w:t>三、</w:t>
      </w:r>
      <w:r>
        <w:rPr>
          <w:rFonts w:hint="eastAsia"/>
        </w:rPr>
        <w:t>分项报价明细表</w:t>
      </w:r>
    </w:p>
    <w:p w14:paraId="10F833B2">
      <w:pPr>
        <w:bidi w:val="0"/>
        <w:rPr>
          <w:lang w:val="en-US" w:eastAsia="zh-CN"/>
        </w:rPr>
      </w:pPr>
      <w:r>
        <w:rPr>
          <w:rFonts w:hint="eastAsia"/>
          <w:lang w:val="en-US" w:eastAsia="zh-CN"/>
        </w:rPr>
        <w:t>四、资格性文件</w:t>
      </w:r>
    </w:p>
    <w:p w14:paraId="1AE1E6AC">
      <w:pPr>
        <w:bidi w:val="0"/>
      </w:pPr>
      <w:r>
        <w:rPr>
          <w:lang w:eastAsia="zh-CN"/>
        </w:rPr>
        <w:t>（</w:t>
      </w:r>
      <w:r>
        <w:rPr>
          <w:lang w:val="en-US" w:eastAsia="zh-CN"/>
        </w:rPr>
        <w:t>一</w:t>
      </w:r>
      <w:r>
        <w:rPr>
          <w:lang w:eastAsia="zh-CN"/>
        </w:rPr>
        <w:t>）</w:t>
      </w:r>
      <w:r>
        <w:t>参选人基本情况介绍，资质证明等</w:t>
      </w:r>
    </w:p>
    <w:p w14:paraId="5A97A2A3">
      <w:pPr>
        <w:bidi w:val="0"/>
      </w:pPr>
      <w:r>
        <w:rPr>
          <w:lang w:eastAsia="zh-CN"/>
        </w:rPr>
        <w:t>（</w:t>
      </w:r>
      <w:r>
        <w:rPr>
          <w:lang w:val="en-US" w:eastAsia="zh-CN"/>
        </w:rPr>
        <w:t>二</w:t>
      </w:r>
      <w:r>
        <w:rPr>
          <w:lang w:eastAsia="zh-CN"/>
        </w:rPr>
        <w:t>）</w:t>
      </w:r>
      <w:r>
        <w:t>法定代表人</w:t>
      </w:r>
      <w:r>
        <w:rPr>
          <w:rFonts w:hint="eastAsia"/>
          <w:lang w:val="en-US" w:eastAsia="zh-CN"/>
        </w:rPr>
        <w:t>/分支机构负责人</w:t>
      </w:r>
      <w:r>
        <w:t>身份证明及授权委托书</w:t>
      </w:r>
    </w:p>
    <w:p w14:paraId="4AED7657">
      <w:pPr>
        <w:bidi w:val="0"/>
      </w:pPr>
      <w:r>
        <w:rPr>
          <w:rFonts w:hint="eastAsia"/>
          <w:lang w:val="en-US" w:eastAsia="zh-CN"/>
        </w:rPr>
        <w:t>（三）</w:t>
      </w:r>
      <w:r>
        <w:rPr>
          <w:rFonts w:hint="eastAsia"/>
        </w:rPr>
        <w:t>书面声明</w:t>
      </w:r>
    </w:p>
    <w:p w14:paraId="03598D53">
      <w:pPr>
        <w:bidi w:val="0"/>
      </w:pPr>
      <w:r>
        <w:t>（</w:t>
      </w:r>
      <w:r>
        <w:rPr>
          <w:rFonts w:hint="eastAsia"/>
          <w:lang w:val="en-US" w:eastAsia="zh-CN"/>
        </w:rPr>
        <w:t>四</w:t>
      </w:r>
      <w:r>
        <w:t>）中国执行信息公开网截图</w:t>
      </w:r>
    </w:p>
    <w:p w14:paraId="7BCD8CBA">
      <w:pPr>
        <w:bidi w:val="0"/>
        <w:rPr>
          <w:rFonts w:hint="eastAsia"/>
          <w:lang w:val="zh-CN"/>
        </w:rPr>
      </w:pPr>
      <w:r>
        <w:rPr>
          <w:rFonts w:hint="eastAsia"/>
          <w:lang w:val="zh-CN"/>
        </w:rPr>
        <w:t>（</w:t>
      </w:r>
      <w:r>
        <w:rPr>
          <w:rFonts w:hint="eastAsia"/>
          <w:lang w:val="en-US" w:eastAsia="zh-CN"/>
        </w:rPr>
        <w:t>五</w:t>
      </w:r>
      <w:r>
        <w:rPr>
          <w:rFonts w:hint="eastAsia"/>
          <w:lang w:val="zh-CN"/>
        </w:rPr>
        <w:t>）重庆市内内房屋租赁合同或产权证明</w:t>
      </w:r>
    </w:p>
    <w:p w14:paraId="7259B097">
      <w:pPr>
        <w:rPr>
          <w:rFonts w:hint="eastAsia"/>
          <w:lang w:val="en-US" w:eastAsia="zh-CN"/>
        </w:rPr>
      </w:pPr>
      <w:r>
        <w:rPr>
          <w:rFonts w:hint="eastAsia"/>
          <w:lang w:val="zh-CN"/>
        </w:rPr>
        <w:t>（</w:t>
      </w:r>
      <w:r>
        <w:rPr>
          <w:rFonts w:hint="eastAsia"/>
          <w:lang w:val="en-US" w:eastAsia="zh-CN"/>
        </w:rPr>
        <w:t>六</w:t>
      </w:r>
      <w:r>
        <w:rPr>
          <w:rFonts w:hint="eastAsia"/>
          <w:lang w:val="zh-CN"/>
        </w:rPr>
        <w:t>）</w:t>
      </w:r>
      <w:r>
        <w:rPr>
          <w:rFonts w:hint="eastAsia"/>
          <w:lang w:val="en-US" w:eastAsia="zh-CN"/>
        </w:rPr>
        <w:t>其他（如有）</w:t>
      </w:r>
    </w:p>
    <w:p w14:paraId="6C8F3777">
      <w:pPr>
        <w:bidi w:val="0"/>
        <w:rPr>
          <w:rFonts w:hint="eastAsia"/>
          <w:lang w:val="en-US" w:eastAsia="zh-CN"/>
        </w:rPr>
      </w:pPr>
      <w:r>
        <w:rPr>
          <w:rFonts w:hint="eastAsia"/>
          <w:lang w:val="en-US" w:eastAsia="zh-CN"/>
        </w:rPr>
        <w:t>五、响应承诺</w:t>
      </w:r>
    </w:p>
    <w:p w14:paraId="34F53830">
      <w:pPr>
        <w:bidi w:val="0"/>
        <w:rPr>
          <w:rFonts w:hint="eastAsia"/>
          <w:lang w:val="en-US" w:eastAsia="zh-CN"/>
        </w:rPr>
      </w:pPr>
      <w:r>
        <w:rPr>
          <w:rFonts w:hint="eastAsia"/>
          <w:lang w:val="en-US" w:eastAsia="zh-CN"/>
        </w:rPr>
        <w:t>（一）响应承诺函</w:t>
      </w:r>
    </w:p>
    <w:p w14:paraId="63F6C7E3">
      <w:pPr>
        <w:bidi w:val="0"/>
        <w:rPr>
          <w:rFonts w:hint="eastAsia"/>
          <w:lang w:val="en-US" w:eastAsia="zh-CN"/>
        </w:rPr>
      </w:pPr>
      <w:r>
        <w:rPr>
          <w:rFonts w:hint="eastAsia"/>
          <w:lang w:val="en-US" w:eastAsia="zh-CN"/>
        </w:rPr>
        <w:t>（二）技术条款偏离表</w:t>
      </w:r>
    </w:p>
    <w:p w14:paraId="0BB70D64">
      <w:pPr>
        <w:rPr>
          <w:rFonts w:hint="default"/>
          <w:lang w:val="en-US" w:eastAsia="zh-CN"/>
        </w:rPr>
      </w:pPr>
      <w:r>
        <w:rPr>
          <w:rFonts w:hint="eastAsia"/>
          <w:lang w:val="en-US" w:eastAsia="zh-CN"/>
        </w:rPr>
        <w:t>六、知识产权承诺函</w:t>
      </w:r>
    </w:p>
    <w:p w14:paraId="240D1D4C">
      <w:pPr>
        <w:bidi w:val="0"/>
      </w:pPr>
      <w:r>
        <w:rPr>
          <w:rFonts w:hint="eastAsia"/>
          <w:lang w:val="en-US" w:eastAsia="zh-CN"/>
        </w:rPr>
        <w:t>七、</w:t>
      </w:r>
      <w:r>
        <w:rPr>
          <w:rFonts w:hint="eastAsia"/>
        </w:rPr>
        <w:t>参选保证金</w:t>
      </w:r>
    </w:p>
    <w:p w14:paraId="17CBF88F">
      <w:pPr>
        <w:bidi w:val="0"/>
        <w:rPr>
          <w:rFonts w:hint="eastAsia"/>
          <w:lang w:val="en-US" w:eastAsia="zh-CN"/>
        </w:rPr>
      </w:pPr>
      <w:r>
        <w:rPr>
          <w:rFonts w:hint="eastAsia"/>
          <w:lang w:val="en-US" w:eastAsia="zh-CN"/>
        </w:rPr>
        <w:t>八、其他（如有）</w:t>
      </w:r>
    </w:p>
    <w:p w14:paraId="27DD4FB9">
      <w:pPr>
        <w:snapToGrid/>
        <w:spacing w:line="360" w:lineRule="auto"/>
        <w:rPr>
          <w:rFonts w:hint="eastAsia" w:ascii="宋体" w:hAnsi="宋体" w:eastAsia="宋体" w:cs="宋体"/>
          <w:color w:val="auto"/>
          <w:highlight w:val="none"/>
        </w:rPr>
      </w:pPr>
    </w:p>
    <w:p w14:paraId="5283ED76">
      <w:pPr>
        <w:snapToGrid/>
        <w:spacing w:line="360" w:lineRule="auto"/>
        <w:rPr>
          <w:rFonts w:hint="eastAsia" w:ascii="宋体" w:hAnsi="宋体" w:eastAsia="宋体" w:cs="宋体"/>
          <w:color w:val="auto"/>
          <w:highlight w:val="none"/>
        </w:rPr>
      </w:pPr>
    </w:p>
    <w:p w14:paraId="7DF0B5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outlineLvl w:val="1"/>
        <w:rPr>
          <w:rStyle w:val="19"/>
          <w:color w:val="auto"/>
          <w:highlight w:val="none"/>
        </w:rPr>
      </w:pPr>
      <w:r>
        <w:rPr>
          <w:rFonts w:hint="eastAsia" w:ascii="宋体" w:hAnsi="宋体" w:eastAsia="宋体" w:cs="宋体"/>
          <w:color w:val="auto"/>
          <w:highlight w:val="none"/>
        </w:rPr>
        <w:br w:type="page"/>
      </w:r>
      <w:r>
        <w:rPr>
          <w:rStyle w:val="19"/>
          <w:rFonts w:hint="eastAsia"/>
          <w:color w:val="auto"/>
          <w:highlight w:val="none"/>
          <w:lang w:val="en-US" w:eastAsia="zh-CN"/>
        </w:rPr>
        <w:t>一、</w:t>
      </w:r>
      <w:r>
        <w:rPr>
          <w:rStyle w:val="19"/>
          <w:rFonts w:hint="eastAsia"/>
          <w:color w:val="auto"/>
          <w:highlight w:val="none"/>
        </w:rPr>
        <w:t>参选函</w:t>
      </w:r>
    </w:p>
    <w:p w14:paraId="4AAA6C0C">
      <w:pPr>
        <w:tabs>
          <w:tab w:val="left" w:pos="6300"/>
        </w:tabs>
        <w:snapToGrid w:val="0"/>
        <w:spacing w:line="360" w:lineRule="auto"/>
        <w:ind w:right="-34" w:rightChars="-14"/>
        <w:rPr>
          <w:rFonts w:ascii="宋体"/>
          <w:snapToGrid w:val="0"/>
          <w:color w:val="auto"/>
          <w:kern w:val="0"/>
          <w:sz w:val="24"/>
          <w:szCs w:val="24"/>
          <w:highlight w:val="none"/>
          <w:u w:val="single"/>
        </w:rPr>
      </w:pPr>
    </w:p>
    <w:p w14:paraId="5C444BD1">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u w:val="single"/>
        </w:rPr>
        <w:t>重庆三峡银行股份有限公司</w:t>
      </w:r>
      <w:r>
        <w:rPr>
          <w:rFonts w:hint="eastAsia" w:ascii="宋体"/>
          <w:snapToGrid w:val="0"/>
          <w:color w:val="auto"/>
          <w:kern w:val="0"/>
          <w:sz w:val="24"/>
          <w:szCs w:val="24"/>
          <w:highlight w:val="none"/>
        </w:rPr>
        <w:t>：</w:t>
      </w:r>
    </w:p>
    <w:p w14:paraId="0EAF9FB8">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我方收到</w:t>
      </w:r>
      <w:r>
        <w:rPr>
          <w:rFonts w:hint="eastAsia" w:ascii="宋体"/>
          <w:snapToGrid w:val="0"/>
          <w:color w:val="auto"/>
          <w:kern w:val="0"/>
          <w:sz w:val="24"/>
          <w:szCs w:val="24"/>
          <w:highlight w:val="none"/>
          <w:u w:val="none"/>
        </w:rPr>
        <w:t>___________________</w:t>
      </w:r>
      <w:r>
        <w:rPr>
          <w:rFonts w:hint="eastAsia" w:ascii="宋体"/>
          <w:snapToGrid w:val="0"/>
          <w:color w:val="auto"/>
          <w:kern w:val="0"/>
          <w:sz w:val="24"/>
          <w:szCs w:val="24"/>
          <w:highlight w:val="none"/>
        </w:rPr>
        <w:t>比选文件，经详细研究，决定参加该比选项目的</w:t>
      </w: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w:t>
      </w:r>
    </w:p>
    <w:p w14:paraId="65B1D6CD">
      <w:pPr>
        <w:tabs>
          <w:tab w:val="left" w:pos="6300"/>
        </w:tabs>
        <w:autoSpaceDE w:val="0"/>
        <w:autoSpaceDN w:val="0"/>
        <w:snapToGrid w:val="0"/>
        <w:spacing w:line="360" w:lineRule="auto"/>
        <w:ind w:left="0" w:right="-34" w:rightChars="-14" w:firstLine="573" w:firstLineChars="0"/>
        <w:rPr>
          <w:rFonts w:hint="eastAsia" w:ascii="宋体"/>
          <w:snapToGrid w:val="0"/>
          <w:color w:val="auto"/>
          <w:kern w:val="0"/>
          <w:sz w:val="24"/>
          <w:szCs w:val="24"/>
          <w:highlight w:val="none"/>
          <w:u w:val="single"/>
        </w:rPr>
      </w:pPr>
      <w:r>
        <w:rPr>
          <w:rFonts w:hint="eastAsia" w:ascii="宋体" w:hAnsi="Cambria Math" w:eastAsia="宋体" w:cs="Cambria Math"/>
          <w:snapToGrid w:val="0"/>
          <w:color w:val="auto"/>
          <w:kern w:val="0"/>
          <w:sz w:val="24"/>
          <w:szCs w:val="24"/>
          <w:highlight w:val="none"/>
          <w:lang w:val="en-US" w:eastAsia="zh-CN" w:bidi="ar-SA"/>
        </w:rPr>
        <w:t>1、</w:t>
      </w:r>
      <w:r>
        <w:rPr>
          <w:rFonts w:hint="eastAsia" w:ascii="宋体"/>
          <w:snapToGrid w:val="0"/>
          <w:color w:val="auto"/>
          <w:kern w:val="0"/>
          <w:sz w:val="24"/>
          <w:szCs w:val="24"/>
          <w:highlight w:val="none"/>
        </w:rPr>
        <w:t>愿意按照比选文件中的一切要求，</w:t>
      </w:r>
      <w:r>
        <w:rPr>
          <w:rFonts w:hint="eastAsia" w:ascii="宋体" w:cs="仿宋_GB2312"/>
          <w:snapToGrid w:val="0"/>
          <w:color w:val="auto"/>
          <w:kern w:val="0"/>
          <w:sz w:val="24"/>
          <w:szCs w:val="24"/>
          <w:highlight w:val="none"/>
          <w:lang w:bidi="ar-SA"/>
        </w:rPr>
        <w:t>提供比选货物的供应及技术服务。</w:t>
      </w:r>
      <w:r>
        <w:rPr>
          <w:rFonts w:hint="eastAsia" w:ascii="宋体"/>
          <w:snapToGrid w:val="0"/>
          <w:color w:val="auto"/>
          <w:kern w:val="0"/>
          <w:sz w:val="24"/>
          <w:szCs w:val="24"/>
          <w:highlight w:val="none"/>
        </w:rPr>
        <w:t>以人民币小写：</w:t>
      </w:r>
      <w:r>
        <w:rPr>
          <w:rFonts w:hint="eastAsia" w:ascii="宋体"/>
          <w:snapToGrid w:val="0"/>
          <w:color w:val="auto"/>
          <w:kern w:val="0"/>
          <w:sz w:val="24"/>
          <w:szCs w:val="24"/>
          <w:highlight w:val="none"/>
          <w:u w:val="single"/>
          <w:lang w:val="en-US" w:eastAsia="zh-CN"/>
        </w:rPr>
        <w:t xml:space="preserve">          </w:t>
      </w:r>
      <w:r>
        <w:rPr>
          <w:rFonts w:hint="eastAsia" w:ascii="宋体"/>
          <w:snapToGrid w:val="0"/>
          <w:color w:val="auto"/>
          <w:kern w:val="0"/>
          <w:sz w:val="24"/>
          <w:szCs w:val="24"/>
          <w:highlight w:val="none"/>
          <w:lang w:val="en-US" w:eastAsia="zh-CN"/>
        </w:rPr>
        <w:t>/台</w:t>
      </w:r>
      <w:r>
        <w:rPr>
          <w:rFonts w:hint="eastAsia" w:ascii="宋体"/>
          <w:snapToGrid w:val="0"/>
          <w:color w:val="auto"/>
          <w:kern w:val="0"/>
          <w:sz w:val="24"/>
          <w:szCs w:val="24"/>
          <w:highlight w:val="none"/>
        </w:rPr>
        <w:t>，人民币大写：</w:t>
      </w:r>
      <w:r>
        <w:rPr>
          <w:rFonts w:hint="eastAsia" w:ascii="宋体"/>
          <w:snapToGrid w:val="0"/>
          <w:color w:val="auto"/>
          <w:kern w:val="0"/>
          <w:sz w:val="24"/>
          <w:szCs w:val="24"/>
          <w:highlight w:val="none"/>
          <w:u w:val="single"/>
          <w:lang w:val="en-US" w:eastAsia="zh-CN"/>
        </w:rPr>
        <w:t xml:space="preserve">          </w:t>
      </w:r>
      <w:r>
        <w:rPr>
          <w:rFonts w:hint="eastAsia" w:ascii="宋体"/>
          <w:snapToGrid w:val="0"/>
          <w:color w:val="auto"/>
          <w:kern w:val="0"/>
          <w:sz w:val="24"/>
          <w:szCs w:val="24"/>
          <w:highlight w:val="none"/>
          <w:lang w:val="en-US" w:eastAsia="zh-CN"/>
        </w:rPr>
        <w:t>/台</w:t>
      </w:r>
      <w:r>
        <w:rPr>
          <w:rFonts w:hint="eastAsia" w:ascii="宋体"/>
          <w:snapToGrid w:val="0"/>
          <w:color w:val="auto"/>
          <w:kern w:val="0"/>
          <w:sz w:val="24"/>
          <w:szCs w:val="24"/>
          <w:highlight w:val="none"/>
        </w:rPr>
        <w:t>的</w:t>
      </w:r>
      <w:r>
        <w:rPr>
          <w:rFonts w:hint="eastAsia" w:ascii="宋体" w:cs="Cambria"/>
          <w:snapToGrid w:val="0"/>
          <w:color w:val="auto"/>
          <w:kern w:val="0"/>
          <w:sz w:val="24"/>
          <w:szCs w:val="24"/>
          <w:highlight w:val="none"/>
          <w:lang w:bidi="ar-SA"/>
        </w:rPr>
        <w:t>参选</w:t>
      </w:r>
      <w:r>
        <w:rPr>
          <w:rFonts w:hint="eastAsia" w:ascii="宋体"/>
          <w:snapToGrid w:val="0"/>
          <w:color w:val="auto"/>
          <w:kern w:val="0"/>
          <w:sz w:val="24"/>
          <w:szCs w:val="24"/>
          <w:highlight w:val="none"/>
        </w:rPr>
        <w:t>价</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lang w:val="en-US" w:eastAsia="zh-CN"/>
        </w:rPr>
        <w:t>含税</w:t>
      </w:r>
      <w:r>
        <w:rPr>
          <w:rFonts w:hint="eastAsia" w:ascii="宋体"/>
          <w:snapToGrid w:val="0"/>
          <w:color w:val="auto"/>
          <w:kern w:val="0"/>
          <w:sz w:val="24"/>
          <w:szCs w:val="24"/>
          <w:highlight w:val="none"/>
          <w:lang w:eastAsia="zh-CN"/>
        </w:rPr>
        <w:t>）</w:t>
      </w:r>
      <w:r>
        <w:rPr>
          <w:rFonts w:hint="eastAsia" w:ascii="宋体"/>
          <w:snapToGrid w:val="0"/>
          <w:color w:val="auto"/>
          <w:kern w:val="0"/>
          <w:sz w:val="24"/>
          <w:szCs w:val="24"/>
          <w:highlight w:val="none"/>
        </w:rPr>
        <w:t>承担和完成本项目。</w:t>
      </w:r>
    </w:p>
    <w:p w14:paraId="4C4264D4">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2、我方知晓并同意本次货物单价均包含设备5年维护费用。</w:t>
      </w:r>
    </w:p>
    <w:p w14:paraId="59A0383A">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3、我方现提交的参选文件为：参选文件正本一份，副本一份，电子文件一份。</w:t>
      </w:r>
    </w:p>
    <w:p w14:paraId="2E581D10">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4、如果我方参选文件被接受，我方将履行比选文件中规定的各项要求，按相关法律法规和合同约定条款承担我方的责任。</w:t>
      </w:r>
    </w:p>
    <w:p w14:paraId="6591D30B">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5、我方愿意提供比选文件中要求的所有资料，并对其真实性负责。</w:t>
      </w:r>
    </w:p>
    <w:p w14:paraId="5CE0B6EC">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6、我方理解最低价格不是中选的唯一条件。</w:t>
      </w:r>
    </w:p>
    <w:p w14:paraId="41D0A624">
      <w:pPr>
        <w:tabs>
          <w:tab w:val="left" w:pos="6300"/>
        </w:tabs>
        <w:snapToGrid w:val="0"/>
        <w:spacing w:line="360" w:lineRule="auto"/>
        <w:ind w:right="-34" w:rightChars="-14"/>
        <w:rPr>
          <w:rFonts w:hint="eastAsia" w:ascii="宋体"/>
          <w:snapToGrid w:val="0"/>
          <w:color w:val="auto"/>
          <w:kern w:val="0"/>
          <w:sz w:val="24"/>
          <w:szCs w:val="24"/>
          <w:highlight w:val="none"/>
        </w:rPr>
      </w:pPr>
      <w:r>
        <w:rPr>
          <w:rFonts w:hint="eastAsia" w:ascii="宋体"/>
          <w:snapToGrid w:val="0"/>
          <w:color w:val="auto"/>
          <w:kern w:val="0"/>
          <w:sz w:val="24"/>
          <w:szCs w:val="24"/>
          <w:highlight w:val="none"/>
        </w:rPr>
        <w:t>7、参选有效期为参选截止日期后90天内。</w:t>
      </w:r>
    </w:p>
    <w:p w14:paraId="7590CCDD">
      <w:pPr>
        <w:tabs>
          <w:tab w:val="left" w:pos="6300"/>
        </w:tabs>
        <w:snapToGrid w:val="0"/>
        <w:spacing w:line="360" w:lineRule="auto"/>
        <w:ind w:right="-34" w:rightChars="-14"/>
        <w:rPr>
          <w:rFonts w:hint="eastAsia" w:ascii="宋体" w:eastAsia="宋体"/>
          <w:snapToGrid w:val="0"/>
          <w:color w:val="auto"/>
          <w:kern w:val="0"/>
          <w:sz w:val="24"/>
          <w:szCs w:val="24"/>
          <w:highlight w:val="none"/>
          <w:lang w:eastAsia="zh-CN"/>
        </w:rPr>
      </w:pPr>
      <w:r>
        <w:rPr>
          <w:rFonts w:hint="eastAsia" w:ascii="宋体"/>
          <w:snapToGrid w:val="0"/>
          <w:color w:val="auto"/>
          <w:kern w:val="0"/>
          <w:sz w:val="24"/>
          <w:szCs w:val="24"/>
          <w:highlight w:val="none"/>
        </w:rPr>
        <w:t>8、若我方中选，我方开具税率为13%的增值税专用发票</w:t>
      </w:r>
      <w:r>
        <w:rPr>
          <w:rFonts w:hint="eastAsia" w:ascii="宋体"/>
          <w:snapToGrid w:val="0"/>
          <w:color w:val="auto"/>
          <w:kern w:val="0"/>
          <w:sz w:val="24"/>
          <w:szCs w:val="24"/>
          <w:highlight w:val="none"/>
          <w:lang w:eastAsia="zh-CN"/>
        </w:rPr>
        <w:t>。</w:t>
      </w:r>
    </w:p>
    <w:p w14:paraId="10B2CCC6">
      <w:pPr>
        <w:tabs>
          <w:tab w:val="left" w:pos="6300"/>
        </w:tabs>
        <w:snapToGrid w:val="0"/>
        <w:spacing w:line="360" w:lineRule="auto"/>
        <w:ind w:right="-34" w:rightChars="-14"/>
        <w:rPr>
          <w:rFonts w:hint="eastAsia" w:ascii="宋体"/>
          <w:snapToGrid w:val="0"/>
          <w:color w:val="auto"/>
          <w:kern w:val="0"/>
          <w:sz w:val="24"/>
          <w:szCs w:val="24"/>
          <w:highlight w:val="none"/>
        </w:rPr>
      </w:pPr>
    </w:p>
    <w:p w14:paraId="6630DE72">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cs="Cambria"/>
          <w:snapToGrid w:val="0"/>
          <w:color w:val="auto"/>
          <w:kern w:val="0"/>
          <w:sz w:val="24"/>
          <w:szCs w:val="24"/>
          <w:highlight w:val="none"/>
        </w:rPr>
        <w:t>参选</w:t>
      </w:r>
      <w:r>
        <w:rPr>
          <w:rFonts w:hint="eastAsia" w:ascii="宋体"/>
          <w:snapToGrid w:val="0"/>
          <w:color w:val="auto"/>
          <w:kern w:val="0"/>
          <w:sz w:val="24"/>
          <w:szCs w:val="24"/>
          <w:highlight w:val="none"/>
        </w:rPr>
        <w:t>人（公章）：</w:t>
      </w:r>
    </w:p>
    <w:p w14:paraId="32716CC8">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地址：  </w:t>
      </w:r>
    </w:p>
    <w:p w14:paraId="04D1D05C">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电话：                           传真：</w:t>
      </w:r>
    </w:p>
    <w:p w14:paraId="67EA8DE6">
      <w:pPr>
        <w:tabs>
          <w:tab w:val="left" w:pos="6300"/>
        </w:tabs>
        <w:snapToGrid w:val="0"/>
        <w:spacing w:line="360" w:lineRule="auto"/>
        <w:ind w:right="-34" w:rightChars="-14"/>
        <w:rPr>
          <w:rFonts w:ascii="宋体"/>
          <w:snapToGrid w:val="0"/>
          <w:color w:val="auto"/>
          <w:kern w:val="0"/>
          <w:sz w:val="24"/>
          <w:szCs w:val="24"/>
          <w:highlight w:val="none"/>
        </w:rPr>
      </w:pPr>
      <w:r>
        <w:rPr>
          <w:rFonts w:hint="eastAsia" w:ascii="宋体"/>
          <w:snapToGrid w:val="0"/>
          <w:color w:val="auto"/>
          <w:kern w:val="0"/>
          <w:sz w:val="24"/>
          <w:szCs w:val="24"/>
          <w:highlight w:val="none"/>
        </w:rPr>
        <w:t xml:space="preserve">网址：                         </w:t>
      </w:r>
    </w:p>
    <w:p w14:paraId="00C409BC">
      <w:pPr>
        <w:tabs>
          <w:tab w:val="left" w:pos="6300"/>
        </w:tabs>
        <w:snapToGrid w:val="0"/>
        <w:spacing w:line="360" w:lineRule="auto"/>
        <w:ind w:right="-34" w:rightChars="-14" w:firstLine="6540" w:firstLineChars="2725"/>
        <w:rPr>
          <w:rFonts w:ascii="宋体"/>
          <w:snapToGrid w:val="0"/>
          <w:color w:val="auto"/>
          <w:kern w:val="0"/>
          <w:sz w:val="24"/>
          <w:szCs w:val="24"/>
          <w:highlight w:val="none"/>
        </w:rPr>
      </w:pPr>
    </w:p>
    <w:p w14:paraId="396D406C">
      <w:pPr>
        <w:tabs>
          <w:tab w:val="left" w:pos="6300"/>
        </w:tabs>
        <w:snapToGrid w:val="0"/>
        <w:spacing w:line="360" w:lineRule="auto"/>
        <w:ind w:right="-34" w:rightChars="-14" w:firstLine="5400" w:firstLineChars="2250"/>
        <w:rPr>
          <w:rFonts w:ascii="宋体"/>
          <w:snapToGrid w:val="0"/>
          <w:color w:val="auto"/>
          <w:kern w:val="0"/>
          <w:sz w:val="24"/>
          <w:szCs w:val="24"/>
          <w:highlight w:val="none"/>
        </w:rPr>
      </w:pPr>
      <w:r>
        <w:rPr>
          <w:rFonts w:hint="eastAsia" w:ascii="宋体"/>
          <w:snapToGrid w:val="0"/>
          <w:color w:val="auto"/>
          <w:kern w:val="0"/>
          <w:sz w:val="24"/>
          <w:szCs w:val="24"/>
          <w:highlight w:val="none"/>
        </w:rPr>
        <w:t>年     月     日</w:t>
      </w:r>
    </w:p>
    <w:p w14:paraId="113CC1A0">
      <w:pPr>
        <w:widowControl/>
        <w:spacing w:line="360" w:lineRule="auto"/>
        <w:jc w:val="left"/>
        <w:rPr>
          <w:rFonts w:ascii="宋体"/>
          <w:snapToGrid w:val="0"/>
          <w:color w:val="auto"/>
          <w:kern w:val="0"/>
          <w:sz w:val="24"/>
          <w:szCs w:val="24"/>
          <w:highlight w:val="none"/>
        </w:rPr>
      </w:pPr>
    </w:p>
    <w:p w14:paraId="7A94A1E9">
      <w:pPr>
        <w:widowControl/>
        <w:spacing w:line="360" w:lineRule="auto"/>
        <w:jc w:val="left"/>
        <w:rPr>
          <w:rFonts w:ascii="宋体"/>
          <w:snapToGrid w:val="0"/>
          <w:color w:val="auto"/>
          <w:kern w:val="0"/>
          <w:sz w:val="24"/>
          <w:szCs w:val="24"/>
          <w:highlight w:val="none"/>
        </w:rPr>
      </w:pPr>
    </w:p>
    <w:p w14:paraId="0AE4B19D">
      <w:pPr>
        <w:widowControl/>
        <w:spacing w:line="360" w:lineRule="auto"/>
        <w:jc w:val="left"/>
        <w:rPr>
          <w:rFonts w:ascii="宋体"/>
          <w:snapToGrid w:val="0"/>
          <w:color w:val="auto"/>
          <w:kern w:val="0"/>
          <w:sz w:val="24"/>
          <w:szCs w:val="24"/>
          <w:highlight w:val="none"/>
        </w:rPr>
      </w:pPr>
    </w:p>
    <w:p w14:paraId="1327DC02">
      <w:pPr>
        <w:snapToGrid w:val="0"/>
        <w:spacing w:line="360" w:lineRule="auto"/>
        <w:rPr>
          <w:rFonts w:ascii="宋体"/>
          <w:snapToGrid w:val="0"/>
          <w:color w:val="auto"/>
          <w:kern w:val="0"/>
          <w:sz w:val="24"/>
          <w:szCs w:val="24"/>
          <w:highlight w:val="none"/>
        </w:rPr>
      </w:pPr>
      <w:r>
        <w:rPr>
          <w:rFonts w:hint="eastAsia"/>
          <w:color w:val="auto"/>
          <w:kern w:val="0"/>
          <w:highlight w:val="none"/>
        </w:rPr>
        <w:br w:type="page"/>
      </w:r>
    </w:p>
    <w:p w14:paraId="50CC8255">
      <w:pPr>
        <w:snapToGrid w:val="0"/>
        <w:spacing w:line="360" w:lineRule="auto"/>
        <w:ind w:firstLine="0" w:firstLineChars="0"/>
        <w:jc w:val="center"/>
        <w:outlineLvl w:val="1"/>
        <w:rPr>
          <w:color w:val="auto"/>
          <w:kern w:val="0"/>
          <w:highlight w:val="none"/>
        </w:rPr>
      </w:pPr>
      <w:bookmarkStart w:id="254" w:name="_Toc3375"/>
      <w:bookmarkStart w:id="255" w:name="_Toc21257"/>
      <w:bookmarkStart w:id="256" w:name="_Toc23458"/>
      <w:r>
        <w:rPr>
          <w:rStyle w:val="19"/>
          <w:rFonts w:hint="eastAsia"/>
          <w:color w:val="auto"/>
          <w:highlight w:val="none"/>
        </w:rPr>
        <w:t>二、报价一览表</w:t>
      </w:r>
      <w:bookmarkEnd w:id="254"/>
      <w:bookmarkEnd w:id="255"/>
      <w:bookmarkEnd w:id="256"/>
    </w:p>
    <w:p w14:paraId="1AFAA9D9">
      <w:pPr>
        <w:spacing w:line="360" w:lineRule="auto"/>
        <w:ind w:right="-34" w:rightChars="-14"/>
        <w:rPr>
          <w:rFonts w:ascii="Times New Roman" w:hAnsi="Times New Roman"/>
          <w:color w:val="auto"/>
          <w:szCs w:val="28"/>
          <w:highlight w:val="none"/>
        </w:rPr>
      </w:pPr>
      <w:bookmarkStart w:id="257" w:name="_Hlk59456849"/>
    </w:p>
    <w:tbl>
      <w:tblPr>
        <w:tblStyle w:val="15"/>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37"/>
      </w:tblGrid>
      <w:tr w14:paraId="1E8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A57302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6437" w:type="dxa"/>
            <w:tcBorders>
              <w:top w:val="single" w:color="auto" w:sz="4" w:space="0"/>
              <w:left w:val="single" w:color="auto" w:sz="4" w:space="0"/>
              <w:bottom w:val="single" w:color="auto" w:sz="4" w:space="0"/>
              <w:right w:val="single" w:color="auto" w:sz="4" w:space="0"/>
            </w:tcBorders>
            <w:vAlign w:val="center"/>
          </w:tcPr>
          <w:p w14:paraId="3B7E9EA8">
            <w:pPr>
              <w:autoSpaceDE/>
              <w:autoSpaceDN/>
              <w:spacing w:line="360" w:lineRule="auto"/>
              <w:ind w:firstLine="0" w:firstLineChars="0"/>
              <w:jc w:val="center"/>
              <w:rPr>
                <w:rFonts w:ascii="宋体" w:hAnsi="宋体"/>
                <w:color w:val="auto"/>
                <w:szCs w:val="24"/>
                <w:highlight w:val="none"/>
              </w:rPr>
            </w:pPr>
          </w:p>
        </w:tc>
      </w:tr>
      <w:tr w14:paraId="0BCA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6CC172F">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6437" w:type="dxa"/>
            <w:tcBorders>
              <w:top w:val="single" w:color="auto" w:sz="4" w:space="0"/>
              <w:left w:val="single" w:color="auto" w:sz="4" w:space="0"/>
              <w:bottom w:val="single" w:color="auto" w:sz="4" w:space="0"/>
              <w:right w:val="single" w:color="auto" w:sz="4" w:space="0"/>
            </w:tcBorders>
            <w:vAlign w:val="center"/>
          </w:tcPr>
          <w:p w14:paraId="54B36EFE">
            <w:pPr>
              <w:autoSpaceDE/>
              <w:autoSpaceDN/>
              <w:spacing w:line="360" w:lineRule="auto"/>
              <w:ind w:firstLine="0" w:firstLineChars="0"/>
              <w:jc w:val="center"/>
              <w:rPr>
                <w:rFonts w:ascii="宋体" w:hAnsi="宋体" w:cs="Cambria"/>
                <w:color w:val="auto"/>
                <w:sz w:val="21"/>
                <w:szCs w:val="21"/>
                <w:highlight w:val="none"/>
              </w:rPr>
            </w:pPr>
          </w:p>
        </w:tc>
      </w:tr>
      <w:tr w14:paraId="3795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1C5BA07C">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lang w:val="en-US" w:eastAsia="zh-CN"/>
              </w:rPr>
              <w:t>报价</w:t>
            </w:r>
            <w:r>
              <w:rPr>
                <w:rFonts w:hint="eastAsia" w:ascii="宋体" w:hAnsi="宋体"/>
                <w:color w:val="auto"/>
                <w:szCs w:val="24"/>
                <w:highlight w:val="none"/>
              </w:rPr>
              <w:t>（含税）</w:t>
            </w:r>
          </w:p>
        </w:tc>
        <w:tc>
          <w:tcPr>
            <w:tcW w:w="6437" w:type="dxa"/>
            <w:tcBorders>
              <w:top w:val="single" w:color="auto" w:sz="4" w:space="0"/>
              <w:left w:val="single" w:color="auto" w:sz="4" w:space="0"/>
              <w:bottom w:val="single" w:color="auto" w:sz="4" w:space="0"/>
              <w:right w:val="single" w:color="auto" w:sz="4" w:space="0"/>
            </w:tcBorders>
            <w:vAlign w:val="center"/>
          </w:tcPr>
          <w:p w14:paraId="74193408">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元/台</w:t>
            </w:r>
            <w:r>
              <w:rPr>
                <w:rFonts w:hint="eastAsia" w:ascii="Times New Roman" w:hAnsi="Times New Roman"/>
                <w:snapToGrid w:val="0"/>
                <w:color w:val="auto"/>
                <w:kern w:val="0"/>
                <w:szCs w:val="24"/>
                <w:highlight w:val="none"/>
                <w:lang w:val="en-US" w:eastAsia="zh-CN"/>
              </w:rPr>
              <w:t xml:space="preserve"> </w:t>
            </w:r>
            <w:r>
              <w:rPr>
                <w:rFonts w:ascii="Times New Roman" w:hAnsi="Times New Roman"/>
                <w:snapToGrid w:val="0"/>
                <w:color w:val="auto"/>
                <w:kern w:val="0"/>
                <w:szCs w:val="24"/>
                <w:highlight w:val="none"/>
              </w:rPr>
              <w:t>人民币</w:t>
            </w:r>
          </w:p>
          <w:p w14:paraId="0FD19500">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元</w:t>
            </w:r>
            <w:r>
              <w:rPr>
                <w:rFonts w:hint="eastAsia" w:ascii="Times New Roman" w:hAnsi="Times New Roman"/>
                <w:snapToGrid w:val="0"/>
                <w:color w:val="auto"/>
                <w:kern w:val="0"/>
                <w:szCs w:val="24"/>
                <w:highlight w:val="none"/>
                <w:lang w:val="en-US" w:eastAsia="zh-CN"/>
              </w:rPr>
              <w:t>每</w:t>
            </w:r>
            <w:r>
              <w:rPr>
                <w:rFonts w:hint="eastAsia" w:ascii="Times New Roman" w:hAnsi="Times New Roman"/>
                <w:snapToGrid w:val="0"/>
                <w:color w:val="auto"/>
                <w:kern w:val="0"/>
                <w:szCs w:val="24"/>
                <w:highlight w:val="none"/>
              </w:rPr>
              <w:t>台</w:t>
            </w:r>
            <w:r>
              <w:rPr>
                <w:rFonts w:hint="eastAsia" w:ascii="Times New Roman" w:hAnsi="Times New Roman"/>
                <w:snapToGrid w:val="0"/>
                <w:color w:val="auto"/>
                <w:kern w:val="0"/>
                <w:szCs w:val="24"/>
                <w:highlight w:val="none"/>
                <w:lang w:val="en-US" w:eastAsia="zh-CN"/>
              </w:rPr>
              <w:t xml:space="preserve"> </w:t>
            </w:r>
            <w:r>
              <w:rPr>
                <w:rFonts w:hint="eastAsia" w:ascii="Times New Roman" w:hAnsi="Times New Roman"/>
                <w:snapToGrid w:val="0"/>
                <w:color w:val="auto"/>
                <w:kern w:val="0"/>
                <w:szCs w:val="24"/>
                <w:highlight w:val="none"/>
              </w:rPr>
              <w:t>人民币</w:t>
            </w:r>
          </w:p>
        </w:tc>
      </w:tr>
      <w:tr w14:paraId="3E3C0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336DD528">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6437" w:type="dxa"/>
            <w:tcBorders>
              <w:top w:val="single" w:color="auto" w:sz="4" w:space="0"/>
              <w:left w:val="single" w:color="auto" w:sz="4" w:space="0"/>
              <w:bottom w:val="single" w:color="auto" w:sz="4" w:space="0"/>
              <w:right w:val="single" w:color="auto" w:sz="4" w:space="0"/>
            </w:tcBorders>
            <w:vAlign w:val="center"/>
          </w:tcPr>
          <w:p w14:paraId="01A415A0">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lang w:val="en-US" w:eastAsia="zh-CN"/>
              </w:rPr>
              <w:t xml:space="preserve"> 13 </w:t>
            </w:r>
            <w:r>
              <w:rPr>
                <w:rFonts w:hint="eastAsia" w:ascii="宋体" w:hAnsi="宋体"/>
                <w:color w:val="auto"/>
                <w:szCs w:val="24"/>
                <w:highlight w:val="none"/>
              </w:rPr>
              <w:t>%的增值税专用发票</w:t>
            </w:r>
          </w:p>
        </w:tc>
      </w:tr>
      <w:tr w14:paraId="7DA1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2"/>
            <w:tcBorders>
              <w:top w:val="single" w:color="auto" w:sz="4" w:space="0"/>
              <w:left w:val="single" w:color="auto" w:sz="4" w:space="0"/>
              <w:bottom w:val="single" w:color="auto" w:sz="4" w:space="0"/>
              <w:right w:val="single" w:color="auto" w:sz="4" w:space="0"/>
            </w:tcBorders>
          </w:tcPr>
          <w:p w14:paraId="2C547671">
            <w:pPr>
              <w:autoSpaceDE/>
              <w:autoSpaceDN/>
              <w:spacing w:line="360" w:lineRule="auto"/>
              <w:ind w:firstLine="0" w:firstLineChars="0"/>
              <w:rPr>
                <w:rFonts w:ascii="宋体" w:hAnsi="宋体" w:cs="Times New Roman"/>
                <w:snapToGrid w:val="0"/>
                <w:color w:val="auto"/>
                <w:kern w:val="0"/>
                <w:szCs w:val="24"/>
                <w:highlight w:val="none"/>
              </w:rPr>
            </w:pPr>
          </w:p>
          <w:p w14:paraId="3C6CE5D1">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4C76188D">
      <w:pPr>
        <w:spacing w:line="360" w:lineRule="auto"/>
        <w:ind w:right="-34" w:rightChars="-14"/>
        <w:rPr>
          <w:rFonts w:ascii="Times New Roman" w:hAnsi="Times New Roman"/>
          <w:color w:val="auto"/>
          <w:szCs w:val="28"/>
          <w:highlight w:val="none"/>
        </w:rPr>
      </w:pPr>
    </w:p>
    <w:p w14:paraId="04D37803">
      <w:pPr>
        <w:spacing w:line="360" w:lineRule="auto"/>
        <w:ind w:right="-34" w:rightChars="-14"/>
        <w:rPr>
          <w:rFonts w:ascii="Times New Roman" w:hAnsi="Times New Roman"/>
          <w:color w:val="auto"/>
          <w:szCs w:val="28"/>
          <w:highlight w:val="none"/>
        </w:rPr>
      </w:pPr>
    </w:p>
    <w:p w14:paraId="77B1C3DD">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bookmarkEnd w:id="257"/>
    <w:p w14:paraId="480DF241">
      <w:pPr>
        <w:spacing w:line="360" w:lineRule="auto"/>
        <w:ind w:right="-34" w:rightChars="-14"/>
        <w:rPr>
          <w:rFonts w:ascii="Times New Roman" w:hAnsi="Times New Roman"/>
          <w:color w:val="auto"/>
          <w:szCs w:val="28"/>
          <w:highlight w:val="none"/>
        </w:rPr>
      </w:pPr>
    </w:p>
    <w:p w14:paraId="27A3FD9F">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5FE0347">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w:t>
      </w:r>
      <w:r>
        <w:rPr>
          <w:rFonts w:hint="eastAsia" w:ascii="Times New Roman" w:hAnsi="Times New Roman"/>
          <w:snapToGrid w:val="0"/>
          <w:color w:val="auto"/>
          <w:kern w:val="0"/>
          <w:szCs w:val="24"/>
          <w:highlight w:val="none"/>
          <w:lang w:val="en-US" w:eastAsia="zh-CN"/>
        </w:rPr>
        <w:t>签字或盖章</w:t>
      </w:r>
      <w:r>
        <w:rPr>
          <w:rFonts w:hint="eastAsia" w:ascii="Times New Roman" w:hAnsi="Times New Roman"/>
          <w:snapToGrid w:val="0"/>
          <w:color w:val="auto"/>
          <w:kern w:val="0"/>
          <w:szCs w:val="24"/>
          <w:highlight w:val="none"/>
        </w:rPr>
        <w:t>）</w:t>
      </w:r>
    </w:p>
    <w:p w14:paraId="28B0BB88">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4E65728">
      <w:pPr>
        <w:snapToGrid w:val="0"/>
        <w:spacing w:line="360" w:lineRule="auto"/>
        <w:rPr>
          <w:rFonts w:ascii="Times New Roman" w:hAnsi="Times New Roman"/>
          <w:snapToGrid w:val="0"/>
          <w:color w:val="auto"/>
          <w:kern w:val="0"/>
          <w:szCs w:val="24"/>
          <w:highlight w:val="none"/>
        </w:rPr>
      </w:pPr>
    </w:p>
    <w:p w14:paraId="27AA6993">
      <w:pPr>
        <w:snapToGrid w:val="0"/>
        <w:spacing w:line="360" w:lineRule="auto"/>
        <w:rPr>
          <w:rFonts w:ascii="Times New Roman" w:hAnsi="Times New Roman"/>
          <w:snapToGrid w:val="0"/>
          <w:color w:val="auto"/>
          <w:kern w:val="0"/>
          <w:szCs w:val="24"/>
          <w:highlight w:val="none"/>
        </w:rPr>
      </w:pPr>
    </w:p>
    <w:p w14:paraId="4380C214">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4BEF23C5">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588DC1E0">
      <w:pPr>
        <w:tabs>
          <w:tab w:val="left" w:pos="6300"/>
        </w:tabs>
        <w:snapToGrid w:val="0"/>
        <w:spacing w:line="360" w:lineRule="auto"/>
        <w:ind w:right="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本次报价包含上述维护期，比选人不再另行支付该维护期内维护费用。</w:t>
      </w:r>
    </w:p>
    <w:p w14:paraId="7CB02F9E">
      <w:pPr>
        <w:tabs>
          <w:tab w:val="left" w:pos="6300"/>
        </w:tabs>
        <w:snapToGrid w:val="0"/>
        <w:spacing w:line="360" w:lineRule="auto"/>
        <w:ind w:right="480"/>
        <w:jc w:val="right"/>
        <w:rPr>
          <w:rFonts w:hint="eastAsia" w:ascii="Times New Roman" w:hAnsi="Times New Roman"/>
          <w:snapToGrid w:val="0"/>
          <w:color w:val="auto"/>
          <w:kern w:val="0"/>
          <w:szCs w:val="24"/>
          <w:highlight w:val="none"/>
        </w:rPr>
      </w:pPr>
    </w:p>
    <w:p w14:paraId="3819E548">
      <w:pPr>
        <w:widowControl/>
        <w:ind w:firstLine="0" w:firstLineChars="0"/>
        <w:jc w:val="left"/>
        <w:rPr>
          <w:color w:val="auto"/>
          <w:highlight w:val="none"/>
        </w:rPr>
        <w:sectPr>
          <w:pgSz w:w="11906" w:h="16838"/>
          <w:pgMar w:top="1440" w:right="1800" w:bottom="1440" w:left="1800" w:header="851" w:footer="992" w:gutter="0"/>
          <w:pgNumType w:fmt="decimal"/>
          <w:cols w:space="720" w:num="1"/>
          <w:docGrid w:type="lines" w:linePitch="312" w:charSpace="0"/>
        </w:sectPr>
      </w:pPr>
    </w:p>
    <w:p w14:paraId="097BE337">
      <w:pPr>
        <w:pStyle w:val="20"/>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rFonts w:hint="eastAsia"/>
          <w:color w:val="auto"/>
          <w:highlight w:val="none"/>
        </w:rPr>
      </w:pPr>
      <w:r>
        <w:rPr>
          <w:rFonts w:hint="eastAsia"/>
          <w:color w:val="auto"/>
          <w:highlight w:val="none"/>
          <w:lang w:val="en-US" w:eastAsia="zh-CN"/>
        </w:rPr>
        <w:t>三、</w:t>
      </w:r>
      <w:r>
        <w:rPr>
          <w:rFonts w:hint="eastAsia"/>
          <w:color w:val="auto"/>
          <w:highlight w:val="none"/>
        </w:rPr>
        <w:t>分项报价明细表</w:t>
      </w:r>
    </w:p>
    <w:tbl>
      <w:tblPr>
        <w:tblStyle w:val="15"/>
        <w:tblW w:w="89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7"/>
        <w:gridCol w:w="2160"/>
        <w:gridCol w:w="1441"/>
        <w:gridCol w:w="720"/>
        <w:gridCol w:w="900"/>
        <w:gridCol w:w="3060"/>
      </w:tblGrid>
      <w:tr w14:paraId="0D26B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59A2DFF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160" w:type="dxa"/>
            <w:tcBorders>
              <w:top w:val="single" w:color="auto" w:sz="4" w:space="0"/>
              <w:left w:val="single" w:color="auto" w:sz="4" w:space="0"/>
              <w:bottom w:val="single" w:color="auto" w:sz="4" w:space="0"/>
              <w:right w:val="single" w:color="auto" w:sz="4" w:space="0"/>
            </w:tcBorders>
            <w:noWrap/>
            <w:vAlign w:val="center"/>
          </w:tcPr>
          <w:p w14:paraId="04CD37F8">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模块名称</w:t>
            </w:r>
          </w:p>
        </w:tc>
        <w:tc>
          <w:tcPr>
            <w:tcW w:w="1441" w:type="dxa"/>
            <w:tcBorders>
              <w:top w:val="single" w:color="auto" w:sz="4" w:space="0"/>
              <w:left w:val="single" w:color="auto" w:sz="4" w:space="0"/>
              <w:bottom w:val="single" w:color="auto" w:sz="4" w:space="0"/>
              <w:right w:val="single" w:color="auto" w:sz="4" w:space="0"/>
            </w:tcBorders>
            <w:noWrap/>
            <w:vAlign w:val="center"/>
          </w:tcPr>
          <w:p w14:paraId="00D72FBB">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720" w:type="dxa"/>
            <w:tcBorders>
              <w:top w:val="single" w:color="auto" w:sz="4" w:space="0"/>
              <w:left w:val="single" w:color="auto" w:sz="4" w:space="0"/>
              <w:bottom w:val="single" w:color="auto" w:sz="4" w:space="0"/>
              <w:right w:val="single" w:color="auto" w:sz="4" w:space="0"/>
            </w:tcBorders>
            <w:noWrap/>
            <w:vAlign w:val="center"/>
          </w:tcPr>
          <w:p w14:paraId="36BE664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14:paraId="72A67D3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单价（元）</w:t>
            </w:r>
          </w:p>
        </w:tc>
        <w:tc>
          <w:tcPr>
            <w:tcW w:w="3060" w:type="dxa"/>
            <w:tcBorders>
              <w:top w:val="single" w:color="auto" w:sz="4" w:space="0"/>
              <w:left w:val="single" w:color="auto" w:sz="4" w:space="0"/>
              <w:bottom w:val="single" w:color="auto" w:sz="4" w:space="0"/>
              <w:right w:val="single" w:color="auto" w:sz="4" w:space="0"/>
            </w:tcBorders>
            <w:noWrap/>
            <w:vAlign w:val="center"/>
          </w:tcPr>
          <w:p w14:paraId="5C1061C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r>
      <w:tr w14:paraId="594D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26EDD41B">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60" w:type="dxa"/>
            <w:tcBorders>
              <w:top w:val="single" w:color="auto" w:sz="4" w:space="0"/>
              <w:left w:val="single" w:color="auto" w:sz="4" w:space="0"/>
              <w:bottom w:val="single" w:color="auto" w:sz="4" w:space="0"/>
              <w:right w:val="single" w:color="auto" w:sz="4" w:space="0"/>
            </w:tcBorders>
            <w:noWrap/>
            <w:vAlign w:val="center"/>
          </w:tcPr>
          <w:p w14:paraId="7E1F1C7A">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221FA40C">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1285C84E">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3CC8399C">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19981B39">
            <w:pPr>
              <w:spacing w:line="240" w:lineRule="auto"/>
              <w:ind w:firstLine="0" w:firstLineChars="0"/>
              <w:jc w:val="center"/>
              <w:rPr>
                <w:rFonts w:hint="eastAsia" w:ascii="宋体" w:hAnsi="宋体" w:eastAsia="宋体" w:cs="宋体"/>
                <w:color w:val="auto"/>
                <w:sz w:val="21"/>
                <w:szCs w:val="21"/>
                <w:highlight w:val="none"/>
              </w:rPr>
            </w:pPr>
          </w:p>
        </w:tc>
      </w:tr>
      <w:tr w14:paraId="3E2F4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5544714A">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60" w:type="dxa"/>
            <w:tcBorders>
              <w:top w:val="single" w:color="auto" w:sz="4" w:space="0"/>
              <w:left w:val="single" w:color="auto" w:sz="4" w:space="0"/>
              <w:bottom w:val="single" w:color="auto" w:sz="4" w:space="0"/>
              <w:right w:val="single" w:color="auto" w:sz="4" w:space="0"/>
            </w:tcBorders>
            <w:noWrap/>
            <w:vAlign w:val="center"/>
          </w:tcPr>
          <w:p w14:paraId="5DB9D340">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6DA7AC80">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40663FB0">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2127E5FC">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B5406B7">
            <w:pPr>
              <w:spacing w:line="240" w:lineRule="auto"/>
              <w:ind w:firstLine="0" w:firstLineChars="0"/>
              <w:jc w:val="center"/>
              <w:rPr>
                <w:rFonts w:hint="eastAsia" w:ascii="宋体" w:hAnsi="宋体" w:eastAsia="宋体" w:cs="宋体"/>
                <w:color w:val="auto"/>
                <w:sz w:val="21"/>
                <w:szCs w:val="21"/>
                <w:highlight w:val="none"/>
              </w:rPr>
            </w:pPr>
          </w:p>
        </w:tc>
      </w:tr>
      <w:tr w14:paraId="3F271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1CC4DB37">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60" w:type="dxa"/>
            <w:tcBorders>
              <w:top w:val="single" w:color="auto" w:sz="4" w:space="0"/>
              <w:left w:val="single" w:color="auto" w:sz="4" w:space="0"/>
              <w:bottom w:val="single" w:color="auto" w:sz="4" w:space="0"/>
              <w:right w:val="single" w:color="auto" w:sz="4" w:space="0"/>
            </w:tcBorders>
            <w:noWrap/>
            <w:vAlign w:val="center"/>
          </w:tcPr>
          <w:p w14:paraId="54D71706">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06129A59">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21821564">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5FCF659D">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53FC2271">
            <w:pPr>
              <w:spacing w:line="240" w:lineRule="auto"/>
              <w:ind w:firstLine="0" w:firstLineChars="0"/>
              <w:jc w:val="center"/>
              <w:rPr>
                <w:rFonts w:hint="eastAsia" w:ascii="宋体" w:hAnsi="宋体" w:eastAsia="宋体" w:cs="宋体"/>
                <w:color w:val="auto"/>
                <w:sz w:val="21"/>
                <w:szCs w:val="21"/>
                <w:highlight w:val="none"/>
              </w:rPr>
            </w:pPr>
          </w:p>
        </w:tc>
      </w:tr>
      <w:tr w14:paraId="57F79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276C4570">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60" w:type="dxa"/>
            <w:tcBorders>
              <w:top w:val="single" w:color="auto" w:sz="4" w:space="0"/>
              <w:left w:val="single" w:color="auto" w:sz="4" w:space="0"/>
              <w:bottom w:val="single" w:color="auto" w:sz="4" w:space="0"/>
              <w:right w:val="single" w:color="auto" w:sz="4" w:space="0"/>
            </w:tcBorders>
            <w:noWrap/>
            <w:vAlign w:val="center"/>
          </w:tcPr>
          <w:p w14:paraId="756993BD">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12AF6B73">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3F8552CC">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23BF9FCC">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ABFDBF2">
            <w:pPr>
              <w:spacing w:line="240" w:lineRule="auto"/>
              <w:ind w:firstLine="0" w:firstLineChars="0"/>
              <w:jc w:val="center"/>
              <w:rPr>
                <w:rFonts w:hint="eastAsia" w:ascii="宋体" w:hAnsi="宋体" w:eastAsia="宋体" w:cs="宋体"/>
                <w:color w:val="auto"/>
                <w:sz w:val="21"/>
                <w:szCs w:val="21"/>
                <w:highlight w:val="none"/>
              </w:rPr>
            </w:pPr>
          </w:p>
        </w:tc>
      </w:tr>
      <w:tr w14:paraId="14056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27189372">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60" w:type="dxa"/>
            <w:tcBorders>
              <w:top w:val="single" w:color="auto" w:sz="4" w:space="0"/>
              <w:left w:val="single" w:color="auto" w:sz="4" w:space="0"/>
              <w:bottom w:val="single" w:color="auto" w:sz="4" w:space="0"/>
              <w:right w:val="single" w:color="auto" w:sz="4" w:space="0"/>
            </w:tcBorders>
            <w:noWrap/>
            <w:vAlign w:val="center"/>
          </w:tcPr>
          <w:p w14:paraId="46CC4D84">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69AB5A9A">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7D339B60">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13757668">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7994C5CD">
            <w:pPr>
              <w:spacing w:line="240" w:lineRule="auto"/>
              <w:ind w:firstLine="0" w:firstLineChars="0"/>
              <w:jc w:val="center"/>
              <w:rPr>
                <w:rFonts w:hint="eastAsia" w:ascii="宋体" w:hAnsi="宋体" w:eastAsia="宋体" w:cs="宋体"/>
                <w:color w:val="auto"/>
                <w:sz w:val="21"/>
                <w:szCs w:val="21"/>
                <w:highlight w:val="none"/>
              </w:rPr>
            </w:pPr>
          </w:p>
        </w:tc>
      </w:tr>
      <w:tr w14:paraId="21474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5D269A81">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60" w:type="dxa"/>
            <w:tcBorders>
              <w:top w:val="single" w:color="auto" w:sz="4" w:space="0"/>
              <w:left w:val="single" w:color="auto" w:sz="4" w:space="0"/>
              <w:bottom w:val="single" w:color="auto" w:sz="4" w:space="0"/>
              <w:right w:val="single" w:color="auto" w:sz="4" w:space="0"/>
            </w:tcBorders>
            <w:noWrap/>
            <w:vAlign w:val="center"/>
          </w:tcPr>
          <w:p w14:paraId="044FD49F">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584C3E80">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012152AC">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4E7624F4">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6CB57D01">
            <w:pPr>
              <w:spacing w:line="240" w:lineRule="auto"/>
              <w:ind w:firstLine="0" w:firstLineChars="0"/>
              <w:jc w:val="center"/>
              <w:rPr>
                <w:rFonts w:hint="eastAsia" w:ascii="宋体" w:hAnsi="宋体" w:eastAsia="宋体" w:cs="宋体"/>
                <w:color w:val="auto"/>
                <w:sz w:val="21"/>
                <w:szCs w:val="21"/>
                <w:highlight w:val="none"/>
              </w:rPr>
            </w:pPr>
          </w:p>
        </w:tc>
      </w:tr>
      <w:tr w14:paraId="7152F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7" w:type="dxa"/>
            <w:tcBorders>
              <w:top w:val="single" w:color="auto" w:sz="4" w:space="0"/>
              <w:left w:val="single" w:color="auto" w:sz="4" w:space="0"/>
              <w:bottom w:val="single" w:color="auto" w:sz="4" w:space="0"/>
              <w:right w:val="single" w:color="auto" w:sz="4" w:space="0"/>
            </w:tcBorders>
            <w:noWrap/>
            <w:vAlign w:val="center"/>
          </w:tcPr>
          <w:p w14:paraId="3F9D43CE">
            <w:pPr>
              <w:spacing w:line="240" w:lineRule="auto"/>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ign w:val="center"/>
          </w:tcPr>
          <w:p w14:paraId="1B95CF2B">
            <w:pPr>
              <w:spacing w:line="240" w:lineRule="auto"/>
              <w:ind w:firstLine="0" w:firstLineChars="0"/>
              <w:jc w:val="center"/>
              <w:rPr>
                <w:rFonts w:hint="eastAsia" w:ascii="宋体" w:hAnsi="宋体" w:eastAsia="宋体" w:cs="宋体"/>
                <w:color w:val="auto"/>
                <w:sz w:val="21"/>
                <w:szCs w:val="21"/>
                <w:highlight w:val="none"/>
              </w:rPr>
            </w:pPr>
          </w:p>
        </w:tc>
        <w:tc>
          <w:tcPr>
            <w:tcW w:w="1441" w:type="dxa"/>
            <w:tcBorders>
              <w:top w:val="single" w:color="auto" w:sz="4" w:space="0"/>
              <w:left w:val="single" w:color="auto" w:sz="4" w:space="0"/>
              <w:bottom w:val="single" w:color="auto" w:sz="4" w:space="0"/>
              <w:right w:val="single" w:color="auto" w:sz="4" w:space="0"/>
            </w:tcBorders>
            <w:noWrap/>
            <w:vAlign w:val="center"/>
          </w:tcPr>
          <w:p w14:paraId="208B8A4F">
            <w:pPr>
              <w:spacing w:line="240" w:lineRule="auto"/>
              <w:ind w:firstLine="0" w:firstLineChars="0"/>
              <w:jc w:val="center"/>
              <w:rPr>
                <w:rFonts w:hint="eastAsia" w:ascii="宋体" w:hAnsi="宋体" w:eastAsia="宋体" w:cs="宋体"/>
                <w:color w:val="auto"/>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noWrap/>
            <w:vAlign w:val="center"/>
          </w:tcPr>
          <w:p w14:paraId="629F5346">
            <w:pPr>
              <w:spacing w:line="240" w:lineRule="auto"/>
              <w:ind w:firstLine="0" w:firstLineChars="0"/>
              <w:jc w:val="center"/>
              <w:rPr>
                <w:rFonts w:hint="eastAsia" w:ascii="宋体" w:hAnsi="宋体" w:eastAsia="宋体" w:cs="宋体"/>
                <w:color w:val="auto"/>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14:paraId="488B70CE">
            <w:pPr>
              <w:spacing w:line="240" w:lineRule="auto"/>
              <w:ind w:firstLine="0" w:firstLineChars="0"/>
              <w:jc w:val="center"/>
              <w:rPr>
                <w:rFonts w:hint="eastAsia" w:ascii="宋体" w:hAnsi="宋体" w:eastAsia="宋体" w:cs="宋体"/>
                <w:color w:val="auto"/>
                <w:sz w:val="21"/>
                <w:szCs w:val="21"/>
                <w:highlight w:val="none"/>
              </w:rPr>
            </w:pPr>
          </w:p>
        </w:tc>
        <w:tc>
          <w:tcPr>
            <w:tcW w:w="3060" w:type="dxa"/>
            <w:tcBorders>
              <w:top w:val="single" w:color="auto" w:sz="4" w:space="0"/>
              <w:left w:val="single" w:color="auto" w:sz="4" w:space="0"/>
              <w:bottom w:val="single" w:color="auto" w:sz="4" w:space="0"/>
              <w:right w:val="single" w:color="auto" w:sz="4" w:space="0"/>
            </w:tcBorders>
            <w:noWrap/>
            <w:vAlign w:val="center"/>
          </w:tcPr>
          <w:p w14:paraId="4F322179">
            <w:pPr>
              <w:spacing w:line="240" w:lineRule="auto"/>
              <w:ind w:firstLine="0" w:firstLineChars="0"/>
              <w:jc w:val="center"/>
              <w:rPr>
                <w:rFonts w:hint="eastAsia" w:ascii="宋体" w:hAnsi="宋体" w:eastAsia="宋体" w:cs="宋体"/>
                <w:color w:val="auto"/>
                <w:sz w:val="21"/>
                <w:szCs w:val="21"/>
                <w:highlight w:val="none"/>
              </w:rPr>
            </w:pPr>
          </w:p>
        </w:tc>
      </w:tr>
    </w:tbl>
    <w:p w14:paraId="3A90A55D">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（自定义表格形式，格式自拟）</w:t>
      </w:r>
    </w:p>
    <w:p w14:paraId="323AEFE4">
      <w:pPr>
        <w:rPr>
          <w:rStyle w:val="18"/>
          <w:rFonts w:hint="eastAsia"/>
          <w:b/>
          <w:bCs/>
          <w:color w:val="auto"/>
          <w:highlight w:val="none"/>
          <w:lang w:val="en-US" w:eastAsia="zh-CN"/>
        </w:rPr>
      </w:pPr>
      <w:r>
        <w:rPr>
          <w:rStyle w:val="18"/>
          <w:rFonts w:hint="eastAsia"/>
          <w:b/>
          <w:bCs/>
          <w:color w:val="auto"/>
          <w:highlight w:val="none"/>
          <w:lang w:val="en-US" w:eastAsia="zh-CN"/>
        </w:rPr>
        <w:br w:type="page"/>
      </w:r>
    </w:p>
    <w:p w14:paraId="2665247F">
      <w:pPr>
        <w:pStyle w:val="20"/>
        <w:keepNext w:val="0"/>
        <w:keepLines w:val="0"/>
        <w:pageBreakBefore w:val="0"/>
        <w:widowControl w:val="0"/>
        <w:kinsoku/>
        <w:wordWrap/>
        <w:overflowPunct/>
        <w:topLinePunct w:val="0"/>
        <w:autoSpaceDE w:val="0"/>
        <w:autoSpaceDN w:val="0"/>
        <w:bidi w:val="0"/>
        <w:adjustRightInd/>
        <w:snapToGrid/>
        <w:ind w:left="0" w:right="0" w:firstLine="0"/>
        <w:jc w:val="center"/>
        <w:textAlignment w:val="auto"/>
        <w:rPr>
          <w:color w:val="auto"/>
          <w:highlight w:val="none"/>
          <w:lang w:val="en-US" w:eastAsia="zh-CN"/>
        </w:rPr>
      </w:pPr>
      <w:r>
        <w:rPr>
          <w:rFonts w:hint="eastAsia"/>
          <w:color w:val="auto"/>
          <w:highlight w:val="none"/>
          <w:lang w:val="en-US" w:eastAsia="zh-CN"/>
        </w:rPr>
        <w:t>四、资格性文件</w:t>
      </w:r>
    </w:p>
    <w:p w14:paraId="0ED9393F">
      <w:pPr>
        <w:pStyle w:val="21"/>
        <w:bidi w:val="0"/>
        <w:rPr>
          <w:color w:val="auto"/>
          <w:highlight w:val="none"/>
        </w:rPr>
      </w:pPr>
      <w:r>
        <w:rPr>
          <w:color w:val="auto"/>
          <w:highlight w:val="none"/>
          <w:lang w:eastAsia="zh-CN"/>
        </w:rPr>
        <w:t>（</w:t>
      </w:r>
      <w:r>
        <w:rPr>
          <w:color w:val="auto"/>
          <w:highlight w:val="none"/>
          <w:lang w:val="en-US" w:eastAsia="zh-CN"/>
        </w:rPr>
        <w:t>一</w:t>
      </w:r>
      <w:r>
        <w:rPr>
          <w:color w:val="auto"/>
          <w:highlight w:val="none"/>
          <w:lang w:eastAsia="zh-CN"/>
        </w:rPr>
        <w:t>）</w:t>
      </w:r>
      <w:r>
        <w:rPr>
          <w:color w:val="auto"/>
          <w:highlight w:val="none"/>
        </w:rPr>
        <w:t>参选人基本情况介绍，资质证明等</w:t>
      </w:r>
    </w:p>
    <w:tbl>
      <w:tblPr>
        <w:tblStyle w:val="15"/>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F37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07FDEF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参选人名称</w:t>
            </w:r>
          </w:p>
        </w:tc>
        <w:tc>
          <w:tcPr>
            <w:tcW w:w="7114" w:type="dxa"/>
            <w:gridSpan w:val="8"/>
          </w:tcPr>
          <w:p w14:paraId="3E0FF16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06F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A4040F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6A0E155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0ACD3FF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邮政编码</w:t>
            </w:r>
          </w:p>
        </w:tc>
        <w:tc>
          <w:tcPr>
            <w:tcW w:w="1657" w:type="dxa"/>
            <w:gridSpan w:val="3"/>
          </w:tcPr>
          <w:p w14:paraId="42D87FF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C7C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90808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11A82DE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79C26FC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5EA7BC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1657" w:type="dxa"/>
            <w:gridSpan w:val="3"/>
          </w:tcPr>
          <w:p w14:paraId="41BBC65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6873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D4B84E4">
            <w:pPr>
              <w:rPr>
                <w:color w:val="auto"/>
                <w:highlight w:val="none"/>
              </w:rPr>
            </w:pPr>
          </w:p>
        </w:tc>
        <w:tc>
          <w:tcPr>
            <w:tcW w:w="1077" w:type="dxa"/>
            <w:tcBorders>
              <w:top w:val="single" w:color="auto" w:sz="4" w:space="0"/>
              <w:left w:val="single" w:color="auto" w:sz="4" w:space="0"/>
              <w:right w:val="single" w:color="auto" w:sz="4" w:space="0"/>
            </w:tcBorders>
            <w:vAlign w:val="center"/>
          </w:tcPr>
          <w:p w14:paraId="2177ADF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55AECAE">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325" w:type="dxa"/>
            <w:tcBorders>
              <w:top w:val="single" w:color="auto" w:sz="4" w:space="0"/>
              <w:left w:val="single" w:color="auto" w:sz="4" w:space="0"/>
              <w:right w:val="single" w:color="auto" w:sz="4" w:space="0"/>
            </w:tcBorders>
            <w:vAlign w:val="center"/>
          </w:tcPr>
          <w:p w14:paraId="1731424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网址</w:t>
            </w:r>
          </w:p>
        </w:tc>
        <w:tc>
          <w:tcPr>
            <w:tcW w:w="1657" w:type="dxa"/>
            <w:gridSpan w:val="3"/>
          </w:tcPr>
          <w:p w14:paraId="02F00B5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C26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7FDCC9F">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组织结构</w:t>
            </w:r>
          </w:p>
        </w:tc>
        <w:tc>
          <w:tcPr>
            <w:tcW w:w="7114" w:type="dxa"/>
            <w:gridSpan w:val="8"/>
            <w:vAlign w:val="center"/>
          </w:tcPr>
          <w:p w14:paraId="27E2493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0C93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770AE4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法定代表人</w:t>
            </w:r>
            <w:r>
              <w:rPr>
                <w:rFonts w:hint="eastAsia" w:ascii="宋体"/>
                <w:color w:val="auto"/>
                <w:sz w:val="22"/>
                <w:szCs w:val="24"/>
                <w:highlight w:val="none"/>
                <w:lang w:val="en-US" w:eastAsia="zh-CN"/>
              </w:rPr>
              <w:t>/</w:t>
            </w:r>
            <w:r>
              <w:rPr>
                <w:rFonts w:hint="eastAsia" w:ascii="宋体"/>
                <w:color w:val="auto"/>
                <w:sz w:val="22"/>
                <w:szCs w:val="24"/>
                <w:highlight w:val="none"/>
              </w:rPr>
              <w:t>分支机构负责人</w:t>
            </w:r>
          </w:p>
        </w:tc>
        <w:tc>
          <w:tcPr>
            <w:tcW w:w="1077" w:type="dxa"/>
            <w:tcBorders>
              <w:top w:val="single" w:color="auto" w:sz="4" w:space="0"/>
              <w:left w:val="single" w:color="auto" w:sz="4" w:space="0"/>
              <w:right w:val="single" w:color="auto" w:sz="4" w:space="0"/>
            </w:tcBorders>
            <w:vAlign w:val="center"/>
          </w:tcPr>
          <w:p w14:paraId="65697A7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166AA67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00265C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5B5E2A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04B9CE1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0291941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6E94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F129F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670BF0A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姓名</w:t>
            </w:r>
          </w:p>
        </w:tc>
        <w:tc>
          <w:tcPr>
            <w:tcW w:w="1803" w:type="dxa"/>
            <w:tcBorders>
              <w:top w:val="single" w:color="auto" w:sz="4" w:space="0"/>
              <w:left w:val="single" w:color="auto" w:sz="4" w:space="0"/>
              <w:right w:val="single" w:color="auto" w:sz="4" w:space="0"/>
            </w:tcBorders>
          </w:tcPr>
          <w:p w14:paraId="0B7D3F0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41F783E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B0A2BC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23" w:type="dxa"/>
            <w:tcBorders>
              <w:top w:val="single" w:color="auto" w:sz="4" w:space="0"/>
              <w:left w:val="single" w:color="auto" w:sz="4" w:space="0"/>
              <w:right w:val="single" w:color="auto" w:sz="4" w:space="0"/>
            </w:tcBorders>
            <w:vAlign w:val="center"/>
          </w:tcPr>
          <w:p w14:paraId="2530C0A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电话</w:t>
            </w:r>
          </w:p>
        </w:tc>
        <w:tc>
          <w:tcPr>
            <w:tcW w:w="758" w:type="dxa"/>
          </w:tcPr>
          <w:p w14:paraId="35E1B32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1EFF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530151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2938CF2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4234" w:type="dxa"/>
            <w:gridSpan w:val="6"/>
          </w:tcPr>
          <w:p w14:paraId="2B31C707">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员工总人数：</w:t>
            </w:r>
          </w:p>
        </w:tc>
      </w:tr>
      <w:tr w14:paraId="53AC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83BA40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5094698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FA55BF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594A8BC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项目经理</w:t>
            </w:r>
          </w:p>
        </w:tc>
        <w:tc>
          <w:tcPr>
            <w:tcW w:w="1481" w:type="dxa"/>
            <w:gridSpan w:val="2"/>
          </w:tcPr>
          <w:p w14:paraId="49BBF55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4ED3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537EA00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36FF2C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211DACC7">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E4F5E7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高级职称人员</w:t>
            </w:r>
          </w:p>
        </w:tc>
        <w:tc>
          <w:tcPr>
            <w:tcW w:w="1481" w:type="dxa"/>
            <w:gridSpan w:val="2"/>
          </w:tcPr>
          <w:p w14:paraId="7F1EC31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04152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3A36F809">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F04D82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7E31985C">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141EF1B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中级职称人员</w:t>
            </w:r>
          </w:p>
        </w:tc>
        <w:tc>
          <w:tcPr>
            <w:tcW w:w="1481" w:type="dxa"/>
            <w:gridSpan w:val="2"/>
          </w:tcPr>
          <w:p w14:paraId="0FF594C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3AF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3D535EF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BEB375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686887BC">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16D8B1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初级职称人员</w:t>
            </w:r>
          </w:p>
        </w:tc>
        <w:tc>
          <w:tcPr>
            <w:tcW w:w="1481" w:type="dxa"/>
            <w:gridSpan w:val="2"/>
          </w:tcPr>
          <w:p w14:paraId="5F646F1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61E8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7E3C8CC">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46AB521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c>
          <w:tcPr>
            <w:tcW w:w="714" w:type="dxa"/>
            <w:vMerge w:val="continue"/>
            <w:tcBorders>
              <w:top w:val="single" w:color="auto" w:sz="4" w:space="0"/>
              <w:left w:val="single" w:color="auto" w:sz="4" w:space="0"/>
              <w:right w:val="single" w:color="auto" w:sz="4" w:space="0"/>
            </w:tcBorders>
          </w:tcPr>
          <w:p w14:paraId="338EBAEA">
            <w:pPr>
              <w:rPr>
                <w:color w:val="auto"/>
                <w:highlight w:val="none"/>
              </w:rPr>
            </w:pPr>
          </w:p>
        </w:tc>
        <w:tc>
          <w:tcPr>
            <w:tcW w:w="2039" w:type="dxa"/>
            <w:gridSpan w:val="3"/>
            <w:tcBorders>
              <w:top w:val="single" w:color="auto" w:sz="4" w:space="0"/>
              <w:left w:val="single" w:color="auto" w:sz="4" w:space="0"/>
              <w:right w:val="single" w:color="auto" w:sz="4" w:space="0"/>
            </w:tcBorders>
            <w:vAlign w:val="center"/>
          </w:tcPr>
          <w:p w14:paraId="65C47695">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技工</w:t>
            </w:r>
          </w:p>
        </w:tc>
        <w:tc>
          <w:tcPr>
            <w:tcW w:w="1481" w:type="dxa"/>
            <w:gridSpan w:val="2"/>
          </w:tcPr>
          <w:p w14:paraId="1BC60AF1">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763F0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4F2FB9C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经营范围</w:t>
            </w:r>
          </w:p>
        </w:tc>
        <w:tc>
          <w:tcPr>
            <w:tcW w:w="7114" w:type="dxa"/>
            <w:gridSpan w:val="8"/>
          </w:tcPr>
          <w:p w14:paraId="22A7F74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r w14:paraId="1D0E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02F9C74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r>
              <w:rPr>
                <w:rFonts w:hint="eastAsia" w:ascii="宋体"/>
                <w:color w:val="auto"/>
                <w:sz w:val="22"/>
                <w:szCs w:val="24"/>
                <w:highlight w:val="none"/>
              </w:rPr>
              <w:t>备注</w:t>
            </w:r>
          </w:p>
        </w:tc>
        <w:tc>
          <w:tcPr>
            <w:tcW w:w="7114" w:type="dxa"/>
            <w:gridSpan w:val="8"/>
          </w:tcPr>
          <w:p w14:paraId="6F2A0604">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color w:val="auto"/>
                <w:sz w:val="22"/>
                <w:szCs w:val="24"/>
                <w:highlight w:val="none"/>
              </w:rPr>
            </w:pPr>
          </w:p>
        </w:tc>
      </w:tr>
    </w:tbl>
    <w:p w14:paraId="33F9558F">
      <w:pPr>
        <w:widowControl/>
        <w:spacing w:line="360" w:lineRule="auto"/>
        <w:jc w:val="left"/>
        <w:rPr>
          <w:rFonts w:hint="eastAsia" w:ascii="宋体"/>
          <w:color w:val="auto"/>
          <w:sz w:val="20"/>
          <w:szCs w:val="21"/>
          <w:highlight w:val="none"/>
        </w:rPr>
        <w:sectPr>
          <w:pgSz w:w="11906" w:h="16838"/>
          <w:pgMar w:top="1440" w:right="1800" w:bottom="1440" w:left="1800" w:header="851" w:footer="992" w:gutter="0"/>
          <w:pgNumType w:fmt="decimal"/>
          <w:cols w:space="720" w:num="1"/>
          <w:docGrid w:type="lines" w:linePitch="312" w:charSpace="0"/>
        </w:sectPr>
      </w:pPr>
      <w:r>
        <w:rPr>
          <w:rFonts w:hint="eastAsia" w:ascii="宋体"/>
          <w:color w:val="auto"/>
          <w:sz w:val="20"/>
          <w:szCs w:val="21"/>
          <w:highlight w:val="none"/>
        </w:rPr>
        <w:t>注：附营业执照（副本）、</w:t>
      </w:r>
      <w:r>
        <w:rPr>
          <w:rFonts w:hint="eastAsia" w:ascii="宋体" w:hAnsi="宋体"/>
          <w:color w:val="auto"/>
          <w:sz w:val="20"/>
          <w:szCs w:val="21"/>
          <w:highlight w:val="none"/>
          <w:lang w:val="en-US" w:eastAsia="zh-CN"/>
        </w:rPr>
        <w:t>总公司授权委托书、</w:t>
      </w:r>
      <w:r>
        <w:rPr>
          <w:rFonts w:hint="eastAsia" w:ascii="宋体"/>
          <w:color w:val="auto"/>
          <w:sz w:val="20"/>
          <w:szCs w:val="21"/>
          <w:highlight w:val="none"/>
        </w:rPr>
        <w:t>资质证明复印件等。</w:t>
      </w:r>
    </w:p>
    <w:p w14:paraId="6D4180D4">
      <w:pPr>
        <w:pStyle w:val="21"/>
        <w:bidi w:val="0"/>
        <w:rPr>
          <w:color w:val="auto"/>
          <w:highlight w:val="none"/>
        </w:rPr>
      </w:pPr>
      <w:bookmarkStart w:id="258" w:name="_Toc472780356"/>
      <w:bookmarkStart w:id="259" w:name="_Toc378234584"/>
      <w:bookmarkStart w:id="260" w:name="_Toc378234770"/>
      <w:bookmarkStart w:id="261" w:name="_Toc478053903"/>
      <w:bookmarkStart w:id="262" w:name="_Toc478054435"/>
      <w:r>
        <w:rPr>
          <w:color w:val="auto"/>
          <w:highlight w:val="none"/>
          <w:lang w:eastAsia="zh-CN"/>
        </w:rPr>
        <w:t>（</w:t>
      </w:r>
      <w:r>
        <w:rPr>
          <w:color w:val="auto"/>
          <w:highlight w:val="none"/>
          <w:lang w:val="en-US" w:eastAsia="zh-CN"/>
        </w:rPr>
        <w:t>二</w:t>
      </w:r>
      <w:r>
        <w:rPr>
          <w:color w:val="auto"/>
          <w:highlight w:val="none"/>
          <w:lang w:eastAsia="zh-CN"/>
        </w:rPr>
        <w:t>）</w:t>
      </w:r>
      <w:r>
        <w:rPr>
          <w:color w:val="auto"/>
          <w:highlight w:val="none"/>
        </w:rPr>
        <w:t>法定代表人</w:t>
      </w:r>
      <w:r>
        <w:rPr>
          <w:rFonts w:hint="eastAsia" w:ascii="宋体"/>
          <w:snapToGrid w:val="0"/>
          <w:color w:val="auto"/>
          <w:kern w:val="0"/>
          <w:sz w:val="24"/>
          <w:highlight w:val="none"/>
          <w:lang w:val="en-US" w:eastAsia="zh-CN"/>
        </w:rPr>
        <w:t>/</w:t>
      </w:r>
      <w:r>
        <w:rPr>
          <w:rFonts w:hint="eastAsia"/>
          <w:color w:val="auto"/>
          <w:highlight w:val="none"/>
          <w:lang w:val="en-US" w:eastAsia="zh-CN"/>
        </w:rPr>
        <w:t>分支机构负责人</w:t>
      </w:r>
      <w:r>
        <w:rPr>
          <w:color w:val="auto"/>
          <w:highlight w:val="none"/>
        </w:rPr>
        <w:t>身份证明及授权委托书</w:t>
      </w:r>
      <w:bookmarkEnd w:id="258"/>
      <w:bookmarkEnd w:id="259"/>
      <w:bookmarkEnd w:id="260"/>
      <w:bookmarkEnd w:id="261"/>
      <w:bookmarkEnd w:id="262"/>
    </w:p>
    <w:p w14:paraId="566A0C1F">
      <w:pPr>
        <w:pStyle w:val="22"/>
        <w:bidi w:val="0"/>
        <w:rPr>
          <w:color w:val="auto"/>
          <w:highlight w:val="none"/>
        </w:rPr>
      </w:pPr>
      <w:r>
        <w:rPr>
          <w:rFonts w:hint="eastAsia"/>
          <w:color w:val="auto"/>
          <w:highlight w:val="none"/>
        </w:rPr>
        <w:t>法定代表人</w:t>
      </w:r>
      <w:r>
        <w:rPr>
          <w:rFonts w:hint="eastAsia"/>
          <w:color w:val="auto"/>
          <w:highlight w:val="none"/>
          <w:lang w:val="en-US" w:eastAsia="zh-CN"/>
        </w:rPr>
        <w:t>/分支机构负责人</w:t>
      </w:r>
      <w:r>
        <w:rPr>
          <w:rFonts w:hint="eastAsia"/>
          <w:color w:val="auto"/>
          <w:highlight w:val="none"/>
        </w:rPr>
        <w:t>身份证明书</w:t>
      </w:r>
    </w:p>
    <w:p w14:paraId="633D5075">
      <w:pPr>
        <w:tabs>
          <w:tab w:val="left" w:pos="6300"/>
        </w:tabs>
        <w:snapToGrid w:val="0"/>
        <w:spacing w:line="360" w:lineRule="auto"/>
        <w:rPr>
          <w:rFonts w:ascii="宋体"/>
          <w:snapToGrid w:val="0"/>
          <w:color w:val="auto"/>
          <w:kern w:val="0"/>
          <w:sz w:val="24"/>
          <w:highlight w:val="none"/>
        </w:rPr>
      </w:pPr>
    </w:p>
    <w:p w14:paraId="44F33943">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项目名称：</w:t>
      </w:r>
      <w:r>
        <w:rPr>
          <w:rFonts w:hint="eastAsia" w:ascii="宋体"/>
          <w:snapToGrid w:val="0"/>
          <w:color w:val="auto"/>
          <w:kern w:val="0"/>
          <w:sz w:val="24"/>
          <w:highlight w:val="none"/>
          <w:u w:val="single"/>
        </w:rPr>
        <w:t>____________________</w:t>
      </w:r>
    </w:p>
    <w:p w14:paraId="255A6321">
      <w:pPr>
        <w:tabs>
          <w:tab w:val="left" w:pos="6300"/>
        </w:tabs>
        <w:snapToGrid w:val="0"/>
        <w:spacing w:line="360" w:lineRule="auto"/>
        <w:rPr>
          <w:rFonts w:ascii="宋体"/>
          <w:snapToGrid w:val="0"/>
          <w:color w:val="auto"/>
          <w:kern w:val="0"/>
          <w:sz w:val="24"/>
          <w:highlight w:val="none"/>
        </w:rPr>
      </w:pPr>
    </w:p>
    <w:p w14:paraId="17082DE3">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致：</w:t>
      </w:r>
      <w:r>
        <w:rPr>
          <w:rFonts w:hint="eastAsia" w:ascii="宋体"/>
          <w:snapToGrid w:val="0"/>
          <w:color w:val="auto"/>
          <w:kern w:val="0"/>
          <w:sz w:val="24"/>
          <w:highlight w:val="none"/>
          <w:u w:val="single"/>
        </w:rPr>
        <w:t xml:space="preserve"> 重庆三峡银行股份有限公司  </w:t>
      </w:r>
      <w:r>
        <w:rPr>
          <w:rFonts w:hint="eastAsia" w:ascii="宋体"/>
          <w:snapToGrid w:val="0"/>
          <w:color w:val="auto"/>
          <w:kern w:val="0"/>
          <w:sz w:val="24"/>
          <w:highlight w:val="none"/>
        </w:rPr>
        <w:t>：</w:t>
      </w:r>
    </w:p>
    <w:p w14:paraId="69A314DF">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姓名）在</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（参选人名称）任</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（职务名称）职务，是（参</w:t>
      </w:r>
      <w:r>
        <w:rPr>
          <w:rFonts w:hint="eastAsia" w:ascii="宋体" w:cs="Cambria"/>
          <w:snapToGrid w:val="0"/>
          <w:color w:val="auto"/>
          <w:kern w:val="0"/>
          <w:sz w:val="24"/>
          <w:szCs w:val="24"/>
          <w:highlight w:val="none"/>
        </w:rPr>
        <w:t>选</w:t>
      </w:r>
      <w:r>
        <w:rPr>
          <w:rFonts w:hint="eastAsia" w:ascii="宋体"/>
          <w:snapToGrid w:val="0"/>
          <w:color w:val="auto"/>
          <w:kern w:val="0"/>
          <w:sz w:val="24"/>
          <w:highlight w:val="none"/>
        </w:rPr>
        <w:t>人名称）</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的法定代表人</w:t>
      </w:r>
      <w:r>
        <w:rPr>
          <w:rFonts w:hint="eastAsia" w:ascii="宋体"/>
          <w:snapToGrid w:val="0"/>
          <w:color w:val="auto"/>
          <w:kern w:val="0"/>
          <w:sz w:val="24"/>
          <w:highlight w:val="none"/>
          <w:lang w:val="en-US" w:eastAsia="zh-CN"/>
        </w:rPr>
        <w:t>/</w:t>
      </w:r>
      <w:r>
        <w:rPr>
          <w:rFonts w:hint="eastAsia"/>
          <w:color w:val="auto"/>
          <w:highlight w:val="none"/>
          <w:lang w:val="en-US" w:eastAsia="zh-CN"/>
        </w:rPr>
        <w:t>分支机构负责人</w:t>
      </w:r>
      <w:r>
        <w:rPr>
          <w:rFonts w:hint="eastAsia" w:ascii="宋体"/>
          <w:snapToGrid w:val="0"/>
          <w:color w:val="auto"/>
          <w:kern w:val="0"/>
          <w:sz w:val="24"/>
          <w:highlight w:val="none"/>
        </w:rPr>
        <w:t>。</w:t>
      </w:r>
    </w:p>
    <w:p w14:paraId="21C4B8EB">
      <w:pPr>
        <w:tabs>
          <w:tab w:val="left" w:pos="6300"/>
        </w:tabs>
        <w:snapToGrid w:val="0"/>
        <w:spacing w:line="360" w:lineRule="auto"/>
        <w:rPr>
          <w:rFonts w:ascii="宋体"/>
          <w:snapToGrid w:val="0"/>
          <w:color w:val="auto"/>
          <w:kern w:val="0"/>
          <w:sz w:val="24"/>
          <w:highlight w:val="none"/>
        </w:rPr>
      </w:pPr>
    </w:p>
    <w:p w14:paraId="5EE058BB">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特此证明。</w:t>
      </w:r>
    </w:p>
    <w:p w14:paraId="5665C796">
      <w:pPr>
        <w:tabs>
          <w:tab w:val="left" w:pos="6300"/>
        </w:tabs>
        <w:snapToGrid w:val="0"/>
        <w:spacing w:line="360" w:lineRule="auto"/>
        <w:rPr>
          <w:rFonts w:ascii="宋体"/>
          <w:snapToGrid w:val="0"/>
          <w:color w:val="auto"/>
          <w:kern w:val="0"/>
          <w:sz w:val="24"/>
          <w:highlight w:val="none"/>
        </w:rPr>
      </w:pPr>
    </w:p>
    <w:p w14:paraId="138E6971">
      <w:pPr>
        <w:tabs>
          <w:tab w:val="left" w:pos="6300"/>
        </w:tabs>
        <w:snapToGrid w:val="0"/>
        <w:spacing w:line="360" w:lineRule="auto"/>
        <w:rPr>
          <w:rFonts w:ascii="宋体"/>
          <w:snapToGrid w:val="0"/>
          <w:color w:val="auto"/>
          <w:kern w:val="0"/>
          <w:sz w:val="24"/>
          <w:highlight w:val="none"/>
        </w:rPr>
      </w:pPr>
    </w:p>
    <w:p w14:paraId="1353BE93">
      <w:pPr>
        <w:tabs>
          <w:tab w:val="left" w:pos="6300"/>
        </w:tabs>
        <w:snapToGrid w:val="0"/>
        <w:spacing w:line="360" w:lineRule="auto"/>
        <w:ind w:firstLine="6000" w:firstLineChars="2500"/>
        <w:rPr>
          <w:rFonts w:hint="eastAsia" w:ascii="宋体" w:eastAsia="宋体"/>
          <w:snapToGrid w:val="0"/>
          <w:color w:val="auto"/>
          <w:kern w:val="0"/>
          <w:sz w:val="24"/>
          <w:highlight w:val="none"/>
          <w:lang w:val="en-US" w:eastAsia="zh-CN"/>
        </w:rPr>
      </w:pPr>
      <w:r>
        <w:rPr>
          <w:rFonts w:hint="eastAsia" w:ascii="宋体"/>
          <w:snapToGrid w:val="0"/>
          <w:color w:val="auto"/>
          <w:kern w:val="0"/>
          <w:sz w:val="24"/>
          <w:highlight w:val="none"/>
          <w:lang w:val="en-US" w:eastAsia="zh-CN"/>
        </w:rPr>
        <w:t>参选人：</w:t>
      </w:r>
    </w:p>
    <w:p w14:paraId="126C8578">
      <w:pPr>
        <w:tabs>
          <w:tab w:val="left" w:pos="6300"/>
        </w:tabs>
        <w:snapToGrid w:val="0"/>
        <w:spacing w:line="360" w:lineRule="auto"/>
        <w:ind w:firstLine="5760" w:firstLineChars="2400"/>
        <w:rPr>
          <w:rFonts w:ascii="宋体"/>
          <w:snapToGrid w:val="0"/>
          <w:color w:val="auto"/>
          <w:kern w:val="0"/>
          <w:sz w:val="24"/>
          <w:highlight w:val="none"/>
        </w:rPr>
      </w:pP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人公章）</w:t>
      </w:r>
    </w:p>
    <w:p w14:paraId="04F4A34B">
      <w:pPr>
        <w:tabs>
          <w:tab w:val="left" w:pos="6300"/>
        </w:tabs>
        <w:snapToGrid w:val="0"/>
        <w:spacing w:line="360" w:lineRule="auto"/>
        <w:rPr>
          <w:rFonts w:ascii="宋体"/>
          <w:snapToGrid w:val="0"/>
          <w:color w:val="auto"/>
          <w:kern w:val="0"/>
          <w:sz w:val="24"/>
          <w:highlight w:val="none"/>
        </w:rPr>
      </w:pPr>
    </w:p>
    <w:p w14:paraId="351D2FA9">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 xml:space="preserve">                                             年   月   日</w:t>
      </w:r>
    </w:p>
    <w:p w14:paraId="11D02615">
      <w:pPr>
        <w:tabs>
          <w:tab w:val="left" w:pos="6300"/>
        </w:tabs>
        <w:snapToGrid w:val="0"/>
        <w:spacing w:line="360" w:lineRule="auto"/>
        <w:rPr>
          <w:rFonts w:ascii="宋体"/>
          <w:snapToGrid w:val="0"/>
          <w:color w:val="auto"/>
          <w:kern w:val="0"/>
          <w:sz w:val="24"/>
          <w:highlight w:val="none"/>
        </w:rPr>
      </w:pPr>
    </w:p>
    <w:p w14:paraId="4A5714CC">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（附：法定代表人</w:t>
      </w:r>
      <w:r>
        <w:rPr>
          <w:rFonts w:hint="eastAsia"/>
          <w:color w:val="auto"/>
          <w:highlight w:val="none"/>
          <w:lang w:val="en-US" w:eastAsia="zh-CN"/>
        </w:rPr>
        <w:t>/分支机构负责人</w:t>
      </w:r>
      <w:r>
        <w:rPr>
          <w:rFonts w:hint="eastAsia" w:ascii="宋体"/>
          <w:snapToGrid w:val="0"/>
          <w:color w:val="auto"/>
          <w:kern w:val="0"/>
          <w:sz w:val="24"/>
          <w:highlight w:val="none"/>
        </w:rPr>
        <w:t>身份证正反面复印件）</w:t>
      </w:r>
    </w:p>
    <w:p w14:paraId="54D1DE7C">
      <w:pPr>
        <w:tabs>
          <w:tab w:val="left" w:pos="6300"/>
        </w:tabs>
        <w:snapToGrid w:val="0"/>
        <w:spacing w:line="360" w:lineRule="auto"/>
        <w:rPr>
          <w:rFonts w:ascii="宋体"/>
          <w:snapToGrid w:val="0"/>
          <w:color w:val="auto"/>
          <w:kern w:val="0"/>
          <w:sz w:val="24"/>
          <w:highlight w:val="none"/>
        </w:rPr>
      </w:pPr>
    </w:p>
    <w:p w14:paraId="2C8B8A77">
      <w:pPr>
        <w:tabs>
          <w:tab w:val="left" w:pos="6300"/>
        </w:tabs>
        <w:snapToGrid w:val="0"/>
        <w:spacing w:line="360" w:lineRule="auto"/>
        <w:rPr>
          <w:rFonts w:ascii="宋体"/>
          <w:snapToGrid w:val="0"/>
          <w:color w:val="auto"/>
          <w:kern w:val="0"/>
          <w:sz w:val="24"/>
          <w:highlight w:val="none"/>
        </w:rPr>
      </w:pPr>
    </w:p>
    <w:p w14:paraId="4390E2A8">
      <w:pPr>
        <w:tabs>
          <w:tab w:val="left" w:pos="6300"/>
        </w:tabs>
        <w:snapToGrid w:val="0"/>
        <w:spacing w:line="360" w:lineRule="auto"/>
        <w:rPr>
          <w:rFonts w:ascii="宋体"/>
          <w:snapToGrid w:val="0"/>
          <w:color w:val="auto"/>
          <w:kern w:val="0"/>
          <w:sz w:val="24"/>
          <w:highlight w:val="none"/>
        </w:rPr>
      </w:pPr>
    </w:p>
    <w:p w14:paraId="7CAD0E14">
      <w:pPr>
        <w:jc w:val="center"/>
        <w:rPr>
          <w:rStyle w:val="23"/>
          <w:rFonts w:hint="eastAsia"/>
          <w:color w:val="auto"/>
          <w:highlight w:val="none"/>
        </w:rPr>
      </w:pPr>
      <w:r>
        <w:rPr>
          <w:rFonts w:hint="eastAsia"/>
          <w:snapToGrid w:val="0"/>
          <w:color w:val="auto"/>
          <w:kern w:val="0"/>
          <w:highlight w:val="none"/>
        </w:rPr>
        <w:br w:type="column"/>
      </w:r>
      <w:r>
        <w:rPr>
          <w:rStyle w:val="23"/>
          <w:rFonts w:hint="eastAsia"/>
          <w:color w:val="auto"/>
          <w:highlight w:val="none"/>
        </w:rPr>
        <w:t>法定代表人</w:t>
      </w:r>
      <w:r>
        <w:rPr>
          <w:rFonts w:hint="eastAsia"/>
          <w:b/>
          <w:bCs/>
          <w:snapToGrid w:val="0"/>
          <w:color w:val="auto"/>
          <w:highlight w:val="none"/>
          <w:lang w:eastAsia="zh-CN"/>
        </w:rPr>
        <w:t>（</w:t>
      </w:r>
      <w:r>
        <w:rPr>
          <w:rFonts w:hint="eastAsia"/>
          <w:b/>
          <w:bCs/>
          <w:snapToGrid w:val="0"/>
          <w:color w:val="auto"/>
          <w:highlight w:val="none"/>
          <w:lang w:val="en-US" w:eastAsia="zh-CN"/>
        </w:rPr>
        <w:t>分支机构负责人</w:t>
      </w:r>
      <w:r>
        <w:rPr>
          <w:rFonts w:hint="eastAsia"/>
          <w:b/>
          <w:bCs/>
          <w:snapToGrid w:val="0"/>
          <w:color w:val="auto"/>
          <w:highlight w:val="none"/>
          <w:lang w:eastAsia="zh-CN"/>
        </w:rPr>
        <w:t>）</w:t>
      </w:r>
      <w:r>
        <w:rPr>
          <w:rStyle w:val="23"/>
          <w:rFonts w:hint="eastAsia"/>
          <w:color w:val="auto"/>
          <w:highlight w:val="none"/>
        </w:rPr>
        <w:t>授权委托书</w:t>
      </w:r>
    </w:p>
    <w:p w14:paraId="7E9867D8">
      <w:pPr>
        <w:spacing w:line="240" w:lineRule="auto"/>
        <w:ind w:firstLine="0" w:firstLineChars="0"/>
        <w:jc w:val="center"/>
        <w:rPr>
          <w:color w:val="auto"/>
          <w:highlight w:val="none"/>
        </w:rPr>
      </w:pPr>
      <w:r>
        <w:rPr>
          <w:rFonts w:hint="eastAsia"/>
          <w:color w:val="auto"/>
          <w:highlight w:val="none"/>
        </w:rPr>
        <w:t>(适用于有委托代理人的情况时采用)</w:t>
      </w:r>
    </w:p>
    <w:p w14:paraId="2F987325">
      <w:pPr>
        <w:jc w:val="center"/>
        <w:rPr>
          <w:rStyle w:val="23"/>
          <w:rFonts w:hint="eastAsia"/>
          <w:color w:val="auto"/>
          <w:highlight w:val="none"/>
        </w:rPr>
      </w:pPr>
    </w:p>
    <w:p w14:paraId="503A0329">
      <w:pPr>
        <w:tabs>
          <w:tab w:val="left" w:pos="6300"/>
        </w:tabs>
        <w:snapToGrid w:val="0"/>
        <w:spacing w:line="360" w:lineRule="auto"/>
        <w:rPr>
          <w:rFonts w:ascii="宋体"/>
          <w:snapToGrid w:val="0"/>
          <w:color w:val="auto"/>
          <w:kern w:val="0"/>
          <w:sz w:val="24"/>
          <w:highlight w:val="none"/>
        </w:rPr>
      </w:pPr>
    </w:p>
    <w:p w14:paraId="177B8FB9">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szCs w:val="28"/>
          <w:highlight w:val="none"/>
        </w:rPr>
        <w:t>项目名称</w:t>
      </w:r>
      <w:r>
        <w:rPr>
          <w:rFonts w:hint="eastAsia" w:ascii="宋体"/>
          <w:snapToGrid w:val="0"/>
          <w:color w:val="auto"/>
          <w:kern w:val="0"/>
          <w:sz w:val="24"/>
          <w:highlight w:val="none"/>
        </w:rPr>
        <w:t>：</w:t>
      </w:r>
      <w:r>
        <w:rPr>
          <w:rFonts w:hint="eastAsia" w:ascii="宋体"/>
          <w:snapToGrid w:val="0"/>
          <w:color w:val="auto"/>
          <w:kern w:val="0"/>
          <w:sz w:val="24"/>
          <w:szCs w:val="24"/>
          <w:highlight w:val="none"/>
          <w:u w:val="single"/>
        </w:rPr>
        <w:t>___________________</w:t>
      </w:r>
    </w:p>
    <w:p w14:paraId="6C57927E">
      <w:pPr>
        <w:tabs>
          <w:tab w:val="left" w:pos="6300"/>
        </w:tabs>
        <w:snapToGrid w:val="0"/>
        <w:spacing w:line="360" w:lineRule="auto"/>
        <w:rPr>
          <w:rFonts w:ascii="宋体"/>
          <w:snapToGrid w:val="0"/>
          <w:color w:val="auto"/>
          <w:kern w:val="0"/>
          <w:sz w:val="24"/>
          <w:highlight w:val="none"/>
        </w:rPr>
      </w:pPr>
    </w:p>
    <w:p w14:paraId="0EC54C2E">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致：</w:t>
      </w:r>
      <w:r>
        <w:rPr>
          <w:rFonts w:hint="eastAsia" w:ascii="宋体"/>
          <w:snapToGrid w:val="0"/>
          <w:color w:val="auto"/>
          <w:kern w:val="0"/>
          <w:sz w:val="24"/>
          <w:highlight w:val="none"/>
          <w:u w:val="single"/>
        </w:rPr>
        <w:t>重庆三峡银行股份有限公司</w:t>
      </w:r>
      <w:r>
        <w:rPr>
          <w:rFonts w:hint="eastAsia" w:ascii="宋体"/>
          <w:snapToGrid w:val="0"/>
          <w:color w:val="auto"/>
          <w:kern w:val="0"/>
          <w:sz w:val="24"/>
          <w:highlight w:val="none"/>
        </w:rPr>
        <w:t>：</w:t>
      </w:r>
    </w:p>
    <w:p w14:paraId="1B83131B">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名称）是</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人名称）的法定代表人</w:t>
      </w:r>
      <w:r>
        <w:rPr>
          <w:rFonts w:hint="eastAsia"/>
          <w:color w:val="auto"/>
          <w:highlight w:val="none"/>
          <w:lang w:eastAsia="zh-CN"/>
        </w:rPr>
        <w:t>（分支机构负责人）</w:t>
      </w:r>
      <w:r>
        <w:rPr>
          <w:rFonts w:hint="eastAsia" w:ascii="宋体"/>
          <w:snapToGrid w:val="0"/>
          <w:color w:val="auto"/>
          <w:kern w:val="0"/>
          <w:sz w:val="24"/>
          <w:highlight w:val="none"/>
        </w:rPr>
        <w:t>，特授权</w:t>
      </w:r>
      <w:r>
        <w:rPr>
          <w:rFonts w:hint="eastAsia" w:ascii="宋体"/>
          <w:snapToGrid w:val="0"/>
          <w:color w:val="auto"/>
          <w:kern w:val="0"/>
          <w:sz w:val="24"/>
          <w:highlight w:val="none"/>
          <w:u w:val="single"/>
        </w:rPr>
        <w:t xml:space="preserve">        </w:t>
      </w:r>
      <w:r>
        <w:rPr>
          <w:rFonts w:hint="eastAsia" w:ascii="宋体"/>
          <w:snapToGrid w:val="0"/>
          <w:color w:val="auto"/>
          <w:kern w:val="0"/>
          <w:sz w:val="24"/>
          <w:highlight w:val="none"/>
        </w:rPr>
        <w:t>（</w:t>
      </w:r>
      <w:r>
        <w:rPr>
          <w:rFonts w:hint="eastAsia"/>
          <w:color w:val="auto"/>
          <w:highlight w:val="none"/>
        </w:rPr>
        <w:t>委托代理人</w:t>
      </w:r>
      <w:r>
        <w:rPr>
          <w:rFonts w:hint="eastAsia" w:ascii="宋体"/>
          <w:snapToGrid w:val="0"/>
          <w:color w:val="auto"/>
          <w:kern w:val="0"/>
          <w:sz w:val="24"/>
          <w:highlight w:val="none"/>
        </w:rPr>
        <w:t>姓名及身份证代码）代表我单位全权办理上述项目的</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、谈判、签约等具体工作，并签署全部有关文件、协议及合同。</w:t>
      </w:r>
    </w:p>
    <w:p w14:paraId="3FD9284C">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我单位对</w:t>
      </w:r>
      <w:r>
        <w:rPr>
          <w:rFonts w:hint="eastAsia"/>
          <w:color w:val="auto"/>
          <w:highlight w:val="none"/>
        </w:rPr>
        <w:t>委托代理人</w:t>
      </w:r>
      <w:r>
        <w:rPr>
          <w:rFonts w:hint="eastAsia" w:ascii="宋体"/>
          <w:snapToGrid w:val="0"/>
          <w:color w:val="auto"/>
          <w:kern w:val="0"/>
          <w:sz w:val="24"/>
          <w:highlight w:val="none"/>
        </w:rPr>
        <w:t>的签字负全部责任。</w:t>
      </w:r>
    </w:p>
    <w:p w14:paraId="3D565471">
      <w:pPr>
        <w:tabs>
          <w:tab w:val="left" w:pos="6300"/>
        </w:tabs>
        <w:snapToGrid w:val="0"/>
        <w:spacing w:line="360" w:lineRule="auto"/>
        <w:ind w:firstLine="480" w:firstLineChars="200"/>
        <w:rPr>
          <w:rFonts w:ascii="宋体"/>
          <w:snapToGrid w:val="0"/>
          <w:color w:val="auto"/>
          <w:kern w:val="0"/>
          <w:sz w:val="24"/>
          <w:highlight w:val="none"/>
        </w:rPr>
      </w:pPr>
      <w:r>
        <w:rPr>
          <w:rFonts w:hint="eastAsia" w:ascii="宋体"/>
          <w:snapToGrid w:val="0"/>
          <w:color w:val="auto"/>
          <w:kern w:val="0"/>
          <w:sz w:val="24"/>
          <w:highlight w:val="none"/>
        </w:rPr>
        <w:t>在撤消授权的书面通知以前，本授权书一直有效。</w:t>
      </w:r>
      <w:r>
        <w:rPr>
          <w:rFonts w:hint="eastAsia"/>
          <w:color w:val="auto"/>
          <w:highlight w:val="none"/>
        </w:rPr>
        <w:t>委托代理人</w:t>
      </w:r>
      <w:r>
        <w:rPr>
          <w:rFonts w:hint="eastAsia" w:ascii="宋体"/>
          <w:snapToGrid w:val="0"/>
          <w:color w:val="auto"/>
          <w:kern w:val="0"/>
          <w:sz w:val="24"/>
          <w:highlight w:val="none"/>
        </w:rPr>
        <w:t>在授权书有效期内签署的所有文件不因授权的撤消而失效。</w:t>
      </w:r>
    </w:p>
    <w:p w14:paraId="36080E95">
      <w:pPr>
        <w:tabs>
          <w:tab w:val="left" w:pos="6300"/>
        </w:tabs>
        <w:snapToGrid w:val="0"/>
        <w:spacing w:line="360" w:lineRule="auto"/>
        <w:rPr>
          <w:rFonts w:ascii="宋体"/>
          <w:snapToGrid w:val="0"/>
          <w:color w:val="auto"/>
          <w:kern w:val="0"/>
          <w:sz w:val="24"/>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AD3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4D4D17C6">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color w:val="auto"/>
                <w:highlight w:val="none"/>
              </w:rPr>
              <w:t>委托代理人</w:t>
            </w:r>
          </w:p>
        </w:tc>
        <w:tc>
          <w:tcPr>
            <w:tcW w:w="4261" w:type="dxa"/>
            <w:tcBorders>
              <w:top w:val="nil"/>
              <w:left w:val="nil"/>
              <w:bottom w:val="nil"/>
              <w:right w:val="nil"/>
            </w:tcBorders>
          </w:tcPr>
          <w:p w14:paraId="67992C0A">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人法定代表人</w:t>
            </w:r>
            <w:r>
              <w:rPr>
                <w:rFonts w:hint="eastAsia"/>
                <w:color w:val="auto"/>
                <w:highlight w:val="none"/>
                <w:lang w:val="en-US" w:eastAsia="zh-CN"/>
              </w:rPr>
              <w:t>/分支机构负责人</w:t>
            </w:r>
            <w:r>
              <w:rPr>
                <w:rFonts w:hint="eastAsia" w:ascii="宋体"/>
                <w:snapToGrid w:val="0"/>
                <w:color w:val="auto"/>
                <w:kern w:val="0"/>
                <w:sz w:val="24"/>
                <w:highlight w:val="none"/>
              </w:rPr>
              <w:t>名称：</w:t>
            </w:r>
          </w:p>
        </w:tc>
      </w:tr>
      <w:tr w14:paraId="760C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9D87E23">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snapToGrid w:val="0"/>
                <w:color w:val="auto"/>
                <w:kern w:val="0"/>
                <w:sz w:val="24"/>
                <w:szCs w:val="28"/>
                <w:highlight w:val="none"/>
              </w:rPr>
              <w:t>（签字或盖章）</w:t>
            </w:r>
          </w:p>
        </w:tc>
        <w:tc>
          <w:tcPr>
            <w:tcW w:w="4261" w:type="dxa"/>
            <w:tcBorders>
              <w:top w:val="nil"/>
              <w:left w:val="nil"/>
              <w:bottom w:val="nil"/>
              <w:right w:val="nil"/>
            </w:tcBorders>
          </w:tcPr>
          <w:p w14:paraId="3572AC86">
            <w:pPr>
              <w:keepNext w:val="0"/>
              <w:keepLines w:val="0"/>
              <w:pageBreakBefore w:val="0"/>
              <w:widowControl w:val="0"/>
              <w:tabs>
                <w:tab w:val="left" w:pos="6300"/>
              </w:tabs>
              <w:kinsoku/>
              <w:wordWrap/>
              <w:overflowPunct/>
              <w:topLinePunct w:val="0"/>
              <w:autoSpaceDE w:val="0"/>
              <w:autoSpaceDN w:val="0"/>
              <w:bidi w:val="0"/>
              <w:adjustRightInd/>
              <w:snapToGrid w:val="0"/>
              <w:spacing w:line="360" w:lineRule="auto"/>
              <w:ind w:firstLine="0" w:firstLineChars="0"/>
              <w:textAlignment w:val="auto"/>
              <w:rPr>
                <w:rFonts w:ascii="宋体"/>
                <w:snapToGrid w:val="0"/>
                <w:color w:val="auto"/>
                <w:kern w:val="0"/>
                <w:sz w:val="24"/>
                <w:highlight w:val="none"/>
                <w:vertAlign w:val="baseline"/>
              </w:rPr>
            </w:pPr>
            <w:r>
              <w:rPr>
                <w:rFonts w:hint="eastAsia" w:ascii="宋体"/>
                <w:snapToGrid w:val="0"/>
                <w:color w:val="auto"/>
                <w:kern w:val="0"/>
                <w:sz w:val="24"/>
                <w:szCs w:val="28"/>
                <w:highlight w:val="none"/>
              </w:rPr>
              <w:t>（签字或盖章）</w:t>
            </w:r>
          </w:p>
        </w:tc>
      </w:tr>
    </w:tbl>
    <w:p w14:paraId="599EB3A8">
      <w:pPr>
        <w:tabs>
          <w:tab w:val="left" w:pos="6300"/>
        </w:tabs>
        <w:snapToGrid w:val="0"/>
        <w:spacing w:line="360" w:lineRule="auto"/>
        <w:rPr>
          <w:rFonts w:ascii="宋体"/>
          <w:snapToGrid w:val="0"/>
          <w:color w:val="auto"/>
          <w:kern w:val="0"/>
          <w:sz w:val="24"/>
          <w:highlight w:val="none"/>
        </w:rPr>
      </w:pPr>
    </w:p>
    <w:p w14:paraId="2BF46080">
      <w:pPr>
        <w:tabs>
          <w:tab w:val="left" w:pos="6300"/>
        </w:tabs>
        <w:snapToGrid w:val="0"/>
        <w:spacing w:line="360" w:lineRule="auto"/>
        <w:rPr>
          <w:rFonts w:ascii="宋体"/>
          <w:snapToGrid w:val="0"/>
          <w:color w:val="auto"/>
          <w:kern w:val="0"/>
          <w:sz w:val="24"/>
          <w:highlight w:val="none"/>
        </w:rPr>
      </w:pPr>
    </w:p>
    <w:p w14:paraId="5FB0ACFB">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（附：</w:t>
      </w:r>
      <w:r>
        <w:rPr>
          <w:rFonts w:hint="eastAsia"/>
          <w:color w:val="auto"/>
          <w:highlight w:val="none"/>
        </w:rPr>
        <w:t>委托代理人</w:t>
      </w:r>
      <w:r>
        <w:rPr>
          <w:rFonts w:hint="eastAsia" w:ascii="宋体"/>
          <w:snapToGrid w:val="0"/>
          <w:color w:val="auto"/>
          <w:kern w:val="0"/>
          <w:sz w:val="24"/>
          <w:highlight w:val="none"/>
        </w:rPr>
        <w:t>身份证正反面复印件）</w:t>
      </w:r>
    </w:p>
    <w:p w14:paraId="6CC731C7">
      <w:pPr>
        <w:tabs>
          <w:tab w:val="left" w:pos="6300"/>
        </w:tabs>
        <w:snapToGrid w:val="0"/>
        <w:spacing w:line="360" w:lineRule="auto"/>
        <w:rPr>
          <w:rFonts w:ascii="宋体"/>
          <w:snapToGrid w:val="0"/>
          <w:color w:val="auto"/>
          <w:kern w:val="0"/>
          <w:sz w:val="24"/>
          <w:highlight w:val="none"/>
        </w:rPr>
      </w:pPr>
    </w:p>
    <w:p w14:paraId="48261ED8">
      <w:pPr>
        <w:tabs>
          <w:tab w:val="left" w:pos="6300"/>
        </w:tabs>
        <w:snapToGrid w:val="0"/>
        <w:spacing w:line="360" w:lineRule="auto"/>
        <w:ind w:right="480"/>
        <w:jc w:val="right"/>
        <w:rPr>
          <w:rFonts w:ascii="宋体"/>
          <w:snapToGrid w:val="0"/>
          <w:color w:val="auto"/>
          <w:kern w:val="0"/>
          <w:sz w:val="24"/>
          <w:highlight w:val="none"/>
        </w:rPr>
      </w:pPr>
      <w:r>
        <w:rPr>
          <w:rFonts w:hint="eastAsia" w:ascii="宋体"/>
          <w:snapToGrid w:val="0"/>
          <w:color w:val="auto"/>
          <w:kern w:val="0"/>
          <w:sz w:val="24"/>
          <w:highlight w:val="none"/>
        </w:rPr>
        <w:t>（</w:t>
      </w:r>
      <w:r>
        <w:rPr>
          <w:rFonts w:hint="eastAsia" w:ascii="宋体" w:cs="Cambria"/>
          <w:snapToGrid w:val="0"/>
          <w:color w:val="auto"/>
          <w:kern w:val="0"/>
          <w:sz w:val="24"/>
          <w:szCs w:val="24"/>
          <w:highlight w:val="none"/>
        </w:rPr>
        <w:t>参选</w:t>
      </w:r>
      <w:r>
        <w:rPr>
          <w:rFonts w:hint="eastAsia" w:ascii="宋体"/>
          <w:snapToGrid w:val="0"/>
          <w:color w:val="auto"/>
          <w:kern w:val="0"/>
          <w:sz w:val="24"/>
          <w:highlight w:val="none"/>
        </w:rPr>
        <w:t>人公章）</w:t>
      </w:r>
    </w:p>
    <w:p w14:paraId="44F99616">
      <w:pPr>
        <w:tabs>
          <w:tab w:val="left" w:pos="6300"/>
        </w:tabs>
        <w:snapToGrid w:val="0"/>
        <w:spacing w:line="360" w:lineRule="auto"/>
        <w:ind w:right="480"/>
        <w:jc w:val="right"/>
        <w:rPr>
          <w:rFonts w:hint="eastAsia" w:ascii="宋体"/>
          <w:snapToGrid w:val="0"/>
          <w:color w:val="auto"/>
          <w:kern w:val="0"/>
          <w:sz w:val="24"/>
          <w:highlight w:val="none"/>
        </w:rPr>
      </w:pPr>
      <w:r>
        <w:rPr>
          <w:rFonts w:hint="eastAsia" w:ascii="宋体"/>
          <w:snapToGrid w:val="0"/>
          <w:color w:val="auto"/>
          <w:kern w:val="0"/>
          <w:sz w:val="24"/>
          <w:highlight w:val="none"/>
        </w:rPr>
        <w:t>年   月   日</w:t>
      </w:r>
    </w:p>
    <w:p w14:paraId="4951B119">
      <w:pPr>
        <w:tabs>
          <w:tab w:val="left" w:pos="6300"/>
        </w:tabs>
        <w:snapToGrid w:val="0"/>
        <w:spacing w:line="360" w:lineRule="auto"/>
        <w:ind w:firstLine="480" w:firstLineChars="200"/>
        <w:rPr>
          <w:rFonts w:hint="eastAsia" w:ascii="宋体"/>
          <w:snapToGrid w:val="0"/>
          <w:color w:val="auto"/>
          <w:kern w:val="0"/>
          <w:sz w:val="24"/>
          <w:highlight w:val="none"/>
        </w:rPr>
      </w:pPr>
    </w:p>
    <w:p w14:paraId="4C2BC5C0">
      <w:pPr>
        <w:tabs>
          <w:tab w:val="left" w:pos="6300"/>
        </w:tabs>
        <w:snapToGrid w:val="0"/>
        <w:spacing w:line="360" w:lineRule="auto"/>
        <w:ind w:firstLine="480" w:firstLineChars="200"/>
        <w:rPr>
          <w:rFonts w:hint="eastAsia" w:ascii="宋体"/>
          <w:snapToGrid w:val="0"/>
          <w:color w:val="auto"/>
          <w:kern w:val="0"/>
          <w:sz w:val="24"/>
          <w:highlight w:val="none"/>
        </w:rPr>
      </w:pPr>
      <w:r>
        <w:rPr>
          <w:rFonts w:hint="eastAsia" w:ascii="宋体"/>
          <w:snapToGrid w:val="0"/>
          <w:color w:val="auto"/>
          <w:kern w:val="0"/>
          <w:sz w:val="24"/>
          <w:highlight w:val="none"/>
          <w:lang w:val="en-US" w:eastAsia="zh-CN"/>
        </w:rPr>
        <w:t>注：</w:t>
      </w:r>
      <w:r>
        <w:rPr>
          <w:rFonts w:hint="eastAsia" w:ascii="宋体"/>
          <w:snapToGrid w:val="0"/>
          <w:color w:val="auto"/>
          <w:kern w:val="0"/>
          <w:sz w:val="24"/>
          <w:highlight w:val="none"/>
        </w:rPr>
        <w:t>1.若为法定代表人（分支机构负责人）办理并签署</w:t>
      </w:r>
      <w:r>
        <w:rPr>
          <w:rFonts w:hint="eastAsia" w:ascii="宋体"/>
          <w:snapToGrid w:val="0"/>
          <w:color w:val="auto"/>
          <w:kern w:val="0"/>
          <w:sz w:val="24"/>
          <w:highlight w:val="none"/>
          <w:lang w:val="en-US" w:eastAsia="zh-CN"/>
        </w:rPr>
        <w:t>参选</w:t>
      </w:r>
      <w:r>
        <w:rPr>
          <w:rFonts w:hint="eastAsia" w:ascii="宋体"/>
          <w:snapToGrid w:val="0"/>
          <w:color w:val="auto"/>
          <w:kern w:val="0"/>
          <w:sz w:val="24"/>
          <w:highlight w:val="none"/>
        </w:rPr>
        <w:t>文件的，不提供此文件。</w:t>
      </w:r>
    </w:p>
    <w:p w14:paraId="44A0D0F9">
      <w:pPr>
        <w:tabs>
          <w:tab w:val="left" w:pos="6300"/>
        </w:tabs>
        <w:snapToGrid w:val="0"/>
        <w:spacing w:line="360" w:lineRule="auto"/>
        <w:ind w:firstLine="480" w:firstLineChars="200"/>
        <w:rPr>
          <w:rFonts w:hint="eastAsia" w:ascii="宋体"/>
          <w:snapToGrid w:val="0"/>
          <w:color w:val="auto"/>
          <w:kern w:val="0"/>
          <w:sz w:val="24"/>
          <w:highlight w:val="none"/>
        </w:rPr>
      </w:pPr>
      <w:r>
        <w:rPr>
          <w:rFonts w:hint="eastAsia" w:ascii="宋体"/>
          <w:snapToGrid w:val="0"/>
          <w:color w:val="auto"/>
          <w:kern w:val="0"/>
          <w:sz w:val="24"/>
          <w:highlight w:val="none"/>
        </w:rPr>
        <w:t>2.若为联合体</w:t>
      </w:r>
      <w:r>
        <w:rPr>
          <w:rFonts w:hint="eastAsia" w:ascii="宋体"/>
          <w:snapToGrid w:val="0"/>
          <w:color w:val="auto"/>
          <w:kern w:val="0"/>
          <w:sz w:val="24"/>
          <w:highlight w:val="none"/>
          <w:lang w:val="en-US" w:eastAsia="zh-CN"/>
        </w:rPr>
        <w:t>参选</w:t>
      </w:r>
      <w:r>
        <w:rPr>
          <w:rFonts w:hint="eastAsia" w:ascii="宋体"/>
          <w:snapToGrid w:val="0"/>
          <w:color w:val="auto"/>
          <w:kern w:val="0"/>
          <w:sz w:val="24"/>
          <w:highlight w:val="none"/>
        </w:rPr>
        <w:t>的，授权委托书由联合体主办方（主体）出具。</w:t>
      </w:r>
    </w:p>
    <w:p w14:paraId="6D780A69">
      <w:pPr>
        <w:bidi w:val="0"/>
        <w:rPr>
          <w:rFonts w:hint="eastAsia"/>
          <w:color w:val="auto"/>
          <w:highlight w:val="none"/>
        </w:rPr>
      </w:pPr>
    </w:p>
    <w:p w14:paraId="396FE3F7">
      <w:pPr>
        <w:bidi w:val="0"/>
        <w:rPr>
          <w:color w:val="auto"/>
          <w:highlight w:val="none"/>
        </w:rPr>
        <w:sectPr>
          <w:pgSz w:w="11906" w:h="16838"/>
          <w:pgMar w:top="1440" w:right="1800" w:bottom="1440" w:left="1800" w:header="851" w:footer="992" w:gutter="0"/>
          <w:pgNumType w:fmt="decimal"/>
          <w:cols w:space="720" w:num="1"/>
          <w:docGrid w:type="lines" w:linePitch="312" w:charSpace="0"/>
        </w:sectPr>
      </w:pPr>
    </w:p>
    <w:p w14:paraId="0947CE1C">
      <w:pPr>
        <w:pStyle w:val="21"/>
        <w:bidi w:val="0"/>
        <w:rPr>
          <w:color w:val="auto"/>
          <w:highlight w:val="none"/>
        </w:rPr>
      </w:pPr>
      <w:r>
        <w:rPr>
          <w:rFonts w:hint="eastAsia"/>
          <w:color w:val="auto"/>
          <w:highlight w:val="none"/>
          <w:lang w:val="en-US" w:eastAsia="zh-CN"/>
        </w:rPr>
        <w:t>（三）</w:t>
      </w:r>
      <w:r>
        <w:rPr>
          <w:rFonts w:hint="eastAsia"/>
          <w:color w:val="auto"/>
          <w:highlight w:val="none"/>
        </w:rPr>
        <w:t>书面声明</w:t>
      </w:r>
    </w:p>
    <w:p w14:paraId="2C65DBFD">
      <w:pPr>
        <w:tabs>
          <w:tab w:val="left" w:pos="6300"/>
        </w:tabs>
        <w:snapToGrid w:val="0"/>
        <w:spacing w:line="360" w:lineRule="auto"/>
        <w:rPr>
          <w:rFonts w:ascii="宋体"/>
          <w:color w:val="auto"/>
          <w:sz w:val="24"/>
          <w:highlight w:val="none"/>
        </w:rPr>
      </w:pPr>
    </w:p>
    <w:p w14:paraId="3544D748">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szCs w:val="28"/>
          <w:highlight w:val="none"/>
        </w:rPr>
        <w:t>项目名称</w:t>
      </w:r>
      <w:r>
        <w:rPr>
          <w:rFonts w:hint="eastAsia" w:ascii="宋体"/>
          <w:color w:val="auto"/>
          <w:sz w:val="24"/>
          <w:highlight w:val="none"/>
        </w:rPr>
        <w:t>：</w:t>
      </w:r>
      <w:r>
        <w:rPr>
          <w:rFonts w:hint="eastAsia" w:ascii="宋体"/>
          <w:snapToGrid w:val="0"/>
          <w:color w:val="auto"/>
          <w:kern w:val="0"/>
          <w:sz w:val="24"/>
          <w:szCs w:val="24"/>
          <w:highlight w:val="none"/>
          <w:u w:val="single"/>
        </w:rPr>
        <w:t>__________________</w:t>
      </w:r>
    </w:p>
    <w:p w14:paraId="5F53932B">
      <w:pPr>
        <w:tabs>
          <w:tab w:val="left" w:pos="6300"/>
        </w:tabs>
        <w:snapToGrid w:val="0"/>
        <w:spacing w:line="360" w:lineRule="auto"/>
        <w:rPr>
          <w:rFonts w:ascii="宋体"/>
          <w:color w:val="auto"/>
          <w:sz w:val="24"/>
          <w:highlight w:val="none"/>
        </w:rPr>
      </w:pPr>
    </w:p>
    <w:p w14:paraId="22CEB1B9">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致：</w:t>
      </w:r>
      <w:r>
        <w:rPr>
          <w:rFonts w:hint="eastAsia" w:ascii="宋体"/>
          <w:snapToGrid w:val="0"/>
          <w:color w:val="auto"/>
          <w:kern w:val="0"/>
          <w:sz w:val="24"/>
          <w:highlight w:val="none"/>
          <w:u w:val="single"/>
        </w:rPr>
        <w:t>重庆三峡银行股份有限公司</w:t>
      </w:r>
      <w:r>
        <w:rPr>
          <w:rFonts w:hint="eastAsia" w:ascii="宋体"/>
          <w:color w:val="auto"/>
          <w:sz w:val="24"/>
          <w:highlight w:val="none"/>
        </w:rPr>
        <w:t>：</w:t>
      </w:r>
    </w:p>
    <w:p w14:paraId="3F2809CA">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color w:val="auto"/>
          <w:kern w:val="0"/>
          <w:sz w:val="24"/>
          <w:szCs w:val="24"/>
          <w:highlight w:val="none"/>
        </w:rPr>
        <w:t>参选</w:t>
      </w:r>
      <w:r>
        <w:rPr>
          <w:rFonts w:hint="eastAsia" w:ascii="宋体"/>
          <w:color w:val="auto"/>
          <w:sz w:val="24"/>
          <w:highlight w:val="none"/>
        </w:rPr>
        <w:t>人资格条件</w:t>
      </w:r>
      <w:r>
        <w:rPr>
          <w:rFonts w:hint="eastAsia" w:ascii="宋体"/>
          <w:color w:val="auto"/>
          <w:sz w:val="24"/>
          <w:highlight w:val="none"/>
          <w:lang w:eastAsia="zh-CN"/>
        </w:rPr>
        <w:t>；</w:t>
      </w:r>
      <w:r>
        <w:rPr>
          <w:rFonts w:hint="eastAsia" w:ascii="宋体"/>
          <w:color w:val="auto"/>
          <w:sz w:val="24"/>
          <w:highlight w:val="none"/>
          <w:lang w:val="en-US" w:eastAsia="zh-CN"/>
        </w:rPr>
        <w:t>我公司</w:t>
      </w:r>
      <w:r>
        <w:rPr>
          <w:rFonts w:hint="eastAsia"/>
          <w:color w:val="auto"/>
          <w:highlight w:val="none"/>
          <w:lang w:val="en-US" w:eastAsia="zh-CN"/>
        </w:rPr>
        <w:t>本次参选设备支持国产操作系统和国产芯片的应用。</w:t>
      </w:r>
      <w:r>
        <w:rPr>
          <w:rFonts w:hint="eastAsia" w:ascii="宋体" w:hAnsi="宋体" w:cs="Cambria"/>
          <w:color w:val="auto"/>
          <w:sz w:val="24"/>
          <w:szCs w:val="24"/>
          <w:highlight w:val="none"/>
          <w:lang w:val="en-US" w:eastAsia="zh-CN"/>
        </w:rPr>
        <w:t>我公司本次如若中选，中选后不会对项目进行</w:t>
      </w:r>
      <w:r>
        <w:rPr>
          <w:rFonts w:hint="eastAsia" w:ascii="宋体" w:hAnsi="宋体" w:eastAsia="宋体" w:cs="Cambria"/>
          <w:color w:val="auto"/>
          <w:sz w:val="24"/>
          <w:szCs w:val="24"/>
          <w:highlight w:val="none"/>
          <w:lang w:val="en-US" w:eastAsia="zh-CN"/>
        </w:rPr>
        <w:t>转包</w:t>
      </w:r>
      <w:r>
        <w:rPr>
          <w:rFonts w:hint="eastAsia" w:ascii="宋体"/>
          <w:color w:val="auto"/>
          <w:sz w:val="24"/>
          <w:highlight w:val="none"/>
        </w:rPr>
        <w:t>。我方对以上声明负全部法律责任。</w:t>
      </w:r>
    </w:p>
    <w:p w14:paraId="364E4966">
      <w:pPr>
        <w:tabs>
          <w:tab w:val="left" w:pos="6300"/>
        </w:tabs>
        <w:snapToGrid w:val="0"/>
        <w:spacing w:line="360" w:lineRule="auto"/>
        <w:ind w:firstLine="480" w:firstLineChars="200"/>
        <w:rPr>
          <w:rFonts w:ascii="宋体"/>
          <w:color w:val="auto"/>
          <w:sz w:val="24"/>
          <w:highlight w:val="none"/>
        </w:rPr>
      </w:pPr>
      <w:r>
        <w:rPr>
          <w:rFonts w:hint="eastAsia" w:ascii="宋体"/>
          <w:color w:val="auto"/>
          <w:sz w:val="24"/>
          <w:highlight w:val="none"/>
        </w:rPr>
        <w:t>特此声明。</w:t>
      </w:r>
    </w:p>
    <w:p w14:paraId="5C9157E6">
      <w:pPr>
        <w:tabs>
          <w:tab w:val="left" w:pos="6300"/>
        </w:tabs>
        <w:snapToGrid w:val="0"/>
        <w:spacing w:line="360" w:lineRule="auto"/>
        <w:rPr>
          <w:rFonts w:ascii="宋体"/>
          <w:color w:val="auto"/>
          <w:sz w:val="24"/>
          <w:highlight w:val="none"/>
        </w:rPr>
      </w:pPr>
    </w:p>
    <w:p w14:paraId="4D5F66F0">
      <w:pPr>
        <w:tabs>
          <w:tab w:val="left" w:pos="6300"/>
        </w:tabs>
        <w:snapToGrid w:val="0"/>
        <w:spacing w:line="360" w:lineRule="auto"/>
        <w:rPr>
          <w:rFonts w:ascii="宋体"/>
          <w:color w:val="auto"/>
          <w:sz w:val="24"/>
          <w:highlight w:val="none"/>
        </w:rPr>
      </w:pPr>
    </w:p>
    <w:p w14:paraId="70FC6408">
      <w:pPr>
        <w:tabs>
          <w:tab w:val="left" w:pos="6300"/>
        </w:tabs>
        <w:snapToGrid w:val="0"/>
        <w:spacing w:line="360" w:lineRule="auto"/>
        <w:rPr>
          <w:rFonts w:ascii="宋体"/>
          <w:color w:val="auto"/>
          <w:sz w:val="24"/>
          <w:highlight w:val="none"/>
        </w:rPr>
      </w:pPr>
    </w:p>
    <w:p w14:paraId="03908749">
      <w:pPr>
        <w:tabs>
          <w:tab w:val="left" w:pos="6300"/>
        </w:tabs>
        <w:snapToGrid w:val="0"/>
        <w:spacing w:line="360" w:lineRule="auto"/>
        <w:ind w:right="424"/>
        <w:jc w:val="right"/>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人公章）</w:t>
      </w:r>
    </w:p>
    <w:p w14:paraId="14AB0BE2">
      <w:pPr>
        <w:tabs>
          <w:tab w:val="left" w:pos="6300"/>
        </w:tabs>
        <w:snapToGrid w:val="0"/>
        <w:spacing w:line="360" w:lineRule="auto"/>
        <w:ind w:right="480"/>
        <w:jc w:val="right"/>
        <w:rPr>
          <w:rFonts w:ascii="宋体"/>
          <w:color w:val="auto"/>
          <w:sz w:val="24"/>
          <w:highlight w:val="none"/>
        </w:rPr>
      </w:pPr>
      <w:r>
        <w:rPr>
          <w:rFonts w:hint="eastAsia" w:ascii="宋体"/>
          <w:color w:val="auto"/>
          <w:sz w:val="24"/>
          <w:highlight w:val="none"/>
        </w:rPr>
        <w:t>年   月   日</w:t>
      </w:r>
    </w:p>
    <w:p w14:paraId="59F9B953">
      <w:pPr>
        <w:spacing w:line="360" w:lineRule="auto"/>
        <w:jc w:val="left"/>
        <w:rPr>
          <w:rFonts w:ascii="宋体" w:cs="等线 Light"/>
          <w:snapToGrid w:val="0"/>
          <w:color w:val="auto"/>
          <w:kern w:val="0"/>
          <w:sz w:val="24"/>
          <w:szCs w:val="24"/>
          <w:highlight w:val="none"/>
        </w:rPr>
      </w:pPr>
    </w:p>
    <w:p w14:paraId="2A16F2DB">
      <w:pPr>
        <w:spacing w:line="360" w:lineRule="auto"/>
        <w:jc w:val="left"/>
        <w:rPr>
          <w:rFonts w:ascii="宋体" w:cs="等线 Light"/>
          <w:snapToGrid w:val="0"/>
          <w:color w:val="auto"/>
          <w:kern w:val="0"/>
          <w:sz w:val="24"/>
          <w:szCs w:val="24"/>
          <w:highlight w:val="none"/>
        </w:rPr>
      </w:pPr>
    </w:p>
    <w:p w14:paraId="5BA441BA">
      <w:pPr>
        <w:spacing w:line="360" w:lineRule="auto"/>
        <w:jc w:val="left"/>
        <w:rPr>
          <w:rFonts w:ascii="宋体" w:cs="等线 Light"/>
          <w:snapToGrid w:val="0"/>
          <w:color w:val="auto"/>
          <w:kern w:val="0"/>
          <w:sz w:val="24"/>
          <w:szCs w:val="24"/>
          <w:highlight w:val="none"/>
        </w:rPr>
      </w:pPr>
    </w:p>
    <w:p w14:paraId="1BE53706">
      <w:pPr>
        <w:spacing w:line="360" w:lineRule="auto"/>
        <w:jc w:val="left"/>
        <w:rPr>
          <w:rFonts w:ascii="宋体" w:cs="等线 Light"/>
          <w:snapToGrid w:val="0"/>
          <w:color w:val="auto"/>
          <w:kern w:val="0"/>
          <w:sz w:val="24"/>
          <w:szCs w:val="24"/>
          <w:highlight w:val="none"/>
        </w:rPr>
      </w:pPr>
    </w:p>
    <w:p w14:paraId="5EFD3B9B">
      <w:pPr>
        <w:spacing w:line="360" w:lineRule="auto"/>
        <w:jc w:val="left"/>
        <w:rPr>
          <w:rFonts w:ascii="宋体" w:cs="等线 Light"/>
          <w:snapToGrid w:val="0"/>
          <w:color w:val="auto"/>
          <w:kern w:val="0"/>
          <w:sz w:val="24"/>
          <w:szCs w:val="24"/>
          <w:highlight w:val="none"/>
        </w:rPr>
      </w:pPr>
    </w:p>
    <w:p w14:paraId="3211E65D">
      <w:pPr>
        <w:spacing w:line="360" w:lineRule="auto"/>
        <w:jc w:val="left"/>
        <w:rPr>
          <w:rFonts w:ascii="宋体" w:cs="等线 Light"/>
          <w:snapToGrid w:val="0"/>
          <w:color w:val="auto"/>
          <w:kern w:val="0"/>
          <w:sz w:val="24"/>
          <w:szCs w:val="24"/>
          <w:highlight w:val="none"/>
        </w:rPr>
      </w:pPr>
    </w:p>
    <w:p w14:paraId="6537BFBC">
      <w:pPr>
        <w:spacing w:line="360" w:lineRule="auto"/>
        <w:jc w:val="left"/>
        <w:rPr>
          <w:rFonts w:ascii="宋体" w:cs="等线 Light"/>
          <w:snapToGrid w:val="0"/>
          <w:color w:val="auto"/>
          <w:kern w:val="0"/>
          <w:sz w:val="24"/>
          <w:szCs w:val="24"/>
          <w:highlight w:val="none"/>
        </w:rPr>
      </w:pPr>
    </w:p>
    <w:p w14:paraId="0A861769">
      <w:pPr>
        <w:rPr>
          <w:rFonts w:hint="eastAsia"/>
          <w:b/>
          <w:bCs/>
          <w:color w:val="auto"/>
          <w:highlight w:val="none"/>
        </w:rPr>
      </w:pPr>
      <w:r>
        <w:rPr>
          <w:rFonts w:hint="eastAsia"/>
          <w:color w:val="auto"/>
          <w:kern w:val="0"/>
          <w:highlight w:val="none"/>
        </w:rPr>
        <w:br w:type="page"/>
      </w:r>
    </w:p>
    <w:p w14:paraId="218E5F4B">
      <w:pPr>
        <w:pStyle w:val="21"/>
        <w:bidi w:val="0"/>
        <w:rPr>
          <w:color w:val="auto"/>
          <w:highlight w:val="none"/>
        </w:rPr>
      </w:pPr>
      <w:r>
        <w:rPr>
          <w:color w:val="auto"/>
          <w:highlight w:val="none"/>
        </w:rPr>
        <w:t>（</w:t>
      </w:r>
      <w:r>
        <w:rPr>
          <w:rFonts w:hint="eastAsia"/>
          <w:color w:val="auto"/>
          <w:highlight w:val="none"/>
          <w:lang w:val="en-US" w:eastAsia="zh-CN"/>
        </w:rPr>
        <w:t>四</w:t>
      </w:r>
      <w:r>
        <w:rPr>
          <w:color w:val="auto"/>
          <w:highlight w:val="none"/>
        </w:rPr>
        <w:t>）中国执行信息公开网截图</w:t>
      </w:r>
    </w:p>
    <w:p w14:paraId="6976F62F">
      <w:pPr>
        <w:bidi w:val="0"/>
        <w:rPr>
          <w:color w:val="auto"/>
          <w:highlight w:val="none"/>
        </w:rPr>
      </w:pPr>
    </w:p>
    <w:p w14:paraId="1149FEB2">
      <w:pPr>
        <w:bidi w:val="0"/>
        <w:rPr>
          <w:color w:val="auto"/>
          <w:highlight w:val="none"/>
        </w:rPr>
      </w:pPr>
    </w:p>
    <w:p w14:paraId="432777C8">
      <w:pPr>
        <w:bidi w:val="0"/>
        <w:rPr>
          <w:color w:val="auto"/>
          <w:highlight w:val="none"/>
        </w:rPr>
      </w:pPr>
    </w:p>
    <w:p w14:paraId="60DB65B9">
      <w:pPr>
        <w:bidi w:val="0"/>
        <w:rPr>
          <w:color w:val="auto"/>
          <w:highlight w:val="none"/>
        </w:rPr>
      </w:pPr>
    </w:p>
    <w:p w14:paraId="506E89CA">
      <w:pPr>
        <w:bidi w:val="0"/>
        <w:rPr>
          <w:color w:val="auto"/>
          <w:highlight w:val="none"/>
        </w:rPr>
      </w:pPr>
    </w:p>
    <w:p w14:paraId="4645E691">
      <w:pPr>
        <w:bidi w:val="0"/>
        <w:rPr>
          <w:color w:val="auto"/>
          <w:highlight w:val="none"/>
        </w:rPr>
      </w:pPr>
      <w:r>
        <w:rPr>
          <w:rFonts w:hint="eastAsia"/>
          <w:color w:val="auto"/>
          <w:highlight w:val="none"/>
        </w:rPr>
        <w:br w:type="page"/>
      </w:r>
    </w:p>
    <w:p w14:paraId="4181B529">
      <w:pPr>
        <w:pStyle w:val="21"/>
        <w:bidi w:val="0"/>
        <w:rPr>
          <w:rFonts w:eastAsia="宋体"/>
          <w:color w:val="auto"/>
          <w:highlight w:val="none"/>
          <w:lang w:val="en-US" w:eastAsia="zh-CN"/>
        </w:rPr>
      </w:pPr>
      <w:r>
        <w:rPr>
          <w:rFonts w:hint="eastAsia"/>
          <w:color w:val="auto"/>
          <w:highlight w:val="none"/>
          <w:lang w:val="zh-CN"/>
        </w:rPr>
        <w:t>（</w:t>
      </w:r>
      <w:r>
        <w:rPr>
          <w:rFonts w:hint="eastAsia"/>
          <w:color w:val="auto"/>
          <w:highlight w:val="none"/>
          <w:lang w:val="en-US" w:eastAsia="zh-CN"/>
        </w:rPr>
        <w:t>五</w:t>
      </w:r>
      <w:r>
        <w:rPr>
          <w:rFonts w:hint="eastAsia"/>
          <w:color w:val="auto"/>
          <w:highlight w:val="none"/>
          <w:lang w:val="zh-CN"/>
        </w:rPr>
        <w:t>）重庆市内内房屋租赁合同</w:t>
      </w:r>
      <w:r>
        <w:rPr>
          <w:rFonts w:hint="eastAsia"/>
          <w:color w:val="auto"/>
          <w:highlight w:val="none"/>
          <w:lang w:val="en-US" w:eastAsia="zh-CN"/>
        </w:rPr>
        <w:t>或</w:t>
      </w:r>
      <w:r>
        <w:rPr>
          <w:rFonts w:hint="eastAsia"/>
          <w:color w:val="auto"/>
          <w:highlight w:val="none"/>
          <w:lang w:val="zh-CN"/>
        </w:rPr>
        <w:t>产权证明</w:t>
      </w:r>
    </w:p>
    <w:p w14:paraId="7B32361F">
      <w:pPr>
        <w:bidi w:val="0"/>
        <w:rPr>
          <w:rFonts w:hint="eastAsia"/>
          <w:color w:val="auto"/>
          <w:highlight w:val="none"/>
          <w:lang w:val="zh-CN"/>
        </w:rPr>
      </w:pPr>
    </w:p>
    <w:p w14:paraId="7EF57455">
      <w:pPr>
        <w:bidi w:val="0"/>
        <w:rPr>
          <w:rFonts w:hint="eastAsia"/>
          <w:color w:val="auto"/>
          <w:highlight w:val="none"/>
          <w:lang w:val="zh-CN"/>
        </w:rPr>
      </w:pPr>
    </w:p>
    <w:p w14:paraId="0B62F004">
      <w:pPr>
        <w:bidi w:val="0"/>
        <w:rPr>
          <w:rFonts w:hint="eastAsia"/>
          <w:color w:val="auto"/>
          <w:highlight w:val="none"/>
          <w:lang w:val="zh-CN"/>
        </w:rPr>
        <w:sectPr>
          <w:pgSz w:w="11906" w:h="16838"/>
          <w:pgMar w:top="1440" w:right="1800" w:bottom="1440" w:left="1800" w:header="851" w:footer="992" w:gutter="0"/>
          <w:pgNumType w:fmt="decimal"/>
          <w:cols w:space="720" w:num="1"/>
          <w:docGrid w:type="lines" w:linePitch="312" w:charSpace="0"/>
        </w:sectPr>
      </w:pPr>
    </w:p>
    <w:p w14:paraId="3B415B8F">
      <w:pPr>
        <w:pStyle w:val="21"/>
        <w:bidi w:val="0"/>
        <w:rPr>
          <w:rFonts w:hint="eastAsia" w:eastAsia="宋体"/>
          <w:color w:val="auto"/>
          <w:highlight w:val="none"/>
          <w:lang w:val="zh-CN" w:eastAsia="zh-CN"/>
        </w:rPr>
      </w:pPr>
      <w:r>
        <w:rPr>
          <w:rFonts w:hint="eastAsia"/>
          <w:color w:val="auto"/>
          <w:highlight w:val="none"/>
          <w:lang w:val="zh-CN"/>
        </w:rPr>
        <w:t>（</w:t>
      </w:r>
      <w:r>
        <w:rPr>
          <w:rFonts w:hint="eastAsia"/>
          <w:color w:val="auto"/>
          <w:highlight w:val="none"/>
          <w:lang w:val="en-US" w:eastAsia="zh-CN"/>
        </w:rPr>
        <w:t>六</w:t>
      </w:r>
      <w:r>
        <w:rPr>
          <w:rFonts w:hint="eastAsia"/>
          <w:color w:val="auto"/>
          <w:highlight w:val="none"/>
          <w:lang w:val="zh-CN"/>
        </w:rPr>
        <w:t>）</w:t>
      </w:r>
      <w:r>
        <w:rPr>
          <w:rFonts w:hint="eastAsia"/>
          <w:color w:val="auto"/>
          <w:highlight w:val="none"/>
          <w:lang w:val="en-US" w:eastAsia="zh-CN"/>
        </w:rPr>
        <w:t>其他</w:t>
      </w:r>
      <w:r>
        <w:rPr>
          <w:rFonts w:hint="eastAsia"/>
          <w:color w:val="auto"/>
          <w:highlight w:val="none"/>
          <w:lang w:val="zh-CN"/>
        </w:rPr>
        <w:t>（</w:t>
      </w:r>
      <w:r>
        <w:rPr>
          <w:rFonts w:hint="eastAsia"/>
          <w:color w:val="auto"/>
          <w:highlight w:val="none"/>
          <w:lang w:val="en-US" w:eastAsia="zh-CN"/>
        </w:rPr>
        <w:t>如有</w:t>
      </w:r>
      <w:r>
        <w:rPr>
          <w:rFonts w:hint="eastAsia"/>
          <w:color w:val="auto"/>
          <w:highlight w:val="none"/>
          <w:lang w:val="zh-CN"/>
        </w:rPr>
        <w:t>）</w:t>
      </w:r>
    </w:p>
    <w:p w14:paraId="59698B49">
      <w:pPr>
        <w:bidi w:val="0"/>
        <w:rPr>
          <w:rFonts w:hint="eastAsia"/>
          <w:color w:val="auto"/>
          <w:highlight w:val="none"/>
          <w:lang w:val="zh-CN"/>
        </w:rPr>
      </w:pPr>
    </w:p>
    <w:p w14:paraId="012A2EE0">
      <w:pPr>
        <w:bidi w:val="0"/>
        <w:rPr>
          <w:rFonts w:hint="eastAsia"/>
          <w:color w:val="auto"/>
          <w:highlight w:val="none"/>
          <w:lang w:val="zh-CN"/>
        </w:rPr>
      </w:pPr>
    </w:p>
    <w:p w14:paraId="059FC1A7">
      <w:pPr>
        <w:bidi w:val="0"/>
        <w:rPr>
          <w:rFonts w:hint="eastAsia"/>
          <w:color w:val="auto"/>
          <w:highlight w:val="none"/>
          <w:lang w:val="zh-CN"/>
        </w:rPr>
      </w:pPr>
    </w:p>
    <w:p w14:paraId="688AEC0E">
      <w:pPr>
        <w:bidi w:val="0"/>
        <w:rPr>
          <w:rFonts w:hint="eastAsia"/>
          <w:color w:val="auto"/>
          <w:highlight w:val="none"/>
          <w:lang w:val="zh-CN"/>
        </w:rPr>
      </w:pPr>
      <w:r>
        <w:rPr>
          <w:rFonts w:hint="eastAsia"/>
          <w:color w:val="auto"/>
          <w:highlight w:val="none"/>
          <w:lang w:val="zh-CN"/>
        </w:rPr>
        <w:br w:type="page"/>
      </w:r>
    </w:p>
    <w:p w14:paraId="6B23C149">
      <w:pPr>
        <w:pStyle w:val="20"/>
        <w:bidi w:val="0"/>
        <w:rPr>
          <w:rFonts w:hint="default"/>
          <w:color w:val="auto"/>
          <w:highlight w:val="none"/>
          <w:lang w:val="en-US" w:eastAsia="zh-CN"/>
        </w:rPr>
      </w:pPr>
      <w:r>
        <w:rPr>
          <w:rFonts w:hint="eastAsia"/>
          <w:color w:val="auto"/>
          <w:highlight w:val="none"/>
          <w:lang w:val="en-US" w:eastAsia="zh-CN"/>
        </w:rPr>
        <w:t>五、响应性文件</w:t>
      </w:r>
    </w:p>
    <w:p w14:paraId="6AC5BC17">
      <w:pPr>
        <w:pStyle w:val="21"/>
        <w:bidi w:val="0"/>
        <w:rPr>
          <w:rFonts w:hint="eastAsia"/>
          <w:color w:val="auto"/>
          <w:highlight w:val="none"/>
          <w:lang w:val="en-US" w:eastAsia="zh-CN"/>
        </w:rPr>
      </w:pPr>
      <w:r>
        <w:rPr>
          <w:rFonts w:hint="eastAsia"/>
          <w:color w:val="auto"/>
          <w:highlight w:val="none"/>
          <w:lang w:val="en-US" w:eastAsia="zh-CN"/>
        </w:rPr>
        <w:t>（一）响应承诺函</w:t>
      </w:r>
    </w:p>
    <w:p w14:paraId="060A285F">
      <w:pPr>
        <w:bidi w:val="0"/>
        <w:rPr>
          <w:rFonts w:hint="eastAsia"/>
          <w:color w:val="auto"/>
          <w:highlight w:val="none"/>
          <w:lang w:val="en-US" w:eastAsia="zh-CN"/>
        </w:rPr>
      </w:pPr>
      <w:r>
        <w:rPr>
          <w:rFonts w:hint="eastAsia"/>
          <w:color w:val="auto"/>
          <w:highlight w:val="none"/>
          <w:lang w:val="en-US" w:eastAsia="zh-CN"/>
        </w:rPr>
        <w:t>根据第三章“项目要求”内容，做出整体承诺，格式自理。</w:t>
      </w:r>
    </w:p>
    <w:p w14:paraId="71377B43">
      <w:pPr>
        <w:bidi w:val="0"/>
        <w:rPr>
          <w:rFonts w:hint="eastAsia"/>
          <w:color w:val="auto"/>
          <w:highlight w:val="none"/>
          <w:lang w:val="en-US" w:eastAsia="zh-CN"/>
        </w:rPr>
      </w:pPr>
    </w:p>
    <w:p w14:paraId="3836AF81">
      <w:pPr>
        <w:bidi w:val="0"/>
        <w:rPr>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20F34290">
      <w:pPr>
        <w:pStyle w:val="21"/>
        <w:bidi w:val="0"/>
        <w:rPr>
          <w:color w:val="auto"/>
          <w:highlight w:val="none"/>
        </w:rPr>
      </w:pPr>
      <w:r>
        <w:rPr>
          <w:rFonts w:hint="eastAsia"/>
          <w:color w:val="auto"/>
          <w:highlight w:val="none"/>
          <w:lang w:val="en-US" w:eastAsia="zh-CN"/>
        </w:rPr>
        <w:t>（二）技术</w:t>
      </w:r>
      <w:r>
        <w:rPr>
          <w:rFonts w:hint="eastAsia"/>
          <w:color w:val="auto"/>
          <w:highlight w:val="none"/>
        </w:rPr>
        <w:t>条款偏离表</w:t>
      </w:r>
    </w:p>
    <w:p w14:paraId="2C17B7E6">
      <w:pPr>
        <w:spacing w:line="360" w:lineRule="auto"/>
        <w:rPr>
          <w:rFonts w:ascii="宋体" w:cs="等线 Light"/>
          <w:b/>
          <w:snapToGrid w:val="0"/>
          <w:color w:val="auto"/>
          <w:kern w:val="0"/>
          <w:sz w:val="24"/>
          <w:szCs w:val="24"/>
          <w:highlight w:val="none"/>
        </w:rPr>
      </w:pPr>
    </w:p>
    <w:tbl>
      <w:tblPr>
        <w:tblStyle w:val="15"/>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2056"/>
        <w:gridCol w:w="2490"/>
        <w:gridCol w:w="1363"/>
      </w:tblGrid>
      <w:tr w14:paraId="4AD4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14:paraId="02247863">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ascii="宋体" w:hAnsi="宋体" w:cs="等线 Light"/>
                <w:color w:val="auto"/>
                <w:sz w:val="21"/>
                <w:szCs w:val="21"/>
                <w:highlight w:val="none"/>
              </w:rPr>
            </w:pPr>
            <w:r>
              <w:rPr>
                <w:rFonts w:hint="eastAsia" w:ascii="宋体" w:hAnsi="宋体" w:cs="等线 Light"/>
                <w:color w:val="auto"/>
                <w:sz w:val="21"/>
                <w:szCs w:val="21"/>
                <w:highlight w:val="none"/>
              </w:rPr>
              <w:t>序号</w:t>
            </w:r>
          </w:p>
        </w:tc>
        <w:tc>
          <w:tcPr>
            <w:tcW w:w="1980" w:type="dxa"/>
            <w:vAlign w:val="center"/>
          </w:tcPr>
          <w:p w14:paraId="4318BF64">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color w:val="auto"/>
                <w:sz w:val="21"/>
                <w:szCs w:val="21"/>
                <w:highlight w:val="none"/>
              </w:rPr>
            </w:pPr>
            <w:r>
              <w:rPr>
                <w:rFonts w:hint="eastAsia" w:ascii="宋体" w:hAnsi="宋体" w:cs="等线 Light"/>
                <w:color w:val="auto"/>
                <w:sz w:val="21"/>
                <w:szCs w:val="21"/>
                <w:highlight w:val="none"/>
              </w:rPr>
              <w:t>比选文件条目号</w:t>
            </w:r>
          </w:p>
        </w:tc>
        <w:tc>
          <w:tcPr>
            <w:tcW w:w="2056" w:type="dxa"/>
            <w:vAlign w:val="center"/>
          </w:tcPr>
          <w:p w14:paraId="49FEEEF5">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color w:val="auto"/>
                <w:sz w:val="21"/>
                <w:szCs w:val="21"/>
                <w:highlight w:val="none"/>
              </w:rPr>
            </w:pPr>
            <w:r>
              <w:rPr>
                <w:rFonts w:hint="eastAsia" w:ascii="宋体" w:hAnsi="宋体" w:cs="等线 Light"/>
                <w:color w:val="auto"/>
                <w:sz w:val="21"/>
                <w:szCs w:val="21"/>
                <w:highlight w:val="none"/>
              </w:rPr>
              <w:t>比选文件</w:t>
            </w:r>
            <w:r>
              <w:rPr>
                <w:rFonts w:hint="eastAsia" w:ascii="宋体" w:hAnsi="宋体" w:cs="等线 Light"/>
                <w:color w:val="auto"/>
                <w:sz w:val="21"/>
                <w:szCs w:val="21"/>
                <w:highlight w:val="none"/>
                <w:lang w:val="en-US" w:eastAsia="zh-CN"/>
              </w:rPr>
              <w:t>技术条款</w:t>
            </w:r>
          </w:p>
        </w:tc>
        <w:tc>
          <w:tcPr>
            <w:tcW w:w="2490" w:type="dxa"/>
            <w:vAlign w:val="center"/>
          </w:tcPr>
          <w:p w14:paraId="19FF96DA">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color w:val="auto"/>
                <w:sz w:val="21"/>
                <w:szCs w:val="21"/>
                <w:highlight w:val="none"/>
              </w:rPr>
            </w:pPr>
            <w:r>
              <w:rPr>
                <w:rFonts w:hint="eastAsia" w:ascii="宋体" w:hAnsi="宋体" w:cs="等线 Light"/>
                <w:color w:val="auto"/>
                <w:sz w:val="21"/>
                <w:szCs w:val="21"/>
                <w:highlight w:val="none"/>
              </w:rPr>
              <w:t>参选文件对应</w:t>
            </w:r>
            <w:r>
              <w:rPr>
                <w:rFonts w:hint="eastAsia" w:ascii="宋体" w:hAnsi="宋体" w:cs="等线 Light"/>
                <w:color w:val="auto"/>
                <w:sz w:val="21"/>
                <w:szCs w:val="21"/>
                <w:highlight w:val="none"/>
                <w:lang w:val="en-US" w:eastAsia="zh-CN"/>
              </w:rPr>
              <w:t>技术条款</w:t>
            </w:r>
          </w:p>
        </w:tc>
        <w:tc>
          <w:tcPr>
            <w:tcW w:w="1363" w:type="dxa"/>
            <w:vAlign w:val="center"/>
          </w:tcPr>
          <w:p w14:paraId="16F5D540">
            <w:pPr>
              <w:keepNext w:val="0"/>
              <w:keepLines w:val="0"/>
              <w:pageBreakBefore w:val="0"/>
              <w:widowControl w:val="0"/>
              <w:kinsoku/>
              <w:wordWrap/>
              <w:overflowPunct/>
              <w:topLinePunct w:val="0"/>
              <w:autoSpaceDE w:val="0"/>
              <w:autoSpaceDN w:val="0"/>
              <w:bidi w:val="0"/>
              <w:adjustRightInd w:val="0"/>
              <w:snapToGrid w:val="0"/>
              <w:spacing w:line="240" w:lineRule="exact"/>
              <w:ind w:firstLine="0" w:firstLineChars="0"/>
              <w:jc w:val="center"/>
              <w:textAlignment w:val="auto"/>
              <w:rPr>
                <w:rFonts w:hint="eastAsia" w:ascii="宋体" w:hAnsi="宋体" w:cs="等线 Light"/>
                <w:color w:val="auto"/>
                <w:sz w:val="21"/>
                <w:szCs w:val="21"/>
                <w:highlight w:val="none"/>
              </w:rPr>
            </w:pPr>
            <w:r>
              <w:rPr>
                <w:rFonts w:hint="eastAsia" w:ascii="宋体" w:hAnsi="宋体" w:cs="等线 Light"/>
                <w:color w:val="auto"/>
                <w:sz w:val="21"/>
                <w:szCs w:val="21"/>
                <w:highlight w:val="none"/>
              </w:rPr>
              <w:t>说明</w:t>
            </w:r>
          </w:p>
        </w:tc>
      </w:tr>
      <w:tr w14:paraId="759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632D30C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eastAsia="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例</w:t>
            </w:r>
          </w:p>
        </w:tc>
        <w:tc>
          <w:tcPr>
            <w:tcW w:w="1980" w:type="dxa"/>
            <w:tcBorders>
              <w:left w:val="single" w:color="auto" w:sz="4" w:space="0"/>
            </w:tcBorders>
            <w:vAlign w:val="center"/>
          </w:tcPr>
          <w:p w14:paraId="7140D77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eastAsia="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第三章XXX条</w:t>
            </w:r>
          </w:p>
        </w:tc>
        <w:tc>
          <w:tcPr>
            <w:tcW w:w="2056" w:type="dxa"/>
            <w:tcBorders>
              <w:left w:val="single" w:color="auto" w:sz="4" w:space="0"/>
            </w:tcBorders>
            <w:vAlign w:val="center"/>
          </w:tcPr>
          <w:p w14:paraId="734927FC">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eastAsia="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XXXXXX（比选文件原文）</w:t>
            </w:r>
          </w:p>
        </w:tc>
        <w:tc>
          <w:tcPr>
            <w:tcW w:w="2490" w:type="dxa"/>
            <w:tcBorders>
              <w:left w:val="single" w:color="auto" w:sz="4" w:space="0"/>
            </w:tcBorders>
            <w:vAlign w:val="center"/>
          </w:tcPr>
          <w:p w14:paraId="3232A8A3">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hint="eastAsia" w:ascii="宋体" w:hAnsi="宋体" w:cs="等线 Light"/>
                <w:b/>
                <w:bCs/>
                <w:color w:val="auto"/>
                <w:sz w:val="21"/>
                <w:szCs w:val="21"/>
                <w:highlight w:val="none"/>
                <w:lang w:val="en-US" w:eastAsia="zh-CN"/>
              </w:rPr>
            </w:pPr>
            <w:r>
              <w:rPr>
                <w:rFonts w:hint="eastAsia" w:ascii="宋体" w:hAnsi="宋体" w:cs="等线 Light"/>
                <w:b/>
                <w:bCs/>
                <w:color w:val="auto"/>
                <w:sz w:val="21"/>
                <w:szCs w:val="21"/>
                <w:highlight w:val="none"/>
                <w:lang w:val="en-US" w:eastAsia="zh-CN"/>
              </w:rPr>
              <w:t>满足</w:t>
            </w:r>
          </w:p>
          <w:p w14:paraId="748E8ED1">
            <w:pPr>
              <w:keepNext w:val="0"/>
              <w:keepLines w:val="0"/>
              <w:pageBreakBefore w:val="0"/>
              <w:widowControl w:val="0"/>
              <w:kinsoku/>
              <w:wordWrap/>
              <w:overflowPunct/>
              <w:topLinePunct w:val="0"/>
              <w:autoSpaceDE w:val="0"/>
              <w:autoSpaceDN w:val="0"/>
              <w:bidi w:val="0"/>
              <w:spacing w:line="480" w:lineRule="auto"/>
              <w:ind w:firstLine="0" w:firstLineChars="0"/>
              <w:jc w:val="left"/>
              <w:textAlignment w:val="auto"/>
              <w:rPr>
                <w:rFonts w:ascii="宋体" w:hAnsi="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XXXXXX（参选文件原文）</w:t>
            </w:r>
          </w:p>
        </w:tc>
        <w:tc>
          <w:tcPr>
            <w:tcW w:w="1363" w:type="dxa"/>
            <w:tcBorders>
              <w:left w:val="single" w:color="auto" w:sz="4" w:space="0"/>
            </w:tcBorders>
            <w:vAlign w:val="center"/>
          </w:tcPr>
          <w:p w14:paraId="122DAD3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hint="eastAsia" w:ascii="宋体" w:hAnsi="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满足</w:t>
            </w:r>
          </w:p>
          <w:p w14:paraId="6149B0D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lang w:val="en-US" w:eastAsia="zh-CN"/>
              </w:rPr>
            </w:pPr>
            <w:r>
              <w:rPr>
                <w:rFonts w:hint="eastAsia" w:ascii="宋体" w:hAnsi="宋体" w:cs="等线 Light"/>
                <w:color w:val="auto"/>
                <w:sz w:val="21"/>
                <w:szCs w:val="21"/>
                <w:highlight w:val="none"/>
                <w:lang w:val="en-US" w:eastAsia="zh-CN"/>
              </w:rPr>
              <w:t>无偏离</w:t>
            </w:r>
          </w:p>
        </w:tc>
      </w:tr>
      <w:tr w14:paraId="26E8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3FA4A45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264B28B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71C5982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56EDFF0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20F498B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4EBE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181E17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409D9664">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0FAEB3A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6B9D556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7C938A9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7210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416BBAF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4903D5E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493FD4E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4228813A">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42BF439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373B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0889FF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66329C0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658A10A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741A5304">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7CEBDE1C">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49FC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57D7DA7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77D85972">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6C74E70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3DB7FABB">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3736E73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2D81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CBE350F">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2BA74F05">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2B82368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50C9CB2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0AE96B3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014E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034AD61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15243ED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0933726D">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500D33F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5D8DF2D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4C447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788D9B20">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5759332E">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347ABA9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6485C9A8">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7251D349">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r w14:paraId="639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14:paraId="2F76E804">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980" w:type="dxa"/>
            <w:tcBorders>
              <w:left w:val="single" w:color="auto" w:sz="4" w:space="0"/>
            </w:tcBorders>
            <w:vAlign w:val="center"/>
          </w:tcPr>
          <w:p w14:paraId="168B4496">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056" w:type="dxa"/>
            <w:tcBorders>
              <w:left w:val="single" w:color="auto" w:sz="4" w:space="0"/>
            </w:tcBorders>
            <w:vAlign w:val="center"/>
          </w:tcPr>
          <w:p w14:paraId="2DA036A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2490" w:type="dxa"/>
            <w:tcBorders>
              <w:left w:val="single" w:color="auto" w:sz="4" w:space="0"/>
            </w:tcBorders>
            <w:vAlign w:val="center"/>
          </w:tcPr>
          <w:p w14:paraId="49D44C61">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c>
          <w:tcPr>
            <w:tcW w:w="1363" w:type="dxa"/>
            <w:tcBorders>
              <w:left w:val="single" w:color="auto" w:sz="4" w:space="0"/>
            </w:tcBorders>
            <w:vAlign w:val="center"/>
          </w:tcPr>
          <w:p w14:paraId="1079BF93">
            <w:pPr>
              <w:keepNext w:val="0"/>
              <w:keepLines w:val="0"/>
              <w:pageBreakBefore w:val="0"/>
              <w:widowControl w:val="0"/>
              <w:kinsoku/>
              <w:wordWrap/>
              <w:overflowPunct/>
              <w:topLinePunct w:val="0"/>
              <w:autoSpaceDE w:val="0"/>
              <w:autoSpaceDN w:val="0"/>
              <w:bidi w:val="0"/>
              <w:spacing w:line="480" w:lineRule="auto"/>
              <w:ind w:firstLine="0" w:firstLineChars="0"/>
              <w:jc w:val="center"/>
              <w:textAlignment w:val="auto"/>
              <w:rPr>
                <w:rFonts w:ascii="宋体" w:hAnsi="宋体" w:cs="等线 Light"/>
                <w:color w:val="auto"/>
                <w:sz w:val="21"/>
                <w:szCs w:val="21"/>
                <w:highlight w:val="none"/>
              </w:rPr>
            </w:pPr>
          </w:p>
        </w:tc>
      </w:tr>
    </w:tbl>
    <w:p w14:paraId="342CE28D">
      <w:pPr>
        <w:autoSpaceDE/>
        <w:autoSpaceDN/>
        <w:bidi w:val="0"/>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注：根据第三章第3条“技术要求”表格中内容填写技术条款偏离表，逐一列出，填写与响应，内容齐全、无遗漏。需每页加盖公章。</w:t>
      </w:r>
    </w:p>
    <w:p w14:paraId="3775C545">
      <w:pPr>
        <w:autoSpaceDE/>
        <w:autoSpaceDN/>
        <w:bidi w:val="0"/>
        <w:ind w:firstLine="360" w:firstLineChars="200"/>
        <w:rPr>
          <w:color w:val="auto"/>
          <w:sz w:val="18"/>
          <w:szCs w:val="18"/>
          <w:highlight w:val="none"/>
          <w:lang w:val="en-US" w:eastAsia="zh-CN"/>
        </w:rPr>
      </w:pPr>
      <w:r>
        <w:rPr>
          <w:rFonts w:hint="eastAsia"/>
          <w:color w:val="auto"/>
          <w:sz w:val="18"/>
          <w:szCs w:val="18"/>
          <w:highlight w:val="none"/>
          <w:lang w:val="en-US" w:eastAsia="zh-CN"/>
        </w:rPr>
        <w:t>表格填写说明如下：</w:t>
      </w:r>
    </w:p>
    <w:p w14:paraId="2DEEA759">
      <w:pPr>
        <w:autoSpaceDE/>
        <w:autoSpaceDN/>
        <w:bidi w:val="0"/>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“比选文件条目号”：详细写明第几章第几条；</w:t>
      </w:r>
    </w:p>
    <w:p w14:paraId="73ECA8E6">
      <w:pPr>
        <w:autoSpaceDE/>
        <w:autoSpaceDN/>
        <w:bidi w:val="0"/>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w:t>
      </w:r>
      <w:r>
        <w:rPr>
          <w:rFonts w:hint="eastAsia" w:ascii="宋体" w:hAnsi="宋体" w:cs="等线 Light"/>
          <w:color w:val="auto"/>
          <w:sz w:val="18"/>
          <w:szCs w:val="18"/>
          <w:highlight w:val="none"/>
        </w:rPr>
        <w:t>比选文件</w:t>
      </w:r>
      <w:r>
        <w:rPr>
          <w:rFonts w:hint="eastAsia" w:ascii="宋体" w:hAnsi="宋体" w:cs="等线 Light"/>
          <w:color w:val="auto"/>
          <w:sz w:val="18"/>
          <w:szCs w:val="18"/>
          <w:highlight w:val="none"/>
          <w:lang w:val="en-US" w:eastAsia="zh-CN"/>
        </w:rPr>
        <w:t>技术</w:t>
      </w:r>
      <w:r>
        <w:rPr>
          <w:rFonts w:hint="eastAsia" w:ascii="宋体" w:hAnsi="宋体" w:cs="等线 Light"/>
          <w:color w:val="auto"/>
          <w:sz w:val="18"/>
          <w:szCs w:val="18"/>
          <w:highlight w:val="none"/>
        </w:rPr>
        <w:t>条款</w:t>
      </w:r>
      <w:r>
        <w:rPr>
          <w:rFonts w:hint="eastAsia"/>
          <w:color w:val="auto"/>
          <w:sz w:val="18"/>
          <w:szCs w:val="18"/>
          <w:highlight w:val="none"/>
          <w:lang w:val="en-US" w:eastAsia="zh-CN"/>
        </w:rPr>
        <w:t>”：比选文件中该条对应内容；</w:t>
      </w:r>
    </w:p>
    <w:p w14:paraId="08D2996C">
      <w:pPr>
        <w:autoSpaceDE/>
        <w:autoSpaceDN/>
        <w:bidi w:val="0"/>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w:t>
      </w:r>
      <w:r>
        <w:rPr>
          <w:rFonts w:hint="eastAsia" w:ascii="宋体" w:hAnsi="宋体" w:cs="等线 Light"/>
          <w:color w:val="auto"/>
          <w:sz w:val="18"/>
          <w:szCs w:val="18"/>
          <w:highlight w:val="none"/>
        </w:rPr>
        <w:t>参选文件对应</w:t>
      </w:r>
      <w:r>
        <w:rPr>
          <w:rFonts w:hint="eastAsia" w:ascii="宋体" w:hAnsi="宋体" w:cs="等线 Light"/>
          <w:color w:val="auto"/>
          <w:sz w:val="18"/>
          <w:szCs w:val="18"/>
          <w:highlight w:val="none"/>
          <w:lang w:val="en-US" w:eastAsia="zh-CN"/>
        </w:rPr>
        <w:t>技术</w:t>
      </w:r>
      <w:r>
        <w:rPr>
          <w:rFonts w:hint="eastAsia" w:ascii="宋体" w:hAnsi="宋体" w:cs="等线 Light"/>
          <w:color w:val="auto"/>
          <w:sz w:val="18"/>
          <w:szCs w:val="18"/>
          <w:highlight w:val="none"/>
        </w:rPr>
        <w:t>条款</w:t>
      </w:r>
      <w:r>
        <w:rPr>
          <w:rFonts w:hint="eastAsia"/>
          <w:color w:val="auto"/>
          <w:sz w:val="18"/>
          <w:szCs w:val="18"/>
          <w:highlight w:val="none"/>
          <w:lang w:val="en-US" w:eastAsia="zh-CN"/>
        </w:rPr>
        <w:t>”：写明是否满足，并附参选文件中该条对应内容；</w:t>
      </w:r>
    </w:p>
    <w:p w14:paraId="7EBDE0A4">
      <w:pPr>
        <w:autoSpaceDE/>
        <w:autoSpaceDN/>
        <w:bidi w:val="0"/>
        <w:ind w:firstLine="360" w:firstLineChars="200"/>
        <w:rPr>
          <w:color w:val="auto"/>
          <w:sz w:val="18"/>
          <w:szCs w:val="18"/>
          <w:highlight w:val="none"/>
          <w:lang w:val="en-US" w:eastAsia="zh-CN"/>
        </w:rPr>
      </w:pPr>
      <w:r>
        <w:rPr>
          <w:rFonts w:hint="eastAsia"/>
          <w:color w:val="auto"/>
          <w:sz w:val="18"/>
          <w:szCs w:val="18"/>
          <w:highlight w:val="none"/>
          <w:lang w:val="en-US" w:eastAsia="zh-CN"/>
        </w:rPr>
        <w:t>“</w:t>
      </w:r>
      <w:r>
        <w:rPr>
          <w:rFonts w:hint="eastAsia" w:ascii="宋体" w:hAnsi="宋体" w:cs="等线 Light"/>
          <w:color w:val="auto"/>
          <w:sz w:val="18"/>
          <w:szCs w:val="18"/>
          <w:highlight w:val="none"/>
          <w:lang w:val="en-US" w:eastAsia="zh-CN"/>
        </w:rPr>
        <w:t>说明</w:t>
      </w:r>
      <w:r>
        <w:rPr>
          <w:rFonts w:hint="eastAsia"/>
          <w:color w:val="auto"/>
          <w:sz w:val="18"/>
          <w:szCs w:val="18"/>
          <w:highlight w:val="none"/>
          <w:lang w:val="en-US" w:eastAsia="zh-CN"/>
        </w:rPr>
        <w:t>”：填写是否满足，是否偏离，正/负偏离原因。</w:t>
      </w:r>
    </w:p>
    <w:p w14:paraId="05688E13">
      <w:pPr>
        <w:spacing w:line="360" w:lineRule="auto"/>
        <w:rPr>
          <w:rFonts w:ascii="宋体" w:cs="等线 Light"/>
          <w:snapToGrid w:val="0"/>
          <w:color w:val="auto"/>
          <w:kern w:val="0"/>
          <w:sz w:val="24"/>
          <w:szCs w:val="24"/>
          <w:highlight w:val="none"/>
        </w:rPr>
      </w:pPr>
    </w:p>
    <w:p w14:paraId="6BEBA5F7">
      <w:pPr>
        <w:spacing w:line="360" w:lineRule="auto"/>
        <w:rPr>
          <w:rFonts w:ascii="宋体" w:cs="等线 Light"/>
          <w:color w:val="auto"/>
          <w:sz w:val="21"/>
          <w:szCs w:val="21"/>
          <w:highlight w:val="none"/>
        </w:rPr>
        <w:sectPr>
          <w:pgSz w:w="11906" w:h="16838"/>
          <w:pgMar w:top="1440" w:right="1800" w:bottom="1440" w:left="1800" w:header="851" w:footer="992" w:gutter="0"/>
          <w:pgNumType w:fmt="decimal"/>
          <w:cols w:space="720" w:num="1"/>
          <w:docGrid w:type="lines" w:linePitch="312" w:charSpace="0"/>
        </w:sectPr>
      </w:pPr>
    </w:p>
    <w:p w14:paraId="7D8653DB">
      <w:pPr>
        <w:pStyle w:val="20"/>
        <w:bidi w:val="0"/>
        <w:rPr>
          <w:rFonts w:hint="default"/>
          <w:color w:val="auto"/>
          <w:highlight w:val="none"/>
          <w:lang w:val="en-US" w:eastAsia="zh-CN"/>
        </w:rPr>
      </w:pPr>
      <w:r>
        <w:rPr>
          <w:rFonts w:hint="eastAsia"/>
          <w:color w:val="auto"/>
          <w:highlight w:val="none"/>
          <w:lang w:val="en-US" w:eastAsia="zh-CN"/>
        </w:rPr>
        <w:t>六、知识产权承诺函</w:t>
      </w:r>
    </w:p>
    <w:p w14:paraId="083FBEC8">
      <w:pPr>
        <w:bidi w:val="0"/>
        <w:rPr>
          <w:rFonts w:hint="eastAsia"/>
          <w:color w:val="auto"/>
          <w:highlight w:val="none"/>
          <w:lang w:val="en-US" w:eastAsia="zh-CN"/>
        </w:rPr>
      </w:pPr>
      <w:r>
        <w:rPr>
          <w:rFonts w:hint="eastAsia" w:ascii="宋体"/>
          <w:color w:val="auto"/>
          <w:sz w:val="24"/>
          <w:szCs w:val="28"/>
          <w:highlight w:val="none"/>
        </w:rPr>
        <w:t>项目名称</w:t>
      </w:r>
      <w:r>
        <w:rPr>
          <w:rFonts w:hint="eastAsia" w:ascii="宋体"/>
          <w:color w:val="auto"/>
          <w:sz w:val="24"/>
          <w:highlight w:val="none"/>
        </w:rPr>
        <w:t>：</w:t>
      </w:r>
    </w:p>
    <w:p w14:paraId="4D4EC334">
      <w:pPr>
        <w:bidi w:val="0"/>
        <w:rPr>
          <w:rFonts w:hint="eastAsia"/>
          <w:color w:val="auto"/>
          <w:highlight w:val="none"/>
          <w:lang w:val="en-US" w:eastAsia="zh-CN"/>
        </w:rPr>
      </w:pPr>
    </w:p>
    <w:p w14:paraId="35B09844">
      <w:pPr>
        <w:keepNext w:val="0"/>
        <w:keepLines w:val="0"/>
        <w:pageBreakBefore w:val="0"/>
        <w:widowControl w:val="0"/>
        <w:kinsoku/>
        <w:wordWrap/>
        <w:overflowPunct/>
        <w:topLinePunct w:val="0"/>
        <w:autoSpaceDE w:val="0"/>
        <w:autoSpaceDN w:val="0"/>
        <w:bidi w:val="0"/>
        <w:adjustRightInd/>
        <w:spacing w:line="480" w:lineRule="exact"/>
        <w:ind w:left="0" w:leftChars="0" w:firstLine="0" w:firstLineChars="0"/>
        <w:textAlignment w:val="auto"/>
        <w:rPr>
          <w:color w:val="auto"/>
          <w:highlight w:val="none"/>
        </w:rPr>
      </w:pPr>
      <w:r>
        <w:rPr>
          <w:rFonts w:hint="eastAsia"/>
          <w:color w:val="auto"/>
          <w:highlight w:val="none"/>
        </w:rPr>
        <w:t>致：重庆三峡银行股份有限公司：</w:t>
      </w:r>
    </w:p>
    <w:p w14:paraId="37A767C0">
      <w:pPr>
        <w:bidi w:val="0"/>
        <w:rPr>
          <w:rFonts w:hint="default"/>
          <w:color w:val="auto"/>
          <w:highlight w:val="none"/>
          <w:lang w:val="en-US" w:eastAsia="zh-CN"/>
        </w:rPr>
      </w:pPr>
    </w:p>
    <w:p w14:paraId="49A1C467">
      <w:pPr>
        <w:outlineLvl w:val="9"/>
        <w:rPr>
          <w:rFonts w:hint="eastAsia"/>
          <w:b w:val="0"/>
          <w:bCs w:val="0"/>
          <w:color w:val="auto"/>
          <w:highlight w:val="none"/>
          <w:lang w:val="en-US" w:eastAsia="zh-CN"/>
        </w:rPr>
      </w:pPr>
      <w:r>
        <w:rPr>
          <w:rFonts w:hint="eastAsia" w:ascii="宋体" w:hAnsi="宋体" w:cs="Cambria"/>
          <w:color w:val="auto"/>
          <w:sz w:val="24"/>
          <w:szCs w:val="24"/>
          <w:highlight w:val="none"/>
          <w:lang w:val="en-US" w:eastAsia="zh-CN"/>
        </w:rPr>
        <w:t>我公司本次如若中选，中选后我公司</w:t>
      </w:r>
      <w:r>
        <w:rPr>
          <w:rFonts w:hint="eastAsia"/>
          <w:color w:val="auto"/>
          <w:highlight w:val="none"/>
          <w:lang w:val="en-US" w:eastAsia="zh-CN"/>
        </w:rPr>
        <w:t>向行方提供的任何产品（包括但不限于：设备硬件、设备软件、设备配件、设备本身等）和服务不存在侵犯任何其他方知识产权或专利权的情形；如行方因此遭受任何第三方的起诉或索赔，我公司承诺主动与起诉方或索赔方进行交涉，为行方的应诉或处理索赔事宜支付费用，支付行方因败诉或被索赔应偿付的赔偿款，并对行方由此造成的全部损失进行赔偿</w:t>
      </w:r>
      <w:r>
        <w:rPr>
          <w:rFonts w:hint="eastAsia"/>
          <w:b w:val="0"/>
          <w:bCs w:val="0"/>
          <w:color w:val="auto"/>
          <w:highlight w:val="none"/>
          <w:lang w:val="en-US" w:eastAsia="zh-CN"/>
        </w:rPr>
        <w:t>。</w:t>
      </w:r>
    </w:p>
    <w:p w14:paraId="05130FC2">
      <w:pPr>
        <w:rPr>
          <w:rFonts w:hint="eastAsia"/>
          <w:b w:val="0"/>
          <w:bCs w:val="0"/>
          <w:color w:val="auto"/>
          <w:highlight w:val="none"/>
          <w:lang w:val="en-US" w:eastAsia="zh-CN"/>
        </w:rPr>
      </w:pPr>
    </w:p>
    <w:p w14:paraId="206BEC9E">
      <w:pPr>
        <w:rPr>
          <w:rFonts w:hint="eastAsia"/>
          <w:b w:val="0"/>
          <w:bCs w:val="0"/>
          <w:color w:val="auto"/>
          <w:highlight w:val="none"/>
          <w:lang w:val="en-US" w:eastAsia="zh-CN"/>
        </w:rPr>
      </w:pPr>
    </w:p>
    <w:p w14:paraId="5CFED371">
      <w:pPr>
        <w:keepNext w:val="0"/>
        <w:keepLines w:val="0"/>
        <w:pageBreakBefore w:val="0"/>
        <w:widowControl w:val="0"/>
        <w:kinsoku/>
        <w:wordWrap/>
        <w:overflowPunct/>
        <w:topLinePunct w:val="0"/>
        <w:autoSpaceDE w:val="0"/>
        <w:autoSpaceDN w:val="0"/>
        <w:bidi w:val="0"/>
        <w:adjustRightInd/>
        <w:spacing w:line="480" w:lineRule="exact"/>
        <w:textAlignment w:val="auto"/>
        <w:rPr>
          <w:color w:val="auto"/>
          <w:highlight w:val="none"/>
        </w:rPr>
      </w:pPr>
      <w:r>
        <w:rPr>
          <w:rFonts w:hint="eastAsia"/>
          <w:color w:val="auto"/>
          <w:highlight w:val="none"/>
        </w:rPr>
        <w:t>特此</w:t>
      </w:r>
      <w:r>
        <w:rPr>
          <w:rFonts w:hint="eastAsia"/>
          <w:color w:val="auto"/>
          <w:highlight w:val="none"/>
          <w:lang w:val="en-US" w:eastAsia="zh-CN"/>
        </w:rPr>
        <w:t>承诺</w:t>
      </w:r>
      <w:r>
        <w:rPr>
          <w:rFonts w:hint="eastAsia"/>
          <w:color w:val="auto"/>
          <w:highlight w:val="none"/>
        </w:rPr>
        <w:t>。</w:t>
      </w:r>
    </w:p>
    <w:p w14:paraId="7DCE610F">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14:paraId="6A844E69">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firstLine="570"/>
        <w:textAlignment w:val="auto"/>
        <w:rPr>
          <w:rFonts w:ascii="宋体"/>
          <w:color w:val="auto"/>
          <w:sz w:val="24"/>
          <w:highlight w:val="none"/>
        </w:rPr>
      </w:pPr>
    </w:p>
    <w:p w14:paraId="54738655">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24" w:firstLine="570"/>
        <w:jc w:val="right"/>
        <w:textAlignment w:val="auto"/>
        <w:rPr>
          <w:rFonts w:ascii="宋体"/>
          <w:color w:val="auto"/>
          <w:sz w:val="24"/>
          <w:highlight w:val="none"/>
        </w:rPr>
      </w:pPr>
      <w:r>
        <w:rPr>
          <w:rFonts w:hint="eastAsia" w:ascii="宋体"/>
          <w:color w:val="auto"/>
          <w:sz w:val="24"/>
          <w:highlight w:val="none"/>
        </w:rPr>
        <w:t>（</w:t>
      </w:r>
      <w:r>
        <w:rPr>
          <w:rFonts w:hint="eastAsia" w:ascii="宋体" w:cs="等线 Light"/>
          <w:snapToGrid w:val="0"/>
          <w:color w:val="auto"/>
          <w:kern w:val="0"/>
          <w:sz w:val="24"/>
          <w:szCs w:val="24"/>
          <w:highlight w:val="none"/>
        </w:rPr>
        <w:t>参选</w:t>
      </w:r>
      <w:r>
        <w:rPr>
          <w:rFonts w:hint="eastAsia" w:ascii="宋体"/>
          <w:color w:val="auto"/>
          <w:sz w:val="24"/>
          <w:highlight w:val="none"/>
        </w:rPr>
        <w:t>人公章）</w:t>
      </w:r>
    </w:p>
    <w:p w14:paraId="218592C0">
      <w:pPr>
        <w:keepNext w:val="0"/>
        <w:keepLines w:val="0"/>
        <w:pageBreakBefore w:val="0"/>
        <w:widowControl w:val="0"/>
        <w:tabs>
          <w:tab w:val="left" w:pos="6300"/>
        </w:tabs>
        <w:kinsoku/>
        <w:wordWrap/>
        <w:overflowPunct/>
        <w:topLinePunct w:val="0"/>
        <w:autoSpaceDE w:val="0"/>
        <w:autoSpaceDN w:val="0"/>
        <w:bidi w:val="0"/>
        <w:adjustRightInd/>
        <w:snapToGrid w:val="0"/>
        <w:spacing w:line="480" w:lineRule="exact"/>
        <w:ind w:right="480" w:firstLine="570"/>
        <w:jc w:val="right"/>
        <w:textAlignment w:val="auto"/>
        <w:rPr>
          <w:rFonts w:ascii="宋体"/>
          <w:color w:val="auto"/>
          <w:sz w:val="24"/>
          <w:highlight w:val="none"/>
        </w:rPr>
      </w:pPr>
      <w:r>
        <w:rPr>
          <w:rFonts w:hint="eastAsia" w:ascii="宋体"/>
          <w:color w:val="auto"/>
          <w:sz w:val="24"/>
          <w:highlight w:val="none"/>
        </w:rPr>
        <w:t>年   月   日</w:t>
      </w:r>
    </w:p>
    <w:p w14:paraId="1008646E">
      <w:pPr>
        <w:bidi w:val="0"/>
        <w:rPr>
          <w:color w:val="auto"/>
          <w:highlight w:val="none"/>
          <w:lang w:val="en-US" w:eastAsia="zh-CN"/>
        </w:rPr>
      </w:pPr>
    </w:p>
    <w:p w14:paraId="22F341B9">
      <w:pPr>
        <w:bidi w:val="0"/>
        <w:rPr>
          <w:color w:val="auto"/>
          <w:highlight w:val="none"/>
          <w:lang w:val="en-US" w:eastAsia="zh-CN"/>
        </w:rPr>
        <w:sectPr>
          <w:pgSz w:w="11906" w:h="16838"/>
          <w:pgMar w:top="1440" w:right="1800" w:bottom="1440" w:left="1800" w:header="851" w:footer="992" w:gutter="0"/>
          <w:pgNumType w:fmt="decimal"/>
          <w:cols w:space="720" w:num="1"/>
          <w:docGrid w:type="lines" w:linePitch="312" w:charSpace="0"/>
        </w:sectPr>
      </w:pPr>
    </w:p>
    <w:p w14:paraId="2C76E825">
      <w:pPr>
        <w:pStyle w:val="20"/>
        <w:bidi w:val="0"/>
        <w:rPr>
          <w:color w:val="auto"/>
          <w:highlight w:val="none"/>
        </w:rPr>
      </w:pPr>
      <w:r>
        <w:rPr>
          <w:rFonts w:hint="eastAsia"/>
          <w:color w:val="auto"/>
          <w:highlight w:val="none"/>
          <w:lang w:val="en-US" w:eastAsia="zh-CN"/>
        </w:rPr>
        <w:t>七、</w:t>
      </w:r>
      <w:r>
        <w:rPr>
          <w:rFonts w:hint="eastAsia"/>
          <w:color w:val="auto"/>
          <w:highlight w:val="none"/>
        </w:rPr>
        <w:t>参选保证金</w:t>
      </w:r>
    </w:p>
    <w:p w14:paraId="5BF7DAA2">
      <w:pPr>
        <w:spacing w:line="360" w:lineRule="auto"/>
        <w:rPr>
          <w:rFonts w:ascii="宋体" w:cs="等线 Light"/>
          <w:color w:val="auto"/>
          <w:highlight w:val="none"/>
        </w:rPr>
      </w:pPr>
    </w:p>
    <w:p w14:paraId="17C690E8">
      <w:pPr>
        <w:spacing w:line="360" w:lineRule="auto"/>
        <w:rPr>
          <w:rFonts w:ascii="宋体" w:cs="等线 Light"/>
          <w:color w:val="auto"/>
          <w:highlight w:val="none"/>
        </w:rPr>
      </w:pPr>
    </w:p>
    <w:p w14:paraId="3356546A">
      <w:pPr>
        <w:spacing w:line="360" w:lineRule="auto"/>
        <w:rPr>
          <w:rFonts w:ascii="宋体" w:cs="等线 Light"/>
          <w:color w:val="auto"/>
          <w:highlight w:val="none"/>
        </w:rPr>
      </w:pPr>
    </w:p>
    <w:p w14:paraId="24F9B4F5">
      <w:pPr>
        <w:spacing w:line="360" w:lineRule="auto"/>
        <w:rPr>
          <w:rFonts w:ascii="宋体" w:cs="等线 Light"/>
          <w:color w:val="auto"/>
          <w:highlight w:val="none"/>
        </w:rPr>
      </w:pPr>
    </w:p>
    <w:p w14:paraId="5158C365">
      <w:pPr>
        <w:spacing w:line="360" w:lineRule="auto"/>
        <w:rPr>
          <w:rFonts w:ascii="宋体" w:cs="等线 Light"/>
          <w:color w:val="auto"/>
          <w:highlight w:val="none"/>
        </w:rPr>
      </w:pPr>
    </w:p>
    <w:p w14:paraId="7F1523C9">
      <w:pPr>
        <w:spacing w:line="360" w:lineRule="auto"/>
        <w:rPr>
          <w:rFonts w:ascii="宋体" w:cs="等线 Light"/>
          <w:color w:val="auto"/>
          <w:highlight w:val="none"/>
        </w:rPr>
      </w:pPr>
    </w:p>
    <w:p w14:paraId="22F3780F">
      <w:pPr>
        <w:spacing w:line="360" w:lineRule="auto"/>
        <w:rPr>
          <w:rFonts w:ascii="宋体" w:cs="等线 Light"/>
          <w:color w:val="auto"/>
          <w:highlight w:val="none"/>
        </w:rPr>
      </w:pPr>
    </w:p>
    <w:p w14:paraId="562C63AF">
      <w:pPr>
        <w:spacing w:line="360" w:lineRule="auto"/>
        <w:rPr>
          <w:rFonts w:ascii="宋体" w:cs="等线 Light"/>
          <w:color w:val="auto"/>
          <w:highlight w:val="none"/>
        </w:rPr>
      </w:pPr>
    </w:p>
    <w:p w14:paraId="612D6129">
      <w:pPr>
        <w:spacing w:line="360" w:lineRule="auto"/>
        <w:rPr>
          <w:rFonts w:ascii="宋体" w:cs="等线 Light"/>
          <w:color w:val="auto"/>
          <w:highlight w:val="none"/>
        </w:rPr>
      </w:pPr>
    </w:p>
    <w:p w14:paraId="5AAAA6F2">
      <w:pPr>
        <w:spacing w:line="360" w:lineRule="auto"/>
        <w:rPr>
          <w:rFonts w:ascii="宋体" w:cs="等线 Light"/>
          <w:color w:val="auto"/>
          <w:highlight w:val="none"/>
        </w:rPr>
      </w:pPr>
    </w:p>
    <w:p w14:paraId="22AB7F6A">
      <w:pPr>
        <w:spacing w:line="360" w:lineRule="auto"/>
        <w:rPr>
          <w:rFonts w:ascii="宋体" w:cs="等线 Light"/>
          <w:color w:val="auto"/>
          <w:highlight w:val="none"/>
        </w:rPr>
      </w:pPr>
    </w:p>
    <w:p w14:paraId="49A9319F">
      <w:pPr>
        <w:spacing w:line="360" w:lineRule="auto"/>
        <w:rPr>
          <w:rFonts w:ascii="宋体" w:cs="等线 Light"/>
          <w:color w:val="auto"/>
          <w:highlight w:val="none"/>
        </w:rPr>
      </w:pPr>
    </w:p>
    <w:p w14:paraId="0D78CB79">
      <w:pPr>
        <w:spacing w:line="360" w:lineRule="auto"/>
        <w:rPr>
          <w:rFonts w:ascii="宋体" w:cs="等线 Light"/>
          <w:color w:val="auto"/>
          <w:highlight w:val="none"/>
        </w:rPr>
      </w:pPr>
    </w:p>
    <w:p w14:paraId="01AD9CBC">
      <w:pPr>
        <w:spacing w:line="360" w:lineRule="auto"/>
        <w:rPr>
          <w:rFonts w:ascii="宋体" w:cs="等线 Light"/>
          <w:color w:val="auto"/>
          <w:highlight w:val="none"/>
        </w:rPr>
      </w:pPr>
    </w:p>
    <w:p w14:paraId="3A392518">
      <w:pPr>
        <w:spacing w:line="360" w:lineRule="auto"/>
        <w:rPr>
          <w:rFonts w:ascii="宋体" w:cs="等线 Light"/>
          <w:color w:val="auto"/>
          <w:highlight w:val="none"/>
        </w:rPr>
      </w:pPr>
    </w:p>
    <w:p w14:paraId="5A8EB0B7">
      <w:pPr>
        <w:spacing w:line="360" w:lineRule="auto"/>
        <w:rPr>
          <w:rFonts w:ascii="宋体" w:cs="等线 Light"/>
          <w:color w:val="auto"/>
          <w:highlight w:val="none"/>
        </w:rPr>
      </w:pPr>
    </w:p>
    <w:p w14:paraId="1DD4F589">
      <w:pPr>
        <w:spacing w:line="360" w:lineRule="auto"/>
        <w:rPr>
          <w:rFonts w:ascii="宋体" w:cs="等线 Light"/>
          <w:color w:val="auto"/>
          <w:highlight w:val="none"/>
        </w:rPr>
      </w:pPr>
    </w:p>
    <w:p w14:paraId="5F68FD17">
      <w:pPr>
        <w:spacing w:line="360" w:lineRule="auto"/>
        <w:rPr>
          <w:rFonts w:ascii="宋体" w:cs="等线 Light"/>
          <w:color w:val="auto"/>
          <w:highlight w:val="none"/>
        </w:rPr>
      </w:pPr>
    </w:p>
    <w:p w14:paraId="5918F964">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4"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cjtrBh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HI7awYf&#10;AgAAJgQAAA4AAAAAAAAAAQAgAAAAJAEAAGRycy9lMm9Eb2MueG1sUEsFBgAAAAAGAAYAWQEAALUF&#10;AAAAAA==&#10;">
                <v:fill on="f" focussize="0,0"/>
                <v:stroke weight="0.25pt" color="#000000" joinstyle="miter"/>
                <v:imagedata o:title=""/>
                <o:lock v:ext="edit" aspectratio="f"/>
              </v:line>
            </w:pict>
          </mc:Fallback>
        </mc:AlternateContent>
      </w:r>
    </w:p>
    <w:p w14:paraId="73C48441">
      <w:pPr>
        <w:tabs>
          <w:tab w:val="left" w:pos="6300"/>
        </w:tabs>
        <w:snapToGrid w:val="0"/>
        <w:spacing w:line="360" w:lineRule="auto"/>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保证金交款凭据复印件</w:t>
      </w:r>
    </w:p>
    <w:p w14:paraId="15A6E7D8">
      <w:pPr>
        <w:spacing w:line="360" w:lineRule="auto"/>
        <w:rPr>
          <w:rFonts w:ascii="宋体" w:cs="等线 Light"/>
          <w:color w:val="auto"/>
          <w:sz w:val="21"/>
          <w:szCs w:val="21"/>
          <w:highlight w:val="none"/>
        </w:rPr>
      </w:pPr>
    </w:p>
    <w:p w14:paraId="2AEE0766">
      <w:pPr>
        <w:spacing w:line="360" w:lineRule="auto"/>
        <w:rPr>
          <w:rFonts w:ascii="宋体" w:cs="等线 Light"/>
          <w:color w:val="auto"/>
          <w:szCs w:val="21"/>
          <w:highlight w:val="none"/>
        </w:rPr>
        <w:sectPr>
          <w:pgSz w:w="11906" w:h="16838"/>
          <w:pgMar w:top="1440" w:right="1800" w:bottom="1440" w:left="1800" w:header="851" w:footer="992" w:gutter="0"/>
          <w:pgNumType w:fmt="decimal"/>
          <w:cols w:space="720" w:num="1"/>
          <w:docGrid w:type="lines" w:linePitch="312" w:charSpace="0"/>
        </w:sectPr>
      </w:pPr>
    </w:p>
    <w:p w14:paraId="6514A9C0">
      <w:pPr>
        <w:pStyle w:val="20"/>
        <w:bidi w:val="0"/>
        <w:rPr>
          <w:rFonts w:hint="eastAsia"/>
          <w:color w:val="auto"/>
          <w:highlight w:val="none"/>
          <w:lang w:val="en-US" w:eastAsia="zh-CN"/>
        </w:rPr>
      </w:pPr>
      <w:r>
        <w:rPr>
          <w:rFonts w:hint="eastAsia"/>
          <w:color w:val="auto"/>
          <w:highlight w:val="none"/>
          <w:lang w:val="en-US" w:eastAsia="zh-CN"/>
        </w:rPr>
        <w:t>八、其他（如有）</w:t>
      </w:r>
    </w:p>
    <w:p w14:paraId="1FD52C98">
      <w:pPr>
        <w:rPr>
          <w:color w:val="auto"/>
          <w:highlight w:val="none"/>
          <w:lang w:val="en-US" w:eastAsia="zh-CN"/>
        </w:rPr>
      </w:pPr>
    </w:p>
    <w:p w14:paraId="2D3FA81B">
      <w:pPr>
        <w:rPr>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roman"/>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3C1A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8BA21">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14:paraId="7444B209">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ZYJq1wAAAAMBAAAPAAAAAAAAAAEAIAAAACIAAABkcnMv&#10;ZG93bnJldi54bWxQSwECFAAUAAAACACHTuJAlyg43gQCAAD0AwAADgAAAAAAAAABACAAAAAmAQAA&#10;ZHJzL2Uyb0RvYy54bWxQSwUGAAAAAAYABgBZAQAAnAUAAAAA&#10;">
              <v:fill on="f" focussize="0,0"/>
              <v:stroke on="f" weight="0.5pt" joinstyle="round"/>
              <v:imagedata o:title=""/>
              <o:lock v:ext="edit" aspectratio="f"/>
              <v:textbox inset="0mm,0mm,0mm,0mm" style="mso-fit-shape-to-text:t;">
                <w:txbxContent>
                  <w:p w14:paraId="7444B209">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trackedChanges" w:enforcement="0"/>
  <w:defaultTabStop w:val="420"/>
  <w:drawingGridHorizontalSpacing w:val="1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63A2882"/>
    <w:rsid w:val="0D892773"/>
    <w:rsid w:val="0E15476E"/>
    <w:rsid w:val="11E157A3"/>
    <w:rsid w:val="1B4C063B"/>
    <w:rsid w:val="21875962"/>
    <w:rsid w:val="45C609E2"/>
    <w:rsid w:val="5043465D"/>
    <w:rsid w:val="6B200A07"/>
    <w:rsid w:val="6C411B2C"/>
    <w:rsid w:val="75BC19B7"/>
    <w:rsid w:val="786F22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200" w:firstLineChars="200"/>
      <w:jc w:val="both"/>
    </w:pPr>
    <w:rPr>
      <w:rFonts w:ascii="Cambria Math" w:hAnsi="Cambria Math" w:eastAsia="宋体" w:cs="Cambria Math"/>
      <w:kern w:val="2"/>
      <w:sz w:val="24"/>
      <w:szCs w:val="20"/>
      <w:lang w:val="en-US" w:eastAsia="zh-CN" w:bidi="ar-SA"/>
    </w:rPr>
  </w:style>
  <w:style w:type="paragraph" w:styleId="3">
    <w:name w:val="heading 1"/>
    <w:basedOn w:val="1"/>
    <w:next w:val="1"/>
    <w:autoRedefine/>
    <w:qFormat/>
    <w:uiPriority w:val="0"/>
    <w:pPr>
      <w:tabs>
        <w:tab w:val="left" w:pos="3360"/>
      </w:tabs>
      <w:snapToGrid w:val="0"/>
      <w:spacing w:before="0" w:line="600" w:lineRule="exact"/>
      <w:ind w:right="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autoRedefine/>
    <w:qFormat/>
    <w:uiPriority w:val="0"/>
    <w:pPr>
      <w:spacing w:line="600" w:lineRule="exact"/>
      <w:ind w:firstLine="0" w:firstLineChars="0"/>
      <w:outlineLvl w:val="1"/>
    </w:pPr>
    <w:rPr>
      <w:rFonts w:ascii="宋体" w:hAnsi="宋体" w:cs="Times New Roman"/>
      <w:b/>
      <w:bCs/>
      <w:snapToGrid w:val="0"/>
      <w:szCs w:val="24"/>
    </w:rPr>
  </w:style>
  <w:style w:type="paragraph" w:styleId="2">
    <w:name w:val="heading 3"/>
    <w:basedOn w:val="1"/>
    <w:next w:val="1"/>
    <w:autoRedefine/>
    <w:qFormat/>
    <w:uiPriority w:val="0"/>
    <w:pPr>
      <w:keepNext w:val="0"/>
      <w:keepLines w:val="0"/>
      <w:widowControl w:val="0"/>
      <w:spacing w:before="0" w:after="0" w:line="600" w:lineRule="exact"/>
      <w:outlineLvl w:val="2"/>
    </w:pPr>
    <w:rPr>
      <w:rFonts w:eastAsia="宋体"/>
      <w:b/>
      <w:bCs/>
      <w:szCs w:val="32"/>
    </w:rPr>
  </w:style>
  <w:style w:type="paragraph" w:styleId="5">
    <w:name w:val="heading 4"/>
    <w:basedOn w:val="1"/>
    <w:next w:val="1"/>
    <w:link w:val="18"/>
    <w:autoRedefine/>
    <w:qFormat/>
    <w:uiPriority w:val="0"/>
    <w:pPr>
      <w:keepNext w:val="0"/>
      <w:keepLines w:val="0"/>
      <w:widowControl w:val="0"/>
      <w:spacing w:line="600" w:lineRule="exact"/>
      <w:ind w:firstLine="200" w:firstLineChars="200"/>
      <w:outlineLvl w:val="3"/>
    </w:pPr>
    <w:rPr>
      <w:rFonts w:ascii="Calibri Light" w:hAnsi="Calibri Light" w:eastAsia="宋体" w:cs="Times New Roman"/>
      <w:bCs/>
      <w:szCs w:val="28"/>
    </w:rPr>
  </w:style>
  <w:style w:type="paragraph" w:styleId="6">
    <w:name w:val="heading 5"/>
    <w:basedOn w:val="1"/>
    <w:next w:val="1"/>
    <w:link w:val="19"/>
    <w:autoRedefine/>
    <w:qFormat/>
    <w:uiPriority w:val="0"/>
    <w:pPr>
      <w:keepNext w:val="0"/>
      <w:keepLines w:val="0"/>
      <w:widowControl w:val="0"/>
      <w:spacing w:beforeAutospacing="0" w:afterAutospacing="0" w:line="360" w:lineRule="auto"/>
      <w:ind w:firstLine="0" w:firstLineChars="0"/>
      <w:jc w:val="center"/>
      <w:outlineLvl w:val="4"/>
    </w:pPr>
    <w:rPr>
      <w:rFonts w:eastAsia="宋体"/>
      <w:b/>
      <w:sz w:val="28"/>
    </w:rPr>
  </w:style>
  <w:style w:type="paragraph" w:styleId="7">
    <w:name w:val="heading 6"/>
    <w:basedOn w:val="1"/>
    <w:next w:val="1"/>
    <w:autoRedefine/>
    <w:qFormat/>
    <w:uiPriority w:val="0"/>
    <w:pPr>
      <w:keepNext/>
      <w:keepLines/>
      <w:widowControl w:val="0"/>
      <w:spacing w:before="240" w:beforeAutospacing="0" w:after="64" w:afterAutospacing="0" w:line="317" w:lineRule="auto"/>
      <w:outlineLvl w:val="5"/>
    </w:pPr>
    <w:rPr>
      <w:rFonts w:ascii="Arial" w:hAnsi="Arial" w:eastAsia="黑体"/>
      <w:b/>
      <w:sz w:val="24"/>
    </w:rPr>
  </w:style>
  <w:style w:type="character" w:default="1" w:styleId="16">
    <w:name w:val="Default Paragraph Font"/>
    <w:autoRedefine/>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9">
    <w:name w:val="Body Text"/>
    <w:basedOn w:val="1"/>
    <w:next w:val="1"/>
    <w:autoRedefine/>
    <w:qFormat/>
    <w:uiPriority w:val="0"/>
    <w:pPr>
      <w:spacing w:before="100" w:beforeAutospacing="1" w:after="120"/>
    </w:pPr>
  </w:style>
  <w:style w:type="paragraph" w:styleId="10">
    <w:name w:val="Date"/>
    <w:basedOn w:val="1"/>
    <w:next w:val="1"/>
    <w:qFormat/>
    <w:uiPriority w:val="0"/>
    <w:rPr>
      <w:kern w:val="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Subtitle"/>
    <w:basedOn w:val="1"/>
    <w:autoRedefine/>
    <w:qFormat/>
    <w:uiPriority w:val="0"/>
    <w:pPr>
      <w:spacing w:before="240" w:beforeAutospacing="0" w:after="60" w:afterAutospacing="0" w:line="312" w:lineRule="auto"/>
      <w:jc w:val="center"/>
      <w:outlineLvl w:val="1"/>
    </w:pPr>
    <w:rPr>
      <w:rFonts w:ascii="Arial" w:hAnsi="Arial"/>
      <w:b/>
      <w:kern w:val="28"/>
      <w:sz w:val="32"/>
    </w:rPr>
  </w:style>
  <w:style w:type="character" w:styleId="17">
    <w:name w:val="Strong"/>
    <w:basedOn w:val="16"/>
    <w:autoRedefine/>
    <w:qFormat/>
    <w:uiPriority w:val="0"/>
    <w:rPr>
      <w:b/>
      <w:bCs/>
    </w:rPr>
  </w:style>
  <w:style w:type="character" w:customStyle="1" w:styleId="18">
    <w:name w:val="heading 4 Char"/>
    <w:basedOn w:val="16"/>
    <w:link w:val="5"/>
    <w:autoRedefine/>
    <w:qFormat/>
    <w:uiPriority w:val="0"/>
    <w:rPr>
      <w:rFonts w:ascii="Calibri Light" w:hAnsi="Calibri Light" w:eastAsia="宋体" w:cs="Times New Roman"/>
      <w:bCs/>
      <w:kern w:val="2"/>
      <w:sz w:val="24"/>
      <w:szCs w:val="28"/>
      <w:lang w:val="en-US" w:eastAsia="zh-CN" w:bidi="ar-SA"/>
    </w:rPr>
  </w:style>
  <w:style w:type="character" w:customStyle="1" w:styleId="19">
    <w:name w:val="heading 5 Char"/>
    <w:basedOn w:val="16"/>
    <w:link w:val="6"/>
    <w:autoRedefine/>
    <w:qFormat/>
    <w:uiPriority w:val="0"/>
    <w:rPr>
      <w:rFonts w:ascii="Cambria Math" w:hAnsi="Cambria Math" w:eastAsia="宋体" w:cs="Cambria Math"/>
      <w:b/>
      <w:kern w:val="2"/>
      <w:sz w:val="28"/>
      <w:szCs w:val="20"/>
      <w:lang w:val="en-US" w:eastAsia="zh-CN" w:bidi="ar-SA"/>
    </w:rPr>
  </w:style>
  <w:style w:type="paragraph" w:customStyle="1" w:styleId="20">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1">
    <w:name w:val="参选文件格式2"/>
    <w:basedOn w:val="1"/>
    <w:next w:val="1"/>
    <w:autoRedefine/>
    <w:qFormat/>
    <w:uiPriority w:val="0"/>
    <w:pPr>
      <w:ind w:firstLine="0" w:firstLineChars="0"/>
      <w:jc w:val="center"/>
      <w:outlineLvl w:val="2"/>
    </w:pPr>
    <w:rPr>
      <w:rFonts w:eastAsia="宋体"/>
      <w:bCs/>
      <w:szCs w:val="32"/>
    </w:rPr>
  </w:style>
  <w:style w:type="paragraph" w:customStyle="1" w:styleId="22">
    <w:name w:val="参选文件格式3"/>
    <w:basedOn w:val="1"/>
    <w:link w:val="23"/>
    <w:autoRedefine/>
    <w:qFormat/>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23">
    <w:name w:val="参选文件格式3 Char"/>
    <w:basedOn w:val="16"/>
    <w:link w:val="22"/>
    <w:autoRedefine/>
    <w:qFormat/>
    <w:uiPriority w:val="0"/>
    <w:rPr>
      <w:rFonts w:ascii="宋体" w:hAnsi="宋体" w:eastAsia="宋体" w:cs="Cambria Math"/>
      <w:b/>
      <w:snapToGrid w:val="0"/>
      <w:kern w:val="0"/>
      <w:sz w:val="24"/>
      <w:szCs w:val="20"/>
      <w:u w:val="none"/>
      <w:lang w:val="en-US" w:eastAsia="zh-CN" w:bidi="ar-SA"/>
    </w:rPr>
  </w:style>
  <w:style w:type="character" w:customStyle="1" w:styleId="24">
    <w:name w:val="font11"/>
    <w:basedOn w:val="16"/>
    <w:autoRedefine/>
    <w:qFormat/>
    <w:uiPriority w:val="0"/>
    <w:rPr>
      <w:rFonts w:ascii="宋体" w:hAnsi="宋体" w:eastAsia="宋体" w:cs="宋体"/>
      <w:b/>
      <w:bCs/>
      <w:color w:val="000000"/>
      <w:sz w:val="21"/>
      <w:szCs w:val="21"/>
      <w:u w:val="none"/>
    </w:rPr>
  </w:style>
  <w:style w:type="character" w:customStyle="1" w:styleId="25">
    <w:name w:val="font21"/>
    <w:basedOn w:val="16"/>
    <w:autoRedefine/>
    <w:qFormat/>
    <w:uiPriority w:val="0"/>
    <w:rPr>
      <w:rFonts w:ascii="宋体" w:hAnsi="宋体" w:eastAsia="宋体" w:cs="宋体"/>
      <w:color w:val="000000"/>
      <w:sz w:val="21"/>
      <w:szCs w:val="21"/>
      <w:u w:val="none"/>
    </w:rPr>
  </w:style>
  <w:style w:type="character" w:customStyle="1" w:styleId="26">
    <w:name w:val="font31"/>
    <w:basedOn w:val="16"/>
    <w:autoRedefine/>
    <w:qFormat/>
    <w:uiPriority w:val="0"/>
    <w:rPr>
      <w:rFonts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72B69-0B93-411C-BB9E-141FA5E5477A}">
  <ds:schemaRefs/>
</ds:datastoreItem>
</file>

<file path=docProps/app.xml><?xml version="1.0" encoding="utf-8"?>
<Properties xmlns="http://schemas.openxmlformats.org/officeDocument/2006/extended-properties" xmlns:vt="http://schemas.openxmlformats.org/officeDocument/2006/docPropsVTypes">
  <Template>Normal.eit</Template>
  <Pages>62</Pages>
  <Words>22804</Words>
  <Characters>24662</Characters>
  <Lines>0</Lines>
  <Paragraphs>701</Paragraphs>
  <TotalTime>2</TotalTime>
  <ScaleCrop>false</ScaleCrop>
  <LinksUpToDate>false</LinksUpToDate>
  <CharactersWithSpaces>25913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admin</cp:lastModifiedBy>
  <cp:lastPrinted>2024-01-19T09:29:00Z</cp:lastPrinted>
  <dcterms:modified xsi:type="dcterms:W3CDTF">2024-07-19T07:37:56Z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191FDFFB231241ADB146078A7D7D647B_13</vt:lpwstr>
  </property>
</Properties>
</file>