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201"/>
          <w:tab w:val="right" w:leader="dot" w:pos="9298"/>
        </w:tabs>
        <w:kinsoku/>
        <w:wordWrap/>
        <w:overflowPunct/>
        <w:topLinePunct w:val="0"/>
        <w:autoSpaceDE w:val="0"/>
        <w:autoSpaceDN w:val="0"/>
        <w:bidi w:val="0"/>
        <w:adjustRightInd/>
        <w:spacing w:after="0" w:line="360" w:lineRule="auto"/>
        <w:ind w:firstLine="0" w:firstLineChars="0"/>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宋体" w:cs="Cambria"/>
          <w:b/>
          <w:snapToGrid w:val="0"/>
          <w:color w:val="auto"/>
          <w:kern w:val="0"/>
          <w:sz w:val="52"/>
          <w:szCs w:val="84"/>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u w:val="none"/>
        </w:rPr>
      </w:pPr>
      <w:r>
        <w:rPr>
          <w:rFonts w:hint="eastAsia" w:ascii="Times New Roman" w:hAnsi="Times New Roman" w:cs="Times New Roman"/>
          <w:b/>
          <w:snapToGrid w:val="0"/>
          <w:color w:val="auto"/>
          <w:kern w:val="0"/>
          <w:sz w:val="48"/>
          <w:szCs w:val="84"/>
          <w:highlight w:val="none"/>
          <w:u w:val="none"/>
        </w:rPr>
        <w:t>重庆三峡银行</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48"/>
          <w:szCs w:val="84"/>
          <w:highlight w:val="none"/>
          <w:u w:val="none"/>
        </w:rPr>
      </w:pPr>
      <w:r>
        <w:rPr>
          <w:rFonts w:ascii="Times New Roman" w:hAnsi="Times New Roman" w:cs="Times New Roman"/>
          <w:b/>
          <w:snapToGrid w:val="0"/>
          <w:color w:val="auto"/>
          <w:kern w:val="0"/>
          <w:sz w:val="48"/>
          <w:szCs w:val="84"/>
          <w:highlight w:val="none"/>
          <w:u w:val="none"/>
          <w:lang w:val="en-US" w:eastAsia="zh-CN"/>
        </w:rPr>
        <w:t>理财产品外部审计</w:t>
      </w:r>
      <w:r>
        <w:rPr>
          <w:rFonts w:hint="eastAsia" w:ascii="Times New Roman" w:hAnsi="Times New Roman" w:cs="Times New Roman"/>
          <w:b/>
          <w:snapToGrid w:val="0"/>
          <w:color w:val="auto"/>
          <w:kern w:val="0"/>
          <w:sz w:val="48"/>
          <w:szCs w:val="84"/>
          <w:highlight w:val="none"/>
          <w:u w:val="none"/>
        </w:rPr>
        <w:t>项目</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1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比选</w:t>
      </w:r>
      <w:r>
        <w:rPr>
          <w:rFonts w:ascii="Times New Roman" w:hAnsi="Times New Roman" w:cs="Times New Roman"/>
          <w:b/>
          <w:snapToGrid w:val="0"/>
          <w:color w:val="auto"/>
          <w:kern w:val="0"/>
          <w:sz w:val="96"/>
          <w:szCs w:val="96"/>
          <w:highlight w:val="none"/>
        </w:rPr>
        <w:t>文件</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ind w:left="0" w:firstLine="0" w:firstLineChars="0"/>
        <w:rPr>
          <w:color w:val="auto"/>
          <w:highlight w:val="none"/>
        </w:rPr>
      </w:pPr>
    </w:p>
    <w:p>
      <w:pPr>
        <w:pStyle w:val="2"/>
        <w:rPr>
          <w:color w:val="auto"/>
          <w:highlight w:val="none"/>
        </w:rPr>
      </w:pPr>
    </w:p>
    <w:p>
      <w:pPr>
        <w:rPr>
          <w:color w:val="auto"/>
          <w:highlight w:val="none"/>
        </w:rPr>
      </w:pPr>
    </w:p>
    <w:p>
      <w:pPr>
        <w:rPr>
          <w:color w:val="auto"/>
          <w:highlight w:val="none"/>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比选人</w:t>
            </w:r>
          </w:p>
        </w:tc>
        <w:tc>
          <w:tcPr>
            <w:tcW w:w="4744" w:type="dxa"/>
            <w:tcBorders>
              <w:top w:val="nil"/>
              <w:left w:val="nil"/>
              <w:bottom w:val="nil"/>
              <w:right w:val="nil"/>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op w:val="nil"/>
              <w:left w:val="nil"/>
              <w:bottom w:val="nil"/>
              <w:right w:val="nil"/>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ascii="Times New Roman" w:hAnsi="Times New Roman" w:cs="Times New Roman"/>
                <w:b w:val="0"/>
                <w:bCs/>
                <w:snapToGrid w:val="0"/>
                <w:color w:val="auto"/>
                <w:kern w:val="0"/>
                <w:sz w:val="24"/>
                <w:szCs w:val="24"/>
                <w:highlight w:val="none"/>
                <w:lang w:val="en-US" w:eastAsia="zh-CN"/>
              </w:rPr>
              <w:t>盖单位法人章</w:t>
            </w:r>
            <w:r>
              <w:rPr>
                <w:rFonts w:hint="eastAsia" w:ascii="Times New Roman" w:hAnsi="Times New Roman" w:cs="Times New Roman"/>
                <w:b w:val="0"/>
                <w:bCs/>
                <w:snapToGrid w:val="0"/>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op w:val="nil"/>
              <w:left w:val="nil"/>
              <w:bottom w:val="nil"/>
              <w:right w:val="nil"/>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5</w:t>
            </w:r>
            <w:bookmarkStart w:id="309" w:name="_GoBack"/>
            <w:bookmarkEnd w:id="309"/>
            <w:r>
              <w:rPr>
                <w:rFonts w:ascii="Times New Roman" w:hAnsi="Times New Roman" w:cs="Times New Roman"/>
                <w:b/>
                <w:snapToGrid w:val="0"/>
                <w:color w:val="auto"/>
                <w:kern w:val="0"/>
                <w:sz w:val="30"/>
                <w:szCs w:val="30"/>
                <w:highlight w:val="none"/>
              </w:rPr>
              <w:t>月</w:t>
            </w:r>
          </w:p>
        </w:tc>
        <w:tc>
          <w:tcPr>
            <w:tcW w:w="2020" w:type="dxa"/>
            <w:vMerge w:val="continue"/>
            <w:tcBorders>
              <w:top w:val="nil"/>
              <w:left w:val="nil"/>
              <w:bottom w:val="nil"/>
              <w:right w:val="nil"/>
              <w:tl2br w:val="nil"/>
              <w:tr2bl w:val="nil"/>
            </w:tcBorders>
            <w:noWrap/>
            <w:vAlign w:val="center"/>
          </w:tcPr>
          <w:p/>
        </w:tc>
      </w:tr>
    </w:tbl>
    <w:p>
      <w:pPr>
        <w:bidi w:val="0"/>
        <w:rPr>
          <w:rFonts w:ascii="Times New Roman" w:hAnsi="Times New Roman" w:cs="Times New Roman"/>
          <w:b/>
          <w:snapToGrid w:val="0"/>
          <w:color w:val="auto"/>
          <w:kern w:val="0"/>
          <w:sz w:val="30"/>
          <w:szCs w:val="30"/>
          <w:highlight w:val="none"/>
        </w:rPr>
      </w:pPr>
    </w:p>
    <w:p>
      <w:pPr>
        <w:bidi w:val="0"/>
        <w:rPr>
          <w:color w:val="auto"/>
          <w:highlight w:val="none"/>
        </w:rPr>
        <w:sectPr>
          <w:footerReference r:id="rId5" w:type="default"/>
          <w:pgSz w:w="11906" w:h="16838"/>
          <w:pgMar w:top="1440" w:right="1800" w:bottom="1440" w:left="1800" w:header="851" w:footer="992" w:gutter="0"/>
          <w:pgNumType w:fmt="numberInDash" w:start="1"/>
          <w:cols w:space="720" w:num="1"/>
          <w:docGrid w:type="lines" w:linePitch="326" w:charSpace="0"/>
        </w:sect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ascii="宋体"/>
          <w:b/>
          <w:snapToGrid w:val="0"/>
          <w:color w:val="auto"/>
          <w:kern w:val="0"/>
          <w:sz w:val="44"/>
          <w:szCs w:val="44"/>
          <w:highlight w:val="none"/>
        </w:rPr>
      </w:pPr>
      <w:r>
        <w:rPr>
          <w:rFonts w:hint="eastAsia" w:ascii="宋体"/>
          <w:b/>
          <w:snapToGrid w:val="0"/>
          <w:color w:val="auto"/>
          <w:kern w:val="0"/>
          <w:sz w:val="44"/>
          <w:szCs w:val="44"/>
          <w:highlight w:val="none"/>
        </w:rPr>
        <w:t>目录</w:t>
      </w:r>
    </w:p>
    <w:p>
      <w:pPr>
        <w:pStyle w:val="12"/>
        <w:tabs>
          <w:tab w:val="right" w:leader="dot" w:pos="8306"/>
        </w:tabs>
        <w:rPr>
          <w:color w:val="auto"/>
          <w:highlight w:val="none"/>
        </w:rPr>
      </w:pPr>
      <w:r>
        <w:rPr>
          <w:rFonts w:hint="eastAsia" w:ascii="宋体"/>
          <w:snapToGrid w:val="0"/>
          <w:color w:val="auto"/>
          <w:kern w:val="0"/>
          <w:sz w:val="24"/>
          <w:szCs w:val="24"/>
          <w:highlight w:val="none"/>
        </w:rPr>
        <w:fldChar w:fldCharType="begin"/>
      </w:r>
      <w:r>
        <w:rPr>
          <w:rFonts w:hint="eastAsia" w:ascii="宋体"/>
          <w:snapToGrid w:val="0"/>
          <w:color w:val="auto"/>
          <w:kern w:val="0"/>
          <w:sz w:val="24"/>
          <w:szCs w:val="24"/>
          <w:highlight w:val="none"/>
        </w:rPr>
        <w:instrText xml:space="preserve">TOC \o "1-1" \h \z \u</w:instrText>
      </w:r>
      <w:r>
        <w:rPr>
          <w:rFonts w:ascii="宋体"/>
          <w:snapToGrid w:val="0"/>
          <w:color w:val="auto"/>
          <w:kern w:val="0"/>
          <w:sz w:val="24"/>
          <w:szCs w:val="24"/>
          <w:highlight w:val="none"/>
        </w:rPr>
        <w:instrText xml:space="preserve"> </w:instrText>
      </w:r>
      <w:r>
        <w:rPr>
          <w:rFonts w:ascii="宋体"/>
          <w:snapToGrid w:val="0"/>
          <w:color w:val="auto"/>
          <w:kern w:val="0"/>
          <w:sz w:val="24"/>
          <w:szCs w:val="24"/>
          <w:highlight w:val="none"/>
        </w:rPr>
        <w:fldChar w:fldCharType="separate"/>
      </w:r>
      <w:r>
        <w:rPr>
          <w:rFonts w:ascii="宋体"/>
          <w:snapToGrid w:val="0"/>
          <w:color w:val="auto"/>
          <w:kern w:val="0"/>
          <w:szCs w:val="24"/>
          <w:highlight w:val="none"/>
        </w:rPr>
        <w:fldChar w:fldCharType="begin"/>
      </w:r>
      <w:r>
        <w:rPr>
          <w:rFonts w:ascii="宋体"/>
          <w:snapToGrid w:val="0"/>
          <w:color w:val="auto"/>
          <w:kern w:val="0"/>
          <w:szCs w:val="24"/>
          <w:highlight w:val="none"/>
        </w:rPr>
        <w:instrText xml:space="preserve"> HYPERLINK \l _Toc27776 </w:instrText>
      </w:r>
      <w:r>
        <w:rPr>
          <w:rFonts w:ascii="宋体"/>
          <w:snapToGrid w:val="0"/>
          <w:color w:val="auto"/>
          <w:kern w:val="0"/>
          <w:szCs w:val="24"/>
          <w:highlight w:val="none"/>
        </w:rPr>
        <w:fldChar w:fldCharType="separate"/>
      </w:r>
      <w:r>
        <w:rPr>
          <w:rFonts w:hint="eastAsia"/>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_Toc27776 \h </w:instrText>
      </w:r>
      <w:r>
        <w:rPr>
          <w:color w:val="auto"/>
          <w:highlight w:val="none"/>
        </w:rPr>
        <w:fldChar w:fldCharType="separate"/>
      </w:r>
      <w:r>
        <w:rPr>
          <w:color w:val="auto"/>
          <w:highlight w:val="none"/>
        </w:rPr>
        <w:t>- 1 -</w:t>
      </w:r>
      <w:r>
        <w:rPr>
          <w:color w:val="auto"/>
          <w:highlight w:val="none"/>
        </w:rPr>
        <w:fldChar w:fldCharType="end"/>
      </w:r>
      <w:r>
        <w:rPr>
          <w:rFonts w:ascii="宋体"/>
          <w:snapToGrid w:val="0"/>
          <w:color w:val="auto"/>
          <w:kern w:val="0"/>
          <w:szCs w:val="24"/>
          <w:highlight w:val="none"/>
        </w:rPr>
        <w:fldChar w:fldCharType="end"/>
      </w:r>
    </w:p>
    <w:p>
      <w:pPr>
        <w:pStyle w:val="12"/>
        <w:tabs>
          <w:tab w:val="right" w:leader="dot" w:pos="8306"/>
        </w:tabs>
        <w:rPr>
          <w:color w:val="auto"/>
          <w:highlight w:val="none"/>
        </w:rPr>
      </w:pPr>
      <w:r>
        <w:rPr>
          <w:rFonts w:ascii="宋体"/>
          <w:snapToGrid w:val="0"/>
          <w:color w:val="auto"/>
          <w:kern w:val="0"/>
          <w:szCs w:val="24"/>
          <w:highlight w:val="none"/>
        </w:rPr>
        <w:fldChar w:fldCharType="begin"/>
      </w:r>
      <w:r>
        <w:rPr>
          <w:rFonts w:ascii="宋体"/>
          <w:snapToGrid w:val="0"/>
          <w:color w:val="auto"/>
          <w:kern w:val="0"/>
          <w:szCs w:val="24"/>
          <w:highlight w:val="none"/>
        </w:rPr>
        <w:instrText xml:space="preserve"> HYPERLINK \l _Toc19564 </w:instrText>
      </w:r>
      <w:r>
        <w:rPr>
          <w:rFonts w:ascii="宋体"/>
          <w:snapToGrid w:val="0"/>
          <w:color w:val="auto"/>
          <w:kern w:val="0"/>
          <w:szCs w:val="24"/>
          <w:highlight w:val="none"/>
        </w:rPr>
        <w:fldChar w:fldCharType="separate"/>
      </w:r>
      <w:r>
        <w:rPr>
          <w:rFonts w:hint="eastAsia"/>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_Toc19564 \h </w:instrText>
      </w:r>
      <w:r>
        <w:rPr>
          <w:color w:val="auto"/>
          <w:highlight w:val="none"/>
        </w:rPr>
        <w:fldChar w:fldCharType="separate"/>
      </w:r>
      <w:r>
        <w:rPr>
          <w:color w:val="auto"/>
          <w:highlight w:val="none"/>
        </w:rPr>
        <w:t>- 5 -</w:t>
      </w:r>
      <w:r>
        <w:rPr>
          <w:color w:val="auto"/>
          <w:highlight w:val="none"/>
        </w:rPr>
        <w:fldChar w:fldCharType="end"/>
      </w:r>
      <w:r>
        <w:rPr>
          <w:rFonts w:ascii="宋体"/>
          <w:snapToGrid w:val="0"/>
          <w:color w:val="auto"/>
          <w:kern w:val="0"/>
          <w:szCs w:val="24"/>
          <w:highlight w:val="none"/>
        </w:rPr>
        <w:fldChar w:fldCharType="end"/>
      </w:r>
    </w:p>
    <w:p>
      <w:pPr>
        <w:pStyle w:val="12"/>
        <w:tabs>
          <w:tab w:val="right" w:leader="dot" w:pos="8306"/>
        </w:tabs>
        <w:rPr>
          <w:color w:val="auto"/>
          <w:highlight w:val="none"/>
        </w:rPr>
      </w:pPr>
      <w:r>
        <w:rPr>
          <w:rFonts w:ascii="宋体"/>
          <w:snapToGrid w:val="0"/>
          <w:color w:val="auto"/>
          <w:kern w:val="0"/>
          <w:szCs w:val="24"/>
          <w:highlight w:val="none"/>
        </w:rPr>
        <w:fldChar w:fldCharType="begin"/>
      </w:r>
      <w:r>
        <w:rPr>
          <w:rFonts w:ascii="宋体"/>
          <w:snapToGrid w:val="0"/>
          <w:color w:val="auto"/>
          <w:kern w:val="0"/>
          <w:szCs w:val="24"/>
          <w:highlight w:val="none"/>
        </w:rPr>
        <w:instrText xml:space="preserve"> HYPERLINK \l _Toc23905 </w:instrText>
      </w:r>
      <w:r>
        <w:rPr>
          <w:rFonts w:ascii="宋体"/>
          <w:snapToGrid w:val="0"/>
          <w:color w:val="auto"/>
          <w:kern w:val="0"/>
          <w:szCs w:val="24"/>
          <w:highlight w:val="none"/>
        </w:rPr>
        <w:fldChar w:fldCharType="separate"/>
      </w:r>
      <w:r>
        <w:rPr>
          <w:rFonts w:hint="eastAsia"/>
          <w:color w:val="auto"/>
          <w:highlight w:val="none"/>
        </w:rPr>
        <w:t>第</w:t>
      </w:r>
      <w:r>
        <w:rPr>
          <w:rFonts w:hint="eastAsia"/>
          <w:color w:val="auto"/>
          <w:highlight w:val="none"/>
          <w:lang w:val="en-US" w:eastAsia="zh-CN"/>
        </w:rPr>
        <w:t>三</w:t>
      </w:r>
      <w:r>
        <w:rPr>
          <w:rFonts w:hint="eastAsia"/>
          <w:color w:val="auto"/>
          <w:highlight w:val="none"/>
        </w:rPr>
        <w:t xml:space="preserve">章 </w:t>
      </w:r>
      <w:r>
        <w:rPr>
          <w:rFonts w:hint="eastAsia"/>
          <w:color w:val="auto"/>
          <w:highlight w:val="none"/>
          <w:lang w:val="en-US" w:eastAsia="zh-CN"/>
        </w:rPr>
        <w:t>项目要求</w:t>
      </w:r>
      <w:r>
        <w:rPr>
          <w:color w:val="auto"/>
          <w:highlight w:val="none"/>
        </w:rPr>
        <w:tab/>
      </w:r>
      <w:r>
        <w:rPr>
          <w:color w:val="auto"/>
          <w:highlight w:val="none"/>
        </w:rPr>
        <w:fldChar w:fldCharType="begin"/>
      </w:r>
      <w:r>
        <w:rPr>
          <w:color w:val="auto"/>
          <w:highlight w:val="none"/>
        </w:rPr>
        <w:instrText xml:space="preserve"> PAGEREF _Toc23905 \h </w:instrText>
      </w:r>
      <w:r>
        <w:rPr>
          <w:color w:val="auto"/>
          <w:highlight w:val="none"/>
        </w:rPr>
        <w:fldChar w:fldCharType="separate"/>
      </w:r>
      <w:r>
        <w:rPr>
          <w:color w:val="auto"/>
          <w:highlight w:val="none"/>
        </w:rPr>
        <w:t>- 14 -</w:t>
      </w:r>
      <w:r>
        <w:rPr>
          <w:color w:val="auto"/>
          <w:highlight w:val="none"/>
        </w:rPr>
        <w:fldChar w:fldCharType="end"/>
      </w:r>
      <w:r>
        <w:rPr>
          <w:rFonts w:ascii="宋体"/>
          <w:snapToGrid w:val="0"/>
          <w:color w:val="auto"/>
          <w:kern w:val="0"/>
          <w:szCs w:val="24"/>
          <w:highlight w:val="none"/>
        </w:rPr>
        <w:fldChar w:fldCharType="end"/>
      </w:r>
    </w:p>
    <w:p>
      <w:pPr>
        <w:pStyle w:val="12"/>
        <w:tabs>
          <w:tab w:val="right" w:leader="dot" w:pos="8306"/>
        </w:tabs>
        <w:rPr>
          <w:color w:val="auto"/>
          <w:highlight w:val="none"/>
        </w:rPr>
      </w:pPr>
      <w:r>
        <w:rPr>
          <w:rFonts w:ascii="宋体"/>
          <w:snapToGrid w:val="0"/>
          <w:color w:val="auto"/>
          <w:kern w:val="0"/>
          <w:szCs w:val="24"/>
          <w:highlight w:val="none"/>
        </w:rPr>
        <w:fldChar w:fldCharType="begin"/>
      </w:r>
      <w:r>
        <w:rPr>
          <w:rFonts w:ascii="宋体"/>
          <w:snapToGrid w:val="0"/>
          <w:color w:val="auto"/>
          <w:kern w:val="0"/>
          <w:szCs w:val="24"/>
          <w:highlight w:val="none"/>
        </w:rPr>
        <w:instrText xml:space="preserve"> HYPERLINK \l _Toc7430 </w:instrText>
      </w:r>
      <w:r>
        <w:rPr>
          <w:rFonts w:ascii="宋体"/>
          <w:snapToGrid w:val="0"/>
          <w:color w:val="auto"/>
          <w:kern w:val="0"/>
          <w:szCs w:val="24"/>
          <w:highlight w:val="none"/>
        </w:rPr>
        <w:fldChar w:fldCharType="separate"/>
      </w:r>
      <w:r>
        <w:rPr>
          <w:rFonts w:hint="eastAsia"/>
          <w:color w:val="auto"/>
          <w:highlight w:val="none"/>
          <w:lang w:val="en-US" w:eastAsia="zh-CN"/>
        </w:rPr>
        <w:t>第四章 评审办法（综合评估法）</w:t>
      </w:r>
      <w:r>
        <w:rPr>
          <w:color w:val="auto"/>
          <w:highlight w:val="none"/>
        </w:rPr>
        <w:tab/>
      </w:r>
      <w:r>
        <w:rPr>
          <w:color w:val="auto"/>
          <w:highlight w:val="none"/>
        </w:rPr>
        <w:fldChar w:fldCharType="begin"/>
      </w:r>
      <w:r>
        <w:rPr>
          <w:color w:val="auto"/>
          <w:highlight w:val="none"/>
        </w:rPr>
        <w:instrText xml:space="preserve"> PAGEREF _Toc7430 \h </w:instrText>
      </w:r>
      <w:r>
        <w:rPr>
          <w:color w:val="auto"/>
          <w:highlight w:val="none"/>
        </w:rPr>
        <w:fldChar w:fldCharType="separate"/>
      </w:r>
      <w:r>
        <w:rPr>
          <w:color w:val="auto"/>
          <w:highlight w:val="none"/>
        </w:rPr>
        <w:t>- 17 -</w:t>
      </w:r>
      <w:r>
        <w:rPr>
          <w:color w:val="auto"/>
          <w:highlight w:val="none"/>
        </w:rPr>
        <w:fldChar w:fldCharType="end"/>
      </w:r>
      <w:r>
        <w:rPr>
          <w:rFonts w:ascii="宋体"/>
          <w:snapToGrid w:val="0"/>
          <w:color w:val="auto"/>
          <w:kern w:val="0"/>
          <w:szCs w:val="24"/>
          <w:highlight w:val="none"/>
        </w:rPr>
        <w:fldChar w:fldCharType="end"/>
      </w:r>
    </w:p>
    <w:p>
      <w:pPr>
        <w:pStyle w:val="12"/>
        <w:tabs>
          <w:tab w:val="right" w:leader="dot" w:pos="8306"/>
        </w:tabs>
        <w:rPr>
          <w:color w:val="auto"/>
          <w:highlight w:val="none"/>
        </w:rPr>
      </w:pPr>
      <w:r>
        <w:rPr>
          <w:rFonts w:ascii="宋体"/>
          <w:snapToGrid w:val="0"/>
          <w:color w:val="auto"/>
          <w:kern w:val="0"/>
          <w:szCs w:val="24"/>
          <w:highlight w:val="none"/>
        </w:rPr>
        <w:fldChar w:fldCharType="begin"/>
      </w:r>
      <w:r>
        <w:rPr>
          <w:rFonts w:ascii="宋体"/>
          <w:snapToGrid w:val="0"/>
          <w:color w:val="auto"/>
          <w:kern w:val="0"/>
          <w:szCs w:val="24"/>
          <w:highlight w:val="none"/>
        </w:rPr>
        <w:instrText xml:space="preserve"> HYPERLINK \l _Toc14460 </w:instrText>
      </w:r>
      <w:r>
        <w:rPr>
          <w:rFonts w:ascii="宋体"/>
          <w:snapToGrid w:val="0"/>
          <w:color w:val="auto"/>
          <w:kern w:val="0"/>
          <w:szCs w:val="24"/>
          <w:highlight w:val="none"/>
        </w:rPr>
        <w:fldChar w:fldCharType="separate"/>
      </w:r>
      <w:r>
        <w:rPr>
          <w:rFonts w:hint="eastAsia"/>
          <w:color w:val="auto"/>
          <w:highlight w:val="none"/>
        </w:rPr>
        <w:t>第</w:t>
      </w:r>
      <w:r>
        <w:rPr>
          <w:rFonts w:hint="eastAsia"/>
          <w:color w:val="auto"/>
          <w:highlight w:val="none"/>
          <w:lang w:val="en-US" w:eastAsia="zh-CN"/>
        </w:rPr>
        <w:t>五</w:t>
      </w:r>
      <w:r>
        <w:rPr>
          <w:rFonts w:hint="eastAsia"/>
          <w:color w:val="auto"/>
          <w:highlight w:val="none"/>
        </w:rPr>
        <w:t>章 合同</w:t>
      </w:r>
      <w:r>
        <w:rPr>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_Toc14460 \h </w:instrText>
      </w:r>
      <w:r>
        <w:rPr>
          <w:color w:val="auto"/>
          <w:highlight w:val="none"/>
        </w:rPr>
        <w:fldChar w:fldCharType="separate"/>
      </w:r>
      <w:r>
        <w:rPr>
          <w:color w:val="auto"/>
          <w:highlight w:val="none"/>
        </w:rPr>
        <w:t>- 30 -</w:t>
      </w:r>
      <w:r>
        <w:rPr>
          <w:color w:val="auto"/>
          <w:highlight w:val="none"/>
        </w:rPr>
        <w:fldChar w:fldCharType="end"/>
      </w:r>
      <w:r>
        <w:rPr>
          <w:rFonts w:ascii="宋体"/>
          <w:snapToGrid w:val="0"/>
          <w:color w:val="auto"/>
          <w:kern w:val="0"/>
          <w:szCs w:val="24"/>
          <w:highlight w:val="none"/>
        </w:rPr>
        <w:fldChar w:fldCharType="end"/>
      </w:r>
    </w:p>
    <w:p>
      <w:pPr>
        <w:pStyle w:val="12"/>
        <w:tabs>
          <w:tab w:val="right" w:leader="dot" w:pos="8306"/>
        </w:tabs>
        <w:rPr>
          <w:color w:val="auto"/>
          <w:highlight w:val="none"/>
        </w:rPr>
      </w:pPr>
      <w:r>
        <w:rPr>
          <w:rFonts w:ascii="宋体"/>
          <w:snapToGrid w:val="0"/>
          <w:color w:val="auto"/>
          <w:kern w:val="0"/>
          <w:szCs w:val="24"/>
          <w:highlight w:val="none"/>
        </w:rPr>
        <w:fldChar w:fldCharType="begin"/>
      </w:r>
      <w:r>
        <w:rPr>
          <w:rFonts w:ascii="宋体"/>
          <w:snapToGrid w:val="0"/>
          <w:color w:val="auto"/>
          <w:kern w:val="0"/>
          <w:szCs w:val="24"/>
          <w:highlight w:val="none"/>
        </w:rPr>
        <w:instrText xml:space="preserve"> HYPERLINK \l _Toc283 </w:instrText>
      </w:r>
      <w:r>
        <w:rPr>
          <w:rFonts w:ascii="宋体"/>
          <w:snapToGrid w:val="0"/>
          <w:color w:val="auto"/>
          <w:kern w:val="0"/>
          <w:szCs w:val="24"/>
          <w:highlight w:val="none"/>
        </w:rPr>
        <w:fldChar w:fldCharType="separate"/>
      </w:r>
      <w:r>
        <w:rPr>
          <w:rFonts w:hint="eastAsia"/>
          <w:color w:val="auto"/>
          <w:highlight w:val="none"/>
        </w:rPr>
        <w:t>第</w:t>
      </w:r>
      <w:r>
        <w:rPr>
          <w:rFonts w:hint="eastAsia"/>
          <w:color w:val="auto"/>
          <w:highlight w:val="none"/>
          <w:lang w:val="en-US" w:eastAsia="zh-CN"/>
        </w:rPr>
        <w:t>六</w:t>
      </w:r>
      <w:r>
        <w:rPr>
          <w:rFonts w:hint="eastAsia"/>
          <w:color w:val="auto"/>
          <w:highlight w:val="none"/>
        </w:rPr>
        <w:t>章 参选文件格式</w:t>
      </w:r>
      <w:r>
        <w:rPr>
          <w:color w:val="auto"/>
          <w:highlight w:val="none"/>
        </w:rPr>
        <w:tab/>
      </w:r>
      <w:r>
        <w:rPr>
          <w:color w:val="auto"/>
          <w:highlight w:val="none"/>
        </w:rPr>
        <w:fldChar w:fldCharType="begin"/>
      </w:r>
      <w:r>
        <w:rPr>
          <w:color w:val="auto"/>
          <w:highlight w:val="none"/>
        </w:rPr>
        <w:instrText xml:space="preserve"> PAGEREF _Toc283 \h </w:instrText>
      </w:r>
      <w:r>
        <w:rPr>
          <w:color w:val="auto"/>
          <w:highlight w:val="none"/>
        </w:rPr>
        <w:fldChar w:fldCharType="separate"/>
      </w:r>
      <w:r>
        <w:rPr>
          <w:color w:val="auto"/>
          <w:highlight w:val="none"/>
        </w:rPr>
        <w:t>- 36 -</w:t>
      </w:r>
      <w:r>
        <w:rPr>
          <w:color w:val="auto"/>
          <w:highlight w:val="none"/>
        </w:rPr>
        <w:fldChar w:fldCharType="end"/>
      </w:r>
      <w:r>
        <w:rPr>
          <w:rFonts w:ascii="宋体"/>
          <w:snapToGrid w:val="0"/>
          <w:color w:val="auto"/>
          <w:kern w:val="0"/>
          <w:szCs w:val="24"/>
          <w:highlight w:val="none"/>
        </w:rPr>
        <w:fldChar w:fldCharType="end"/>
      </w:r>
    </w:p>
    <w:p>
      <w:pPr>
        <w:widowControl/>
        <w:jc w:val="left"/>
        <w:rPr>
          <w:rFonts w:ascii="宋体"/>
          <w:snapToGrid w:val="0"/>
          <w:color w:val="auto"/>
          <w:kern w:val="0"/>
          <w:sz w:val="24"/>
          <w:szCs w:val="24"/>
          <w:highlight w:val="none"/>
        </w:rPr>
      </w:pPr>
      <w:r>
        <w:rPr>
          <w:rFonts w:ascii="宋体"/>
          <w:snapToGrid w:val="0"/>
          <w:color w:val="auto"/>
          <w:kern w:val="0"/>
          <w:szCs w:val="24"/>
          <w:highlight w:val="none"/>
        </w:rPr>
        <w:fldChar w:fldCharType="end"/>
      </w:r>
    </w:p>
    <w:p>
      <w:pPr>
        <w:widowControl/>
        <w:jc w:val="left"/>
        <w:rPr>
          <w:rFonts w:ascii="宋体"/>
          <w:snapToGrid w:val="0"/>
          <w:color w:val="auto"/>
          <w:kern w:val="0"/>
          <w:sz w:val="24"/>
          <w:szCs w:val="24"/>
          <w:highlight w:val="none"/>
        </w:rPr>
        <w:sectPr>
          <w:pgSz w:w="11906" w:h="16838"/>
          <w:pgMar w:top="1440" w:right="1800" w:bottom="1440" w:left="1800" w:header="851" w:footer="992" w:gutter="0"/>
          <w:pgNumType w:fmt="numberInDash" w:start="1"/>
          <w:cols w:space="720" w:num="1"/>
          <w:docGrid w:type="lines" w:linePitch="326" w:charSpace="0"/>
        </w:sectPr>
      </w:pPr>
    </w:p>
    <w:p>
      <w:pPr>
        <w:pStyle w:val="3"/>
        <w:bidi w:val="0"/>
        <w:rPr>
          <w:rFonts w:hint="eastAsia"/>
          <w:color w:val="auto"/>
          <w:highlight w:val="none"/>
          <w:lang w:val="en-US" w:eastAsia="zh-CN"/>
        </w:rPr>
      </w:pPr>
      <w:bookmarkStart w:id="0" w:name="_Toc440628903"/>
      <w:bookmarkStart w:id="1" w:name="_Toc678"/>
      <w:bookmarkStart w:id="2" w:name="_Toc469574661"/>
      <w:bookmarkStart w:id="3" w:name="_Toc6745"/>
      <w:bookmarkStart w:id="4" w:name="_Toc27776"/>
      <w:bookmarkStart w:id="5" w:name="_Toc12809"/>
      <w:r>
        <w:rPr>
          <w:rFonts w:hint="eastAsia"/>
          <w:color w:val="auto"/>
          <w:highlight w:val="none"/>
        </w:rPr>
        <w:t>第一章</w:t>
      </w:r>
      <w:bookmarkEnd w:id="0"/>
      <w:r>
        <w:rPr>
          <w:rFonts w:hint="eastAsia"/>
          <w:color w:val="auto"/>
          <w:highlight w:val="none"/>
        </w:rPr>
        <w:t xml:space="preserve"> 比选公告</w:t>
      </w:r>
      <w:bookmarkEnd w:id="1"/>
      <w:bookmarkEnd w:id="2"/>
      <w:bookmarkEnd w:id="3"/>
      <w:bookmarkEnd w:id="4"/>
      <w:bookmarkEnd w:id="5"/>
    </w:p>
    <w:p>
      <w:pPr>
        <w:keepNext w:val="0"/>
        <w:keepLines w:val="0"/>
        <w:pageBreakBefore w:val="0"/>
        <w:widowControl w:val="0"/>
        <w:kinsoku/>
        <w:wordWrap/>
        <w:overflowPunct/>
        <w:topLinePunct w:val="0"/>
        <w:autoSpaceDE w:val="0"/>
        <w:autoSpaceDN w:val="0"/>
        <w:bidi w:val="0"/>
        <w:adjustRightInd/>
        <w:snapToGrid/>
        <w:ind w:left="0" w:right="0" w:firstLine="0" w:firstLineChars="0"/>
        <w:jc w:val="center"/>
        <w:textAlignment w:val="auto"/>
        <w:rPr>
          <w:color w:val="auto"/>
          <w:sz w:val="44"/>
          <w:szCs w:val="32"/>
          <w:highlight w:val="none"/>
          <w:u w:val="none"/>
          <w:lang w:val="en-US" w:eastAsia="zh-CN"/>
        </w:rPr>
      </w:pPr>
      <w:r>
        <w:rPr>
          <w:color w:val="auto"/>
          <w:sz w:val="44"/>
          <w:szCs w:val="32"/>
          <w:highlight w:val="none"/>
          <w:u w:val="none"/>
          <w:lang w:val="en-US" w:eastAsia="zh-CN"/>
        </w:rPr>
        <w:t>重庆三峡银行理财产品外部审计</w:t>
      </w:r>
      <w:r>
        <w:rPr>
          <w:rFonts w:hint="eastAsia"/>
          <w:color w:val="auto"/>
          <w:sz w:val="44"/>
          <w:szCs w:val="32"/>
          <w:highlight w:val="none"/>
          <w:u w:val="none"/>
          <w:lang w:val="en-US" w:eastAsia="zh-CN"/>
        </w:rPr>
        <w:t>比选</w:t>
      </w:r>
      <w:r>
        <w:rPr>
          <w:rFonts w:hint="eastAsia"/>
          <w:color w:val="auto"/>
          <w:sz w:val="44"/>
          <w:szCs w:val="32"/>
          <w:highlight w:val="none"/>
          <w:u w:val="none"/>
          <w:lang w:eastAsia="zh-CN"/>
        </w:rPr>
        <w:t>公告</w:t>
      </w:r>
    </w:p>
    <w:p>
      <w:pPr>
        <w:bidi w:val="0"/>
        <w:rPr>
          <w:color w:val="auto"/>
          <w:highlight w:val="none"/>
        </w:rPr>
      </w:pPr>
      <w:bookmarkStart w:id="6" w:name="_Toc55379218"/>
      <w:bookmarkStart w:id="7" w:name="_Toc89675127"/>
      <w:bookmarkStart w:id="8" w:name="_Toc55379224"/>
      <w:bookmarkStart w:id="9" w:name="_Toc469574670"/>
      <w:bookmarkStart w:id="10" w:name="_Toc89675133"/>
      <w:bookmarkStart w:id="11" w:name="_Toc250565211"/>
      <w:r>
        <w:rPr>
          <w:color w:val="auto"/>
          <w:highlight w:val="none"/>
        </w:rPr>
        <w:t>本项目已由重庆三峡银行股份有限公司批准实施，采购人为重庆三峡银行股份有限公司，资金来源自筹，项目已具备采购条件</w:t>
      </w:r>
      <w:r>
        <w:rPr>
          <w:rFonts w:hint="eastAsia"/>
          <w:color w:val="auto"/>
          <w:highlight w:val="none"/>
        </w:rPr>
        <w:t>。现对</w:t>
      </w:r>
      <w:r>
        <w:rPr>
          <w:rFonts w:hint="eastAsia" w:ascii="宋体" w:cs="Cambria"/>
          <w:snapToGrid w:val="0"/>
          <w:color w:val="auto"/>
          <w:kern w:val="0"/>
          <w:szCs w:val="24"/>
          <w:highlight w:val="none"/>
        </w:rPr>
        <w:t>重庆三峡银行</w:t>
      </w:r>
      <w:r>
        <w:rPr>
          <w:rFonts w:ascii="宋体" w:cs="Cambria"/>
          <w:snapToGrid w:val="0"/>
          <w:color w:val="auto"/>
          <w:kern w:val="0"/>
          <w:szCs w:val="24"/>
          <w:highlight w:val="none"/>
        </w:rPr>
        <w:t>理财产品外部审计</w:t>
      </w:r>
      <w:r>
        <w:rPr>
          <w:rFonts w:hint="eastAsia"/>
          <w:color w:val="auto"/>
          <w:highlight w:val="none"/>
        </w:rPr>
        <w:t>项目进行公开比选，</w:t>
      </w:r>
      <w:r>
        <w:rPr>
          <w:color w:val="auto"/>
          <w:highlight w:val="none"/>
        </w:rPr>
        <w:t>特邀请有</w:t>
      </w:r>
      <w:bookmarkStart w:id="12" w:name="_Hlk59455120"/>
      <w:r>
        <w:rPr>
          <w:color w:val="auto"/>
          <w:highlight w:val="none"/>
        </w:rPr>
        <w:t>意向</w:t>
      </w:r>
      <w:bookmarkEnd w:id="12"/>
      <w:r>
        <w:rPr>
          <w:color w:val="auto"/>
          <w:highlight w:val="none"/>
        </w:rPr>
        <w:t>的潜在</w:t>
      </w:r>
      <w:r>
        <w:rPr>
          <w:rFonts w:hint="eastAsia"/>
          <w:color w:val="auto"/>
          <w:highlight w:val="none"/>
          <w:lang w:eastAsia="zh-CN"/>
        </w:rPr>
        <w:t>参选</w:t>
      </w:r>
      <w:r>
        <w:rPr>
          <w:color w:val="auto"/>
          <w:highlight w:val="none"/>
        </w:rPr>
        <w:t>人进行</w:t>
      </w:r>
      <w:r>
        <w:rPr>
          <w:rFonts w:hint="eastAsia"/>
          <w:color w:val="auto"/>
          <w:highlight w:val="none"/>
          <w:lang w:eastAsia="zh-CN"/>
        </w:rPr>
        <w:t>参选</w:t>
      </w:r>
      <w:r>
        <w:rPr>
          <w:color w:val="auto"/>
          <w:highlight w:val="none"/>
        </w:rPr>
        <w:t>。</w:t>
      </w:r>
    </w:p>
    <w:p>
      <w:pPr>
        <w:pStyle w:val="4"/>
        <w:bidi w:val="0"/>
        <w:rPr>
          <w:color w:val="auto"/>
          <w:highlight w:val="none"/>
        </w:rPr>
      </w:pPr>
      <w:r>
        <w:rPr>
          <w:rFonts w:hint="eastAsia"/>
          <w:color w:val="auto"/>
          <w:highlight w:val="none"/>
          <w:lang w:val="en-US" w:eastAsia="zh-CN"/>
        </w:rPr>
        <w:t xml:space="preserve">1. </w:t>
      </w:r>
      <w:r>
        <w:rPr>
          <w:rFonts w:hint="eastAsia"/>
          <w:color w:val="auto"/>
          <w:highlight w:val="none"/>
        </w:rPr>
        <w:t>比选项目内容</w:t>
      </w:r>
      <w:bookmarkEnd w:id="6"/>
      <w:bookmarkEnd w:id="7"/>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b/>
                <w:snapToGrid w:val="0"/>
                <w:color w:val="auto"/>
                <w:kern w:val="0"/>
                <w:sz w:val="21"/>
                <w:szCs w:val="21"/>
                <w:highlight w:val="none"/>
              </w:rPr>
            </w:pPr>
            <w:r>
              <w:rPr>
                <w:rFonts w:hint="eastAsia" w:ascii="宋体" w:cs="Cambria"/>
                <w:b/>
                <w:snapToGrid w:val="0"/>
                <w:color w:val="auto"/>
                <w:kern w:val="0"/>
                <w:sz w:val="21"/>
                <w:szCs w:val="21"/>
                <w:highlight w:val="none"/>
              </w:rPr>
              <w:t>序号</w:t>
            </w:r>
          </w:p>
        </w:tc>
        <w:tc>
          <w:tcPr>
            <w:tcW w:w="28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b/>
                <w:snapToGrid w:val="0"/>
                <w:color w:val="auto"/>
                <w:kern w:val="0"/>
                <w:sz w:val="21"/>
                <w:szCs w:val="21"/>
                <w:highlight w:val="none"/>
              </w:rPr>
            </w:pPr>
            <w:r>
              <w:rPr>
                <w:rFonts w:hint="eastAsia" w:ascii="宋体" w:cs="Cambria"/>
                <w:b/>
                <w:snapToGrid w:val="0"/>
                <w:color w:val="auto"/>
                <w:kern w:val="0"/>
                <w:sz w:val="21"/>
                <w:szCs w:val="21"/>
                <w:highlight w:val="none"/>
              </w:rPr>
              <w:t>项目名称</w:t>
            </w:r>
          </w:p>
        </w:tc>
        <w:tc>
          <w:tcPr>
            <w:tcW w:w="16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b/>
                <w:snapToGrid w:val="0"/>
                <w:color w:val="auto"/>
                <w:kern w:val="0"/>
                <w:sz w:val="21"/>
                <w:szCs w:val="21"/>
                <w:highlight w:val="none"/>
              </w:rPr>
            </w:pPr>
            <w:r>
              <w:rPr>
                <w:rFonts w:hint="eastAsia" w:ascii="宋体" w:cs="Cambria"/>
                <w:b/>
                <w:snapToGrid w:val="0"/>
                <w:color w:val="auto"/>
                <w:kern w:val="0"/>
                <w:sz w:val="21"/>
                <w:szCs w:val="21"/>
                <w:highlight w:val="none"/>
              </w:rPr>
              <w:t>最高限价</w:t>
            </w:r>
          </w:p>
        </w:tc>
        <w:tc>
          <w:tcPr>
            <w:tcW w:w="17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b/>
                <w:snapToGrid w:val="0"/>
                <w:color w:val="auto"/>
                <w:kern w:val="0"/>
                <w:sz w:val="21"/>
                <w:szCs w:val="21"/>
                <w:highlight w:val="none"/>
              </w:rPr>
            </w:pPr>
            <w:r>
              <w:rPr>
                <w:rFonts w:hint="eastAsia" w:ascii="宋体" w:cs="Cambria"/>
                <w:b/>
                <w:snapToGrid w:val="0"/>
                <w:color w:val="auto"/>
                <w:kern w:val="0"/>
                <w:sz w:val="21"/>
                <w:szCs w:val="21"/>
                <w:highlight w:val="none"/>
                <w:lang w:eastAsia="zh-CN"/>
              </w:rPr>
              <w:t>中选</w:t>
            </w:r>
            <w:r>
              <w:rPr>
                <w:rFonts w:hint="eastAsia" w:ascii="宋体" w:cs="Cambria"/>
                <w:b/>
                <w:snapToGrid w:val="0"/>
                <w:color w:val="auto"/>
                <w:kern w:val="0"/>
                <w:sz w:val="21"/>
                <w:szCs w:val="21"/>
                <w:highlight w:val="none"/>
              </w:rPr>
              <w:t>人数量</w:t>
            </w:r>
          </w:p>
        </w:tc>
        <w:tc>
          <w:tcPr>
            <w:tcW w:w="17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eastAsia="宋体" w:cs="Cambria"/>
                <w:b/>
                <w:snapToGrid w:val="0"/>
                <w:color w:val="auto"/>
                <w:kern w:val="0"/>
                <w:sz w:val="21"/>
                <w:szCs w:val="21"/>
                <w:highlight w:val="none"/>
                <w:lang w:eastAsia="zh-CN"/>
              </w:rPr>
            </w:pPr>
            <w:r>
              <w:rPr>
                <w:rFonts w:hint="eastAsia" w:ascii="宋体" w:cs="Cambria"/>
                <w:b/>
                <w:snapToGrid w:val="0"/>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snapToGrid w:val="0"/>
                <w:color w:val="auto"/>
                <w:kern w:val="0"/>
                <w:sz w:val="21"/>
                <w:szCs w:val="21"/>
                <w:highlight w:val="none"/>
              </w:rPr>
            </w:pPr>
            <w:r>
              <w:rPr>
                <w:rFonts w:hint="eastAsia" w:ascii="宋体" w:cs="Cambria"/>
                <w:snapToGrid w:val="0"/>
                <w:color w:val="auto"/>
                <w:kern w:val="0"/>
                <w:sz w:val="21"/>
                <w:szCs w:val="21"/>
                <w:highlight w:val="none"/>
              </w:rPr>
              <w:t>1</w:t>
            </w:r>
          </w:p>
        </w:tc>
        <w:tc>
          <w:tcPr>
            <w:tcW w:w="28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snapToGrid w:val="0"/>
                <w:color w:val="auto"/>
                <w:kern w:val="0"/>
                <w:sz w:val="21"/>
                <w:szCs w:val="21"/>
                <w:highlight w:val="none"/>
              </w:rPr>
            </w:pPr>
            <w:r>
              <w:rPr>
                <w:rFonts w:ascii="宋体" w:cs="Cambria"/>
                <w:snapToGrid w:val="0"/>
                <w:color w:val="auto"/>
                <w:kern w:val="0"/>
                <w:sz w:val="21"/>
                <w:szCs w:val="21"/>
                <w:highlight w:val="none"/>
              </w:rPr>
              <w:t>重庆三峡银行理财产品外部审计项目</w:t>
            </w:r>
          </w:p>
        </w:tc>
        <w:tc>
          <w:tcPr>
            <w:tcW w:w="16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snapToGrid w:val="0"/>
                <w:color w:val="auto"/>
                <w:kern w:val="0"/>
                <w:sz w:val="21"/>
                <w:szCs w:val="21"/>
                <w:highlight w:val="none"/>
              </w:rPr>
            </w:pPr>
            <w:r>
              <w:rPr>
                <w:color w:val="auto"/>
                <w:highlight w:val="none"/>
                <w:u w:val="single"/>
                <w:lang w:val="en-US" w:eastAsia="zh-CN"/>
              </w:rPr>
              <w:t>838,000.00元</w:t>
            </w:r>
          </w:p>
        </w:tc>
        <w:tc>
          <w:tcPr>
            <w:tcW w:w="17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snapToGrid w:val="0"/>
                <w:color w:val="auto"/>
                <w:kern w:val="0"/>
                <w:sz w:val="21"/>
                <w:szCs w:val="21"/>
                <w:highlight w:val="none"/>
              </w:rPr>
            </w:pPr>
            <w:r>
              <w:rPr>
                <w:rFonts w:ascii="宋体" w:cs="Cambria"/>
                <w:snapToGrid w:val="0"/>
                <w:color w:val="auto"/>
                <w:kern w:val="0"/>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cs="Cambria"/>
                <w:snapToGrid w:val="0"/>
                <w:color w:val="auto"/>
                <w:kern w:val="0"/>
                <w:sz w:val="21"/>
                <w:szCs w:val="21"/>
                <w:highlight w:val="none"/>
              </w:rPr>
            </w:pPr>
          </w:p>
        </w:tc>
      </w:tr>
    </w:tbl>
    <w:p>
      <w:pPr>
        <w:pStyle w:val="4"/>
        <w:bidi w:val="0"/>
        <w:rPr>
          <w:color w:val="auto"/>
          <w:highlight w:val="none"/>
        </w:rPr>
      </w:pPr>
      <w:bookmarkStart w:id="13" w:name="_Toc288224935"/>
      <w:bookmarkStart w:id="14" w:name="_Toc89675128"/>
      <w:bookmarkStart w:id="15" w:name="_Toc55379219"/>
      <w:bookmarkStart w:id="16" w:name="_Toc469574664"/>
      <w:bookmarkStart w:id="17" w:name="_Toc297817088"/>
      <w:r>
        <w:rPr>
          <w:rFonts w:hint="eastAsia"/>
          <w:color w:val="auto"/>
          <w:highlight w:val="none"/>
          <w:lang w:val="en-US" w:eastAsia="zh-CN"/>
        </w:rPr>
        <w:t xml:space="preserve">2. </w:t>
      </w:r>
      <w:r>
        <w:rPr>
          <w:rFonts w:hint="eastAsia"/>
          <w:color w:val="auto"/>
          <w:highlight w:val="none"/>
        </w:rPr>
        <w:t>参选人资格要求</w:t>
      </w:r>
      <w:bookmarkEnd w:id="13"/>
      <w:bookmarkEnd w:id="14"/>
      <w:bookmarkEnd w:id="15"/>
      <w:bookmarkEnd w:id="16"/>
      <w:bookmarkEnd w:id="17"/>
    </w:p>
    <w:p>
      <w:pPr>
        <w:bidi w:val="0"/>
        <w:rPr>
          <w:rFonts w:hint="eastAsia"/>
          <w:color w:val="auto"/>
          <w:highlight w:val="none"/>
          <w:lang w:val="en-US" w:eastAsia="zh-CN"/>
        </w:rPr>
      </w:pPr>
      <w:bookmarkStart w:id="18" w:name="_Hlk55488870"/>
      <w:r>
        <w:rPr>
          <w:rFonts w:hint="eastAsia"/>
          <w:color w:val="auto"/>
          <w:highlight w:val="none"/>
          <w:lang w:val="en-US" w:eastAsia="zh-CN"/>
        </w:rPr>
        <w:t>2.1 参选人应当具备承担比选项目的能力；</w:t>
      </w:r>
    </w:p>
    <w:p>
      <w:pPr>
        <w:bidi w:val="0"/>
        <w:rPr>
          <w:rFonts w:hint="eastAsia"/>
          <w:color w:val="auto"/>
          <w:highlight w:val="none"/>
          <w:lang w:val="en-US" w:eastAsia="zh-CN"/>
        </w:rPr>
      </w:pPr>
      <w:r>
        <w:rPr>
          <w:rFonts w:hint="eastAsia"/>
          <w:color w:val="auto"/>
          <w:highlight w:val="none"/>
          <w:lang w:val="en-US" w:eastAsia="zh-C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pPr>
        <w:bidi w:val="0"/>
        <w:rPr>
          <w:color w:val="auto"/>
          <w:highlight w:val="none"/>
          <w:lang w:val="en-US" w:eastAsia="zh-CN"/>
        </w:rPr>
      </w:pPr>
      <w:r>
        <w:rPr>
          <w:rFonts w:hint="eastAsia"/>
          <w:color w:val="auto"/>
          <w:highlight w:val="none"/>
          <w:lang w:val="en-US" w:eastAsia="zh-CN"/>
        </w:rPr>
        <w:t>注：若为法定代表人（分支机构负责人）办理并签署参选文件的，不提供授权代表委托书。</w:t>
      </w:r>
    </w:p>
    <w:p>
      <w:pPr>
        <w:bidi w:val="0"/>
        <w:rPr>
          <w:rFonts w:hint="eastAsia"/>
          <w:color w:val="auto"/>
          <w:highlight w:val="none"/>
          <w:lang w:val="en-US" w:eastAsia="zh-CN"/>
        </w:rPr>
      </w:pPr>
      <w:r>
        <w:rPr>
          <w:rFonts w:hint="eastAsia"/>
          <w:color w:val="auto"/>
          <w:highlight w:val="none"/>
          <w:lang w:val="en-US" w:eastAsia="zh-CN"/>
        </w:rPr>
        <w:t>2.2 具有良好的商业信誉和健全的财务会计制度【提供书面声明】；</w:t>
      </w:r>
    </w:p>
    <w:p>
      <w:pPr>
        <w:bidi w:val="0"/>
        <w:rPr>
          <w:rFonts w:hint="eastAsia"/>
          <w:color w:val="auto"/>
          <w:highlight w:val="none"/>
          <w:lang w:val="en-US" w:eastAsia="zh-CN"/>
        </w:rPr>
      </w:pPr>
      <w:r>
        <w:rPr>
          <w:rFonts w:hint="eastAsia"/>
          <w:color w:val="auto"/>
          <w:highlight w:val="none"/>
          <w:lang w:val="en-US" w:eastAsia="zh-CN"/>
        </w:rPr>
        <w:t>2.3 具有履行合同所必需的设备和专业技术能力【提供书面声明】；</w:t>
      </w:r>
    </w:p>
    <w:p>
      <w:pPr>
        <w:bidi w:val="0"/>
        <w:rPr>
          <w:rFonts w:hint="eastAsia"/>
          <w:color w:val="auto"/>
          <w:highlight w:val="none"/>
          <w:lang w:val="en-US" w:eastAsia="zh-CN"/>
        </w:rPr>
      </w:pPr>
      <w:r>
        <w:rPr>
          <w:rFonts w:hint="eastAsia"/>
          <w:color w:val="auto"/>
          <w:highlight w:val="none"/>
          <w:lang w:val="en-US" w:eastAsia="zh-CN"/>
        </w:rPr>
        <w:t>2.4 有依法缴纳税收和社会保障金的良好记录【提供书面声明】；</w:t>
      </w:r>
    </w:p>
    <w:p>
      <w:pPr>
        <w:bidi w:val="0"/>
        <w:rPr>
          <w:rFonts w:hint="eastAsia"/>
          <w:color w:val="auto"/>
          <w:highlight w:val="none"/>
          <w:lang w:val="en-US" w:eastAsia="zh-CN"/>
        </w:rPr>
      </w:pPr>
      <w:r>
        <w:rPr>
          <w:rFonts w:hint="eastAsia"/>
          <w:color w:val="auto"/>
          <w:highlight w:val="none"/>
          <w:lang w:val="en-US" w:eastAsia="zh-CN"/>
        </w:rPr>
        <w:t>2.5 三年内在经营活动中没有重大违法记录【提供书面声明】；</w:t>
      </w:r>
    </w:p>
    <w:p>
      <w:pPr>
        <w:bidi w:val="0"/>
        <w:rPr>
          <w:rFonts w:hint="eastAsia"/>
          <w:color w:val="auto"/>
          <w:highlight w:val="none"/>
          <w:lang w:val="en-US" w:eastAsia="zh-CN"/>
        </w:rPr>
      </w:pPr>
      <w:r>
        <w:rPr>
          <w:rFonts w:hint="eastAsia"/>
          <w:color w:val="auto"/>
          <w:highlight w:val="none"/>
          <w:lang w:val="en-US" w:eastAsia="zh-CN"/>
        </w:rPr>
        <w:t>2.6 法人及法定代表人没有被人民法院列为失信被执行人名单【提供中国执行信息公开网截图</w:t>
      </w:r>
      <w:r>
        <w:rPr>
          <w:rFonts w:hint="eastAsia" w:eastAsia="宋体"/>
          <w:color w:val="auto"/>
          <w:highlight w:val="none"/>
          <w:lang w:val="en-US" w:eastAsia="zh-CN"/>
        </w:rPr>
        <w:t>并加盖单位鲜章</w:t>
      </w:r>
      <w:r>
        <w:rPr>
          <w:rFonts w:hint="eastAsia"/>
          <w:color w:val="auto"/>
          <w:highlight w:val="none"/>
          <w:lang w:val="en-US" w:eastAsia="zh-CN"/>
        </w:rPr>
        <w:t>】；</w:t>
      </w:r>
    </w:p>
    <w:p>
      <w:pPr>
        <w:bidi w:val="0"/>
        <w:rPr>
          <w:rFonts w:hint="eastAsia"/>
          <w:color w:val="auto"/>
          <w:highlight w:val="none"/>
          <w:lang w:val="en-US" w:eastAsia="zh-CN"/>
        </w:rPr>
      </w:pPr>
      <w:r>
        <w:rPr>
          <w:rFonts w:hint="eastAsia"/>
          <w:color w:val="auto"/>
          <w:highlight w:val="none"/>
          <w:lang w:val="en-US" w:eastAsia="zh-CN"/>
        </w:rPr>
        <w:t>2.7 本项目不允许任何形式的转包【提供书面声明】；</w:t>
      </w:r>
    </w:p>
    <w:p>
      <w:pPr>
        <w:bidi w:val="0"/>
        <w:rPr>
          <w:rFonts w:hint="eastAsia"/>
          <w:color w:val="auto"/>
          <w:highlight w:val="none"/>
          <w:lang w:val="en-US" w:eastAsia="zh-CN"/>
        </w:rPr>
      </w:pPr>
      <w:r>
        <w:rPr>
          <w:rFonts w:hint="eastAsia"/>
          <w:color w:val="auto"/>
          <w:highlight w:val="none"/>
          <w:lang w:val="en-US" w:eastAsia="zh-CN"/>
        </w:rPr>
        <w:t>2.8 本次招标不接受联合体参选；</w:t>
      </w:r>
    </w:p>
    <w:p>
      <w:pPr>
        <w:bidi w:val="0"/>
        <w:rPr>
          <w:rFonts w:hint="eastAsia"/>
          <w:color w:val="auto"/>
          <w:highlight w:val="none"/>
          <w:lang w:val="en-US" w:eastAsia="zh-CN"/>
        </w:rPr>
      </w:pPr>
      <w:r>
        <w:rPr>
          <w:rFonts w:hint="eastAsia"/>
          <w:color w:val="auto"/>
          <w:highlight w:val="none"/>
          <w:lang w:val="en-US" w:eastAsia="zh-CN"/>
        </w:rPr>
        <w:t xml:space="preserve">2.9 </w:t>
      </w:r>
      <w:r>
        <w:rPr>
          <w:rFonts w:hint="eastAsia"/>
          <w:color w:val="auto"/>
          <w:highlight w:val="none"/>
        </w:rPr>
        <w:t>近3年</w:t>
      </w:r>
      <w:r>
        <w:rPr>
          <w:rFonts w:hint="eastAsia"/>
          <w:color w:val="auto"/>
          <w:highlight w:val="none"/>
          <w:lang w:eastAsia="zh-CN"/>
        </w:rPr>
        <w:t>（</w:t>
      </w:r>
      <w:r>
        <w:rPr>
          <w:rFonts w:hint="eastAsia"/>
          <w:color w:val="auto"/>
          <w:highlight w:val="none"/>
        </w:rPr>
        <w:t>20</w:t>
      </w:r>
      <w:r>
        <w:rPr>
          <w:color w:val="auto"/>
          <w:highlight w:val="none"/>
        </w:rPr>
        <w:t>21</w:t>
      </w:r>
      <w:r>
        <w:rPr>
          <w:rFonts w:hint="eastAsia"/>
          <w:color w:val="auto"/>
          <w:highlight w:val="none"/>
        </w:rPr>
        <w:t>年</w:t>
      </w:r>
      <w:r>
        <w:rPr>
          <w:color w:val="auto"/>
          <w:highlight w:val="none"/>
        </w:rPr>
        <w:t>1</w:t>
      </w:r>
      <w:r>
        <w:rPr>
          <w:rFonts w:hint="eastAsia"/>
          <w:color w:val="auto"/>
          <w:highlight w:val="none"/>
        </w:rPr>
        <w:t>月1日至今</w:t>
      </w:r>
      <w:r>
        <w:rPr>
          <w:rFonts w:hint="eastAsia"/>
          <w:color w:val="auto"/>
          <w:highlight w:val="none"/>
          <w:lang w:eastAsia="zh-CN"/>
        </w:rPr>
        <w:t>）</w:t>
      </w:r>
      <w:r>
        <w:rPr>
          <w:rFonts w:hint="eastAsia"/>
          <w:color w:val="auto"/>
          <w:highlight w:val="none"/>
        </w:rPr>
        <w:t>具有</w:t>
      </w:r>
      <w:r>
        <w:rPr>
          <w:color w:val="auto"/>
          <w:highlight w:val="none"/>
        </w:rPr>
        <w:t>资管产品外部审计</w:t>
      </w:r>
      <w:r>
        <w:rPr>
          <w:rFonts w:hint="eastAsia"/>
          <w:color w:val="auto"/>
          <w:highlight w:val="none"/>
        </w:rPr>
        <w:t>相关实施案例</w:t>
      </w:r>
      <w:r>
        <w:rPr>
          <w:rFonts w:hint="eastAsia"/>
          <w:color w:val="auto"/>
          <w:highlight w:val="none"/>
          <w:lang w:eastAsia="zh-CN"/>
        </w:rPr>
        <w:t>，（</w:t>
      </w:r>
      <w:r>
        <w:rPr>
          <w:rFonts w:hint="eastAsia"/>
          <w:color w:val="auto"/>
          <w:highlight w:val="none"/>
        </w:rPr>
        <w:t>需提供合同复印件和项目简介</w:t>
      </w:r>
      <w:r>
        <w:rPr>
          <w:rFonts w:hint="eastAsia"/>
          <w:color w:val="auto"/>
          <w:highlight w:val="none"/>
          <w:lang w:eastAsia="zh-CN"/>
        </w:rPr>
        <w:t>）</w:t>
      </w:r>
      <w:r>
        <w:rPr>
          <w:rFonts w:hint="eastAsia"/>
          <w:color w:val="auto"/>
          <w:highlight w:val="none"/>
        </w:rPr>
        <w:t>不少于</w:t>
      </w:r>
      <w:r>
        <w:rPr>
          <w:color w:val="auto"/>
          <w:highlight w:val="none"/>
        </w:rPr>
        <w:t>2</w:t>
      </w:r>
      <w:r>
        <w:rPr>
          <w:rFonts w:hint="eastAsia"/>
          <w:color w:val="auto"/>
          <w:highlight w:val="none"/>
        </w:rPr>
        <w:t>家</w:t>
      </w:r>
      <w:r>
        <w:rPr>
          <w:rFonts w:hint="eastAsia"/>
          <w:color w:val="auto"/>
          <w:highlight w:val="none"/>
          <w:lang w:eastAsia="zh-CN"/>
        </w:rPr>
        <w:t>，</w:t>
      </w:r>
      <w:r>
        <w:rPr>
          <w:rFonts w:hint="eastAsia"/>
          <w:color w:val="auto"/>
          <w:highlight w:val="none"/>
        </w:rPr>
        <w:t>低于</w:t>
      </w:r>
      <w:r>
        <w:rPr>
          <w:color w:val="auto"/>
          <w:highlight w:val="none"/>
        </w:rPr>
        <w:t>2</w:t>
      </w:r>
      <w:r>
        <w:rPr>
          <w:rFonts w:hint="eastAsia"/>
          <w:color w:val="auto"/>
          <w:highlight w:val="none"/>
        </w:rPr>
        <w:t>个案例（不含</w:t>
      </w:r>
      <w:r>
        <w:rPr>
          <w:color w:val="auto"/>
          <w:highlight w:val="none"/>
        </w:rPr>
        <w:t>2</w:t>
      </w:r>
      <w:r>
        <w:rPr>
          <w:rFonts w:hint="eastAsia"/>
          <w:color w:val="auto"/>
          <w:highlight w:val="none"/>
        </w:rPr>
        <w:t>个）取消参选资质</w:t>
      </w:r>
      <w:r>
        <w:rPr>
          <w:rFonts w:hint="eastAsia"/>
          <w:color w:val="auto"/>
          <w:highlight w:val="none"/>
          <w:lang w:eastAsia="zh-CN"/>
        </w:rPr>
        <w:t>【案例须同时提供合同关键页复印件、合同对应的发票之一和网上税务系统查询该发票截图。（发票开具日期须晚于合同签订日期、发票购买方须与合同买方一致、发票销售方须与合同卖方（参选人）一致）】。</w:t>
      </w:r>
    </w:p>
    <w:p>
      <w:pPr>
        <w:bidi w:val="0"/>
        <w:rPr>
          <w:color w:val="auto"/>
          <w:highlight w:val="none"/>
        </w:rPr>
      </w:pPr>
      <w:r>
        <w:rPr>
          <w:rFonts w:hint="eastAsia"/>
          <w:color w:val="auto"/>
          <w:highlight w:val="none"/>
        </w:rPr>
        <w:t>注:以上证明文件若比选人存疑，参选人需提供原件备查，参选文件中须附相关证明文件复印件并逐页加盖公章。</w:t>
      </w:r>
    </w:p>
    <w:p>
      <w:pPr>
        <w:bidi w:val="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p>
    <w:bookmarkEnd w:id="18"/>
    <w:p>
      <w:pPr>
        <w:pStyle w:val="4"/>
        <w:bidi w:val="0"/>
        <w:rPr>
          <w:color w:val="auto"/>
          <w:highlight w:val="none"/>
        </w:rPr>
      </w:pPr>
      <w:bookmarkStart w:id="19" w:name="_Toc55379220"/>
      <w:bookmarkStart w:id="20" w:name="_Toc297817090"/>
      <w:bookmarkStart w:id="21" w:name="_Toc469574667"/>
      <w:bookmarkStart w:id="22" w:name="_Toc89675130"/>
      <w:r>
        <w:rPr>
          <w:rFonts w:hint="eastAsia"/>
          <w:color w:val="auto"/>
          <w:highlight w:val="none"/>
          <w:lang w:val="en-US" w:eastAsia="zh-CN"/>
        </w:rPr>
        <w:t xml:space="preserve">3. </w:t>
      </w:r>
      <w:r>
        <w:rPr>
          <w:rFonts w:hint="eastAsia"/>
          <w:color w:val="auto"/>
          <w:highlight w:val="none"/>
        </w:rPr>
        <w:t>比选文件的获取</w:t>
      </w:r>
      <w:bookmarkEnd w:id="19"/>
    </w:p>
    <w:p>
      <w:pPr>
        <w:bidi w:val="0"/>
        <w:rPr>
          <w:rFonts w:hint="eastAsia"/>
          <w:color w:val="auto"/>
          <w:highlight w:val="none"/>
        </w:rPr>
      </w:pPr>
      <w:r>
        <w:rPr>
          <w:rFonts w:hint="eastAsia"/>
          <w:color w:val="auto"/>
          <w:highlight w:val="none"/>
          <w:lang w:val="en-US" w:eastAsia="zh-CN"/>
        </w:rPr>
        <w:t xml:space="preserve">3.1 </w:t>
      </w:r>
      <w:r>
        <w:rPr>
          <w:rFonts w:hint="eastAsia"/>
          <w:color w:val="auto"/>
          <w:highlight w:val="none"/>
        </w:rPr>
        <w:t>获取时间和方式：从</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20</w:t>
      </w:r>
      <w:r>
        <w:rPr>
          <w:rFonts w:hint="eastAsia"/>
          <w:color w:val="auto"/>
          <w:highlight w:val="none"/>
        </w:rPr>
        <w:t>日到</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分（北京时间），在重庆市公共资源交易网（www.cqggzy.com）下载比选文件。</w:t>
      </w:r>
    </w:p>
    <w:p>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比选人在认为有必要对参选人所提问题进行答复或对比选文件进行补充时，将于</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4"/>
        <w:bidi w:val="0"/>
        <w:rPr>
          <w:color w:val="auto"/>
          <w:highlight w:val="none"/>
        </w:rPr>
      </w:pPr>
      <w:bookmarkStart w:id="23" w:name="_Toc55379221"/>
      <w:r>
        <w:rPr>
          <w:rFonts w:hint="eastAsia"/>
          <w:color w:val="auto"/>
          <w:highlight w:val="none"/>
          <w:lang w:val="en-US" w:eastAsia="zh-CN"/>
        </w:rPr>
        <w:t>4. 参选</w:t>
      </w:r>
      <w:r>
        <w:rPr>
          <w:rFonts w:hint="eastAsia"/>
          <w:color w:val="auto"/>
          <w:highlight w:val="none"/>
        </w:rPr>
        <w:t>保证金的递交</w:t>
      </w:r>
      <w:bookmarkEnd w:id="20"/>
      <w:bookmarkEnd w:id="21"/>
      <w:bookmarkEnd w:id="22"/>
      <w:bookmarkEnd w:id="23"/>
    </w:p>
    <w:p>
      <w:pPr>
        <w:bidi w:val="0"/>
        <w:rPr>
          <w:color w:val="auto"/>
          <w:highlight w:val="none"/>
        </w:rPr>
      </w:pPr>
      <w:bookmarkStart w:id="24" w:name="_Toc469574668"/>
      <w:bookmarkStart w:id="25" w:name="_Toc89675131"/>
      <w:bookmarkStart w:id="26" w:name="_Toc297817091"/>
      <w:bookmarkStart w:id="27" w:name="_Toc55379222"/>
      <w:r>
        <w:rPr>
          <w:rFonts w:hint="eastAsia"/>
          <w:color w:val="auto"/>
          <w:highlight w:val="none"/>
          <w:lang w:val="en-US" w:eastAsia="zh-CN"/>
        </w:rPr>
        <w:t>4.</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参选保证金的金额：</w:t>
      </w:r>
      <w:r>
        <w:rPr>
          <w:b/>
          <w:bCs/>
          <w:color w:val="auto"/>
          <w:highlight w:val="none"/>
          <w:u w:val="single"/>
          <w:lang w:val="en-US" w:eastAsia="zh-CN"/>
        </w:rPr>
        <w:t>20,000.00</w:t>
      </w:r>
      <w:r>
        <w:rPr>
          <w:rFonts w:hint="eastAsia"/>
          <w:b/>
          <w:bCs/>
          <w:color w:val="auto"/>
          <w:highlight w:val="none"/>
        </w:rPr>
        <w:t>元整（大写：</w:t>
      </w:r>
      <w:r>
        <w:rPr>
          <w:b/>
          <w:bCs/>
          <w:color w:val="auto"/>
          <w:highlight w:val="none"/>
        </w:rPr>
        <w:t>贰</w:t>
      </w:r>
      <w:r>
        <w:rPr>
          <w:b/>
          <w:bCs/>
          <w:color w:val="auto"/>
          <w:highlight w:val="none"/>
          <w:u w:val="single"/>
          <w:lang w:val="en-US" w:eastAsia="zh-CN"/>
        </w:rPr>
        <w:t>万元整</w:t>
      </w:r>
      <w:r>
        <w:rPr>
          <w:rFonts w:hint="eastAsia"/>
          <w:b/>
          <w:bCs/>
          <w:color w:val="auto"/>
          <w:highlight w:val="none"/>
        </w:rPr>
        <w:t>）</w:t>
      </w:r>
      <w:r>
        <w:rPr>
          <w:rFonts w:hint="eastAsia"/>
          <w:color w:val="auto"/>
          <w:highlight w:val="none"/>
        </w:rPr>
        <w:t>。</w:t>
      </w:r>
    </w:p>
    <w:p>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pPr>
        <w:bidi w:val="0"/>
        <w:rPr>
          <w:rFonts w:hint="eastAsia"/>
          <w:color w:val="auto"/>
          <w:highlight w:val="none"/>
        </w:rPr>
      </w:pPr>
      <w:r>
        <w:rPr>
          <w:rFonts w:hint="eastAsia"/>
          <w:b/>
          <w:bCs/>
          <w:color w:val="auto"/>
          <w:highlight w:val="none"/>
        </w:rPr>
        <w:t>参选人必须在付款凭证备注栏中注明</w:t>
      </w:r>
      <w:r>
        <w:rPr>
          <w:rFonts w:hint="eastAsia"/>
          <w:b/>
          <w:bCs/>
          <w:color w:val="auto"/>
          <w:highlight w:val="none"/>
          <w:lang w:val="en-US" w:eastAsia="zh-CN"/>
        </w:rPr>
        <w:t>项目简称</w:t>
      </w:r>
      <w:r>
        <w:rPr>
          <w:rFonts w:hint="eastAsia"/>
          <w:b/>
          <w:bCs/>
          <w:color w:val="auto"/>
          <w:highlight w:val="none"/>
        </w:rPr>
        <w:t>。可简写成：</w:t>
      </w:r>
      <w:r>
        <w:rPr>
          <w:b/>
          <w:bCs/>
          <w:color w:val="auto"/>
          <w:highlight w:val="none"/>
          <w:u w:val="single"/>
          <w:lang w:val="en-US" w:eastAsia="zh-CN"/>
        </w:rPr>
        <w:t>三峡理财审计</w:t>
      </w:r>
      <w:r>
        <w:rPr>
          <w:rFonts w:hint="eastAsia"/>
          <w:b/>
          <w:bCs/>
          <w:color w:val="auto"/>
          <w:highlight w:val="none"/>
          <w:lang w:eastAsia="zh-CN"/>
        </w:rPr>
        <w:t>项目</w:t>
      </w:r>
      <w:r>
        <w:rPr>
          <w:rFonts w:hint="eastAsia"/>
          <w:b/>
          <w:bCs/>
          <w:color w:val="auto"/>
          <w:highlight w:val="none"/>
        </w:rPr>
        <w:t>。</w:t>
      </w:r>
    </w:p>
    <w:p>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分（北京时间）。</w:t>
      </w:r>
    </w:p>
    <w:p>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pPr>
        <w:bidi w:val="0"/>
        <w:rPr>
          <w:color w:val="auto"/>
          <w:highlight w:val="none"/>
        </w:rPr>
      </w:pPr>
      <w:r>
        <w:rPr>
          <w:rFonts w:hint="eastAsia"/>
          <w:color w:val="auto"/>
          <w:highlight w:val="none"/>
        </w:rPr>
        <w:t>参选保证金以重庆市公共资源交易中心比选现场展示的保证金交纳情况为准。</w:t>
      </w:r>
    </w:p>
    <w:bookmarkEnd w:id="24"/>
    <w:bookmarkEnd w:id="25"/>
    <w:bookmarkEnd w:id="26"/>
    <w:bookmarkEnd w:id="27"/>
    <w:p>
      <w:pPr>
        <w:pStyle w:val="4"/>
        <w:bidi w:val="0"/>
        <w:rPr>
          <w:color w:val="auto"/>
          <w:highlight w:val="none"/>
        </w:rPr>
      </w:pPr>
      <w:r>
        <w:rPr>
          <w:rFonts w:hint="eastAsia"/>
          <w:color w:val="auto"/>
          <w:highlight w:val="none"/>
          <w:lang w:val="en-US" w:eastAsia="zh-CN"/>
        </w:rPr>
        <w:t xml:space="preserve">5. </w:t>
      </w:r>
      <w:r>
        <w:rPr>
          <w:rFonts w:hint="eastAsia"/>
          <w:color w:val="auto"/>
          <w:highlight w:val="none"/>
        </w:rPr>
        <w:t>参选文件的递交</w:t>
      </w:r>
    </w:p>
    <w:p>
      <w:pPr>
        <w:bidi w:val="0"/>
        <w:rPr>
          <w:color w:val="auto"/>
          <w:highlight w:val="none"/>
        </w:rPr>
      </w:pPr>
      <w:bookmarkStart w:id="28" w:name="_Toc469574669"/>
      <w:bookmarkStart w:id="29" w:name="_Toc89675132"/>
      <w:bookmarkStart w:id="30" w:name="_Toc55379223"/>
      <w:r>
        <w:rPr>
          <w:rFonts w:hint="eastAsia"/>
          <w:color w:val="auto"/>
          <w:highlight w:val="none"/>
          <w:lang w:val="en-US" w:eastAsia="zh-CN"/>
        </w:rPr>
        <w:t xml:space="preserve">5.1 </w:t>
      </w:r>
      <w:r>
        <w:rPr>
          <w:rFonts w:hint="eastAsia"/>
          <w:color w:val="auto"/>
          <w:highlight w:val="none"/>
        </w:rPr>
        <w:t>参选文件现场递交的开始时间为</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分(北京时间)。递交截止时间为</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分（北京时间）。</w:t>
      </w:r>
    </w:p>
    <w:p>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递交地点为重庆市公共资源交易中心开标区（具体请登陆重庆市公共资源交易网（www.cqggzy.com）查询或递交文件当日见交易中心大厅电子显示屏）。</w:t>
      </w:r>
    </w:p>
    <w:p>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pPr>
        <w:pStyle w:val="4"/>
        <w:bidi w:val="0"/>
        <w:rPr>
          <w:color w:val="auto"/>
          <w:highlight w:val="none"/>
        </w:rPr>
      </w:pPr>
      <w:r>
        <w:rPr>
          <w:rFonts w:hint="eastAsia"/>
          <w:color w:val="auto"/>
          <w:highlight w:val="none"/>
          <w:lang w:val="en-US" w:eastAsia="zh-CN"/>
        </w:rPr>
        <w:t xml:space="preserve">6. </w:t>
      </w:r>
      <w:r>
        <w:rPr>
          <w:rFonts w:hint="eastAsia"/>
          <w:color w:val="auto"/>
          <w:highlight w:val="none"/>
        </w:rPr>
        <w:t>发布公告的媒介</w:t>
      </w:r>
      <w:bookmarkEnd w:id="28"/>
      <w:bookmarkEnd w:id="29"/>
      <w:bookmarkEnd w:id="30"/>
    </w:p>
    <w:p>
      <w:pPr>
        <w:bidi w:val="0"/>
        <w:rPr>
          <w:color w:val="auto"/>
          <w:highlight w:val="none"/>
        </w:rPr>
      </w:pPr>
      <w:r>
        <w:rPr>
          <w:rFonts w:hint="eastAsia"/>
          <w:color w:val="auto"/>
          <w:highlight w:val="none"/>
        </w:rPr>
        <w:t>本次比选公告同时在《重庆市公共资源交易网（www.cqggzy.com）》《重庆三峡银行官网（https://www.ccqtgb.com）》和《中国</w:t>
      </w:r>
      <w:r>
        <w:rPr>
          <w:rFonts w:hint="eastAsia"/>
          <w:color w:val="auto"/>
          <w:highlight w:val="none"/>
          <w:lang w:eastAsia="zh-CN"/>
        </w:rPr>
        <w:t>比选参选</w:t>
      </w:r>
      <w:r>
        <w:rPr>
          <w:rFonts w:hint="eastAsia"/>
          <w:color w:val="auto"/>
          <w:highlight w:val="none"/>
        </w:rPr>
        <w:t>公共服务平台（http://www.cebpubservice.com）》上发布。</w:t>
      </w:r>
    </w:p>
    <w:p>
      <w:pPr>
        <w:pStyle w:val="4"/>
        <w:bidi w:val="0"/>
        <w:rPr>
          <w:rFonts w:hint="eastAsia"/>
          <w:color w:val="auto"/>
          <w:highlight w:val="none"/>
        </w:rPr>
      </w:pPr>
      <w:r>
        <w:rPr>
          <w:rFonts w:hint="eastAsia"/>
          <w:color w:val="auto"/>
          <w:highlight w:val="none"/>
          <w:lang w:val="en-US" w:eastAsia="zh-CN"/>
        </w:rPr>
        <w:t xml:space="preserve">7. </w:t>
      </w:r>
      <w:r>
        <w:rPr>
          <w:rFonts w:hint="eastAsia"/>
          <w:color w:val="auto"/>
          <w:highlight w:val="none"/>
        </w:rPr>
        <w:t>联系方式</w:t>
      </w:r>
      <w:bookmarkEnd w:id="8"/>
      <w:bookmarkEnd w:id="9"/>
      <w:bookmarkEnd w:id="10"/>
      <w:bookmarkEnd w:id="11"/>
    </w:p>
    <w:tbl>
      <w:tblPr>
        <w:tblStyle w:val="15"/>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vertAlign w:val="baseline"/>
              </w:rPr>
            </w:pPr>
            <w:r>
              <w:rPr>
                <w:rFonts w:hint="eastAsia" w:ascii="宋体" w:eastAsia="宋体" w:cs="宋体"/>
                <w:b/>
                <w:bCs/>
                <w:color w:val="auto"/>
                <w:sz w:val="21"/>
                <w:szCs w:val="21"/>
                <w:highlight w:val="none"/>
              </w:rPr>
              <w:t>比选人</w:t>
            </w:r>
            <w:r>
              <w:rPr>
                <w:rFonts w:hint="eastAsia" w:ascii="宋体" w:eastAsia="宋体" w:cs="宋体"/>
                <w:b/>
                <w:bCs/>
                <w:color w:val="auto"/>
                <w:sz w:val="21"/>
                <w:szCs w:val="21"/>
                <w:highlight w:val="none"/>
                <w:lang w:eastAsia="zh-CN"/>
              </w:rPr>
              <w:t>：</w:t>
            </w:r>
            <w:r>
              <w:rPr>
                <w:rFonts w:hint="eastAsia" w:ascii="宋体" w:eastAsia="宋体" w:cs="宋体"/>
                <w:color w:val="auto"/>
                <w:sz w:val="21"/>
                <w:szCs w:val="21"/>
                <w:highlight w:val="none"/>
              </w:rPr>
              <w:t>重庆三峡银行股份有限公司</w:t>
            </w:r>
          </w:p>
        </w:tc>
        <w:tc>
          <w:tcPr>
            <w:tcW w:w="487"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r>
              <w:rPr>
                <w:rFonts w:hint="eastAsia" w:ascii="宋体" w:eastAsia="宋体" w:cs="宋体"/>
                <w:b/>
                <w:bCs/>
                <w:color w:val="auto"/>
                <w:sz w:val="21"/>
                <w:szCs w:val="21"/>
                <w:highlight w:val="none"/>
              </w:rPr>
              <w:t>平台服务机构</w:t>
            </w:r>
            <w:r>
              <w:rPr>
                <w:rFonts w:hint="eastAsia" w:ascii="宋体" w:eastAsia="宋体" w:cs="宋体"/>
                <w:b/>
                <w:bCs/>
                <w:color w:val="auto"/>
                <w:sz w:val="21"/>
                <w:szCs w:val="21"/>
                <w:highlight w:val="none"/>
                <w:lang w:eastAsia="zh-CN"/>
              </w:rPr>
              <w:t>：</w:t>
            </w:r>
            <w:r>
              <w:rPr>
                <w:rFonts w:hint="eastAsia" w:ascii="宋体" w:eastAsia="宋体" w:cs="宋体"/>
                <w:color w:val="auto"/>
                <w:sz w:val="21"/>
                <w:szCs w:val="21"/>
                <w:highlight w:val="none"/>
              </w:rPr>
              <w:t>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vertAlign w:val="baseline"/>
              </w:rPr>
            </w:pPr>
            <w:r>
              <w:rPr>
                <w:rFonts w:hint="eastAsia" w:ascii="宋体" w:eastAsia="宋体" w:cs="宋体"/>
                <w:b/>
                <w:bCs/>
                <w:color w:val="auto"/>
                <w:sz w:val="21"/>
                <w:szCs w:val="21"/>
                <w:highlight w:val="none"/>
              </w:rPr>
              <w:t>地址</w:t>
            </w:r>
            <w:r>
              <w:rPr>
                <w:rFonts w:hint="eastAsia" w:ascii="宋体" w:eastAsia="宋体" w:cs="宋体"/>
                <w:b/>
                <w:bCs/>
                <w:color w:val="auto"/>
                <w:sz w:val="21"/>
                <w:szCs w:val="21"/>
                <w:highlight w:val="none"/>
                <w:lang w:eastAsia="zh-CN"/>
              </w:rPr>
              <w:t>：</w:t>
            </w:r>
            <w:r>
              <w:rPr>
                <w:rFonts w:hint="eastAsia" w:ascii="宋体" w:eastAsia="宋体" w:cs="宋体"/>
                <w:color w:val="auto"/>
                <w:sz w:val="21"/>
                <w:szCs w:val="21"/>
                <w:highlight w:val="none"/>
              </w:rPr>
              <w:t>重庆市渝北区嘉州路88号中渝国际都会4号写字楼21层</w:t>
            </w:r>
          </w:p>
        </w:tc>
        <w:tc>
          <w:tcPr>
            <w:tcW w:w="487"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default" w:ascii="宋体" w:eastAsia="宋体" w:cs="宋体"/>
                <w:color w:val="auto"/>
                <w:sz w:val="21"/>
                <w:szCs w:val="21"/>
                <w:highlight w:val="none"/>
                <w:lang w:val="en-US"/>
              </w:rPr>
            </w:pPr>
            <w:r>
              <w:rPr>
                <w:rFonts w:hint="eastAsia" w:ascii="宋体" w:eastAsia="宋体" w:cs="宋体"/>
                <w:b/>
                <w:bCs/>
                <w:color w:val="auto"/>
                <w:sz w:val="21"/>
                <w:szCs w:val="21"/>
                <w:highlight w:val="none"/>
              </w:rPr>
              <w:t>平台服务联系人</w:t>
            </w:r>
            <w:r>
              <w:rPr>
                <w:rFonts w:hint="eastAsia" w:ascii="宋体" w:eastAsia="宋体" w:cs="宋体"/>
                <w:b/>
                <w:bCs/>
                <w:color w:val="auto"/>
                <w:sz w:val="21"/>
                <w:szCs w:val="21"/>
                <w:highlight w:val="none"/>
                <w:lang w:eastAsia="zh-CN"/>
              </w:rPr>
              <w:t>：</w:t>
            </w:r>
            <w:r>
              <w:rPr>
                <w:rFonts w:hint="eastAsia" w:ascii="宋体" w:eastAsia="宋体" w:cs="宋体"/>
                <w:color w:val="auto"/>
                <w:sz w:val="21"/>
                <w:szCs w:val="21"/>
                <w:highlight w:val="none"/>
                <w:lang w:val="en-US" w:eastAsia="zh-CN"/>
              </w:rPr>
              <w:t>杜老师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vertAlign w:val="baseline"/>
              </w:rPr>
            </w:pPr>
            <w:r>
              <w:rPr>
                <w:rFonts w:hint="eastAsia" w:ascii="宋体" w:eastAsia="宋体" w:cs="宋体"/>
                <w:b/>
                <w:bCs/>
                <w:color w:val="auto"/>
                <w:sz w:val="21"/>
                <w:szCs w:val="21"/>
                <w:highlight w:val="none"/>
              </w:rPr>
              <w:t>联系人</w:t>
            </w:r>
            <w:r>
              <w:rPr>
                <w:rFonts w:hint="eastAsia" w:ascii="宋体" w:eastAsia="宋体" w:cs="宋体"/>
                <w:b/>
                <w:bCs/>
                <w:color w:val="auto"/>
                <w:sz w:val="21"/>
                <w:szCs w:val="21"/>
                <w:highlight w:val="none"/>
                <w:lang w:eastAsia="zh-CN"/>
              </w:rPr>
              <w:t>：</w:t>
            </w:r>
            <w:r>
              <w:rPr>
                <w:rFonts w:hint="eastAsia" w:ascii="宋体" w:eastAsia="宋体" w:cs="宋体"/>
                <w:color w:val="auto"/>
                <w:sz w:val="21"/>
                <w:szCs w:val="21"/>
                <w:highlight w:val="none"/>
              </w:rPr>
              <w:t>敬希</w:t>
            </w:r>
            <w:r>
              <w:rPr>
                <w:rFonts w:hint="eastAsia" w:ascii="宋体" w:eastAsia="宋体" w:cs="宋体"/>
                <w:color w:val="auto"/>
                <w:sz w:val="21"/>
                <w:szCs w:val="21"/>
                <w:highlight w:val="none"/>
                <w:lang w:eastAsia="zh-CN"/>
              </w:rPr>
              <w:t>、</w:t>
            </w:r>
            <w:r>
              <w:rPr>
                <w:rFonts w:ascii="宋体" w:eastAsia="宋体" w:cs="宋体"/>
                <w:color w:val="auto"/>
                <w:sz w:val="21"/>
                <w:szCs w:val="21"/>
                <w:highlight w:val="none"/>
                <w:lang w:val="en-US" w:eastAsia="zh-CN"/>
              </w:rPr>
              <w:t>汪滟怡</w:t>
            </w:r>
          </w:p>
        </w:tc>
        <w:tc>
          <w:tcPr>
            <w:tcW w:w="487"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default" w:ascii="宋体" w:eastAsia="宋体" w:cs="宋体"/>
                <w:color w:val="auto"/>
                <w:sz w:val="21"/>
                <w:szCs w:val="21"/>
                <w:highlight w:val="none"/>
                <w:lang w:val="en-US"/>
              </w:rPr>
            </w:pPr>
            <w:r>
              <w:rPr>
                <w:rFonts w:hint="eastAsia" w:ascii="宋体" w:eastAsia="宋体" w:cs="宋体"/>
                <w:b/>
                <w:bCs/>
                <w:color w:val="auto"/>
                <w:sz w:val="21"/>
                <w:szCs w:val="21"/>
                <w:highlight w:val="none"/>
              </w:rPr>
              <w:t>平台服务电话</w:t>
            </w:r>
            <w:r>
              <w:rPr>
                <w:rFonts w:hint="eastAsia" w:ascii="宋体" w:eastAsia="宋体" w:cs="宋体"/>
                <w:b/>
                <w:bCs/>
                <w:color w:val="auto"/>
                <w:sz w:val="21"/>
                <w:szCs w:val="21"/>
                <w:highlight w:val="none"/>
                <w:lang w:eastAsia="zh-CN"/>
              </w:rPr>
              <w:t>：</w:t>
            </w:r>
            <w:r>
              <w:rPr>
                <w:rFonts w:hint="eastAsia" w:ascii="宋体" w:eastAsia="宋体" w:cs="宋体"/>
                <w:color w:val="auto"/>
                <w:sz w:val="21"/>
                <w:szCs w:val="21"/>
                <w:highlight w:val="none"/>
                <w:lang w:val="en-US" w:eastAsia="zh-CN"/>
              </w:rPr>
              <w:t>023-63621694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r>
              <w:rPr>
                <w:rFonts w:hint="eastAsia" w:ascii="宋体" w:eastAsia="宋体" w:cs="宋体"/>
                <w:b/>
                <w:bCs/>
                <w:color w:val="auto"/>
                <w:sz w:val="21"/>
                <w:szCs w:val="21"/>
                <w:highlight w:val="none"/>
              </w:rPr>
              <w:t>采购咨询电话</w:t>
            </w:r>
            <w:r>
              <w:rPr>
                <w:rFonts w:hint="eastAsia" w:ascii="宋体" w:eastAsia="宋体" w:cs="宋体"/>
                <w:b/>
                <w:bCs/>
                <w:color w:val="auto"/>
                <w:sz w:val="21"/>
                <w:szCs w:val="21"/>
                <w:highlight w:val="none"/>
                <w:lang w:eastAsia="zh-CN"/>
              </w:rPr>
              <w:t>：</w:t>
            </w:r>
            <w:r>
              <w:rPr>
                <w:rFonts w:hint="eastAsia" w:ascii="宋体" w:eastAsia="宋体" w:cs="宋体"/>
                <w:color w:val="auto"/>
                <w:sz w:val="21"/>
                <w:szCs w:val="21"/>
                <w:highlight w:val="none"/>
              </w:rPr>
              <w:t>023-88890395</w:t>
            </w:r>
          </w:p>
        </w:tc>
        <w:tc>
          <w:tcPr>
            <w:tcW w:w="487"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r>
              <w:rPr>
                <w:rFonts w:hint="eastAsia" w:ascii="宋体" w:eastAsia="宋体" w:cs="宋体"/>
                <w:b/>
                <w:bCs/>
                <w:color w:val="auto"/>
                <w:sz w:val="21"/>
                <w:szCs w:val="21"/>
                <w:highlight w:val="none"/>
              </w:rPr>
              <w:t>业务咨询电话</w:t>
            </w:r>
            <w:r>
              <w:rPr>
                <w:rFonts w:hint="eastAsia" w:ascii="宋体" w:eastAsia="宋体" w:cs="宋体"/>
                <w:b/>
                <w:bCs/>
                <w:color w:val="auto"/>
                <w:sz w:val="21"/>
                <w:szCs w:val="21"/>
                <w:highlight w:val="none"/>
                <w:lang w:eastAsia="zh-CN"/>
              </w:rPr>
              <w:t>：</w:t>
            </w:r>
            <w:r>
              <w:rPr>
                <w:rFonts w:ascii="宋体" w:eastAsia="宋体" w:cs="宋体"/>
                <w:color w:val="auto"/>
                <w:sz w:val="21"/>
                <w:szCs w:val="21"/>
                <w:highlight w:val="none"/>
              </w:rPr>
              <w:t>023-88890994</w:t>
            </w:r>
          </w:p>
        </w:tc>
        <w:tc>
          <w:tcPr>
            <w:tcW w:w="487"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vertAlign w:val="baseline"/>
              </w:rPr>
            </w:pPr>
            <w:r>
              <w:rPr>
                <w:rFonts w:hint="eastAsia" w:ascii="宋体" w:eastAsia="宋体" w:cs="宋体"/>
                <w:b/>
                <w:bCs/>
                <w:color w:val="auto"/>
                <w:sz w:val="21"/>
                <w:szCs w:val="21"/>
                <w:highlight w:val="none"/>
              </w:rPr>
              <w:t>邮箱</w:t>
            </w:r>
            <w:r>
              <w:rPr>
                <w:rFonts w:hint="eastAsia" w:ascii="宋体" w:eastAsia="宋体" w:cs="宋体"/>
                <w:b/>
                <w:bCs/>
                <w:color w:val="auto"/>
                <w:sz w:val="21"/>
                <w:szCs w:val="21"/>
                <w:highlight w:val="none"/>
                <w:lang w:eastAsia="zh-CN"/>
              </w:rPr>
              <w:t>：</w:t>
            </w:r>
            <w:r>
              <w:rPr>
                <w:rFonts w:hint="eastAsia" w:ascii="宋体" w:eastAsia="宋体" w:cs="宋体"/>
                <w:snapToGrid w:val="0"/>
                <w:color w:val="auto"/>
                <w:kern w:val="0"/>
                <w:sz w:val="21"/>
                <w:szCs w:val="21"/>
                <w:highlight w:val="none"/>
              </w:rPr>
              <w:fldChar w:fldCharType="begin"/>
            </w:r>
            <w:r>
              <w:instrText xml:space="preserve">HYPERLINK "mailto:sx.jcb@ccqtgb.com"</w:instrText>
            </w:r>
            <w:r>
              <w:rPr>
                <w:rFonts w:hint="eastAsia" w:ascii="宋体" w:eastAsia="宋体" w:cs="宋体"/>
                <w:snapToGrid w:val="0"/>
                <w:color w:val="auto"/>
                <w:kern w:val="0"/>
                <w:sz w:val="21"/>
                <w:szCs w:val="21"/>
                <w:highlight w:val="none"/>
              </w:rPr>
              <w:fldChar w:fldCharType="separate"/>
            </w:r>
            <w:r>
              <w:rPr>
                <w:rFonts w:hint="eastAsia" w:ascii="宋体" w:eastAsia="宋体" w:cs="宋体"/>
                <w:snapToGrid w:val="0"/>
                <w:color w:val="auto"/>
                <w:kern w:val="0"/>
                <w:sz w:val="21"/>
                <w:szCs w:val="21"/>
                <w:highlight w:val="none"/>
              </w:rPr>
              <w:t>sx.jcb@ccqtgb.com</w:t>
            </w:r>
            <w:r>
              <w:rPr>
                <w:rFonts w:hint="eastAsia" w:ascii="宋体" w:eastAsia="宋体" w:cs="宋体"/>
                <w:snapToGrid w:val="0"/>
                <w:color w:val="auto"/>
                <w:kern w:val="0"/>
                <w:sz w:val="21"/>
                <w:szCs w:val="21"/>
                <w:highlight w:val="none"/>
              </w:rPr>
              <w:fldChar w:fldCharType="end"/>
            </w:r>
          </w:p>
        </w:tc>
        <w:tc>
          <w:tcPr>
            <w:tcW w:w="487"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c>
          <w:tcPr>
            <w:tcW w:w="3968" w:type="dxa"/>
            <w:tcBorders>
              <w:top w:val="nil"/>
              <w:left w:val="nil"/>
              <w:bottom w:val="nil"/>
              <w:right w:val="nil"/>
              <w:tl2br w:val="nil"/>
              <w:tr2bl w:val="nil"/>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eastAsia="宋体" w:cs="宋体"/>
                <w:color w:val="auto"/>
                <w:sz w:val="21"/>
                <w:szCs w:val="21"/>
                <w:highlight w:val="none"/>
              </w:rPr>
            </w:pPr>
          </w:p>
        </w:tc>
      </w:tr>
    </w:tbl>
    <w:p>
      <w:pPr>
        <w:rPr>
          <w:color w:val="auto"/>
          <w:highlight w:val="none"/>
        </w:rPr>
      </w:pPr>
    </w:p>
    <w:p>
      <w:pPr>
        <w:bidi w:val="0"/>
        <w:rPr>
          <w:color w:val="auto"/>
          <w:highlight w:val="none"/>
        </w:rPr>
      </w:pPr>
    </w:p>
    <w:p>
      <w:pPr>
        <w:spacing w:line="240" w:lineRule="auto"/>
        <w:ind w:firstLine="0" w:firstLineChars="0"/>
        <w:jc w:val="right"/>
        <w:rPr>
          <w:color w:val="auto"/>
          <w:highlight w:val="none"/>
        </w:rPr>
      </w:pPr>
      <w:r>
        <w:rPr>
          <w:rFonts w:hint="eastAsia"/>
          <w:color w:val="auto"/>
          <w:highlight w:val="none"/>
        </w:rPr>
        <w:t>重庆三峡银行股份有限公司</w:t>
      </w:r>
    </w:p>
    <w:p>
      <w:pPr>
        <w:bidi w:val="0"/>
        <w:ind w:left="0" w:firstLine="0" w:firstLineChars="0"/>
        <w:jc w:val="right"/>
        <w:rPr>
          <w:rFonts w:hint="eastAsia"/>
          <w:color w:val="auto"/>
          <w:highlight w:val="none"/>
        </w:rPr>
        <w:sectPr>
          <w:footerReference r:id="rId6" w:type="default"/>
          <w:pgSz w:w="11906" w:h="16838"/>
          <w:pgMar w:top="1440" w:right="1800" w:bottom="1440" w:left="1800" w:header="851" w:footer="992" w:gutter="0"/>
          <w:pgNumType w:fmt="numberInDash" w:start="1"/>
          <w:cols w:space="720" w:num="1"/>
          <w:docGrid w:type="lines" w:linePitch="326" w:charSpace="0"/>
        </w:sectPr>
      </w:pPr>
      <w:bookmarkStart w:id="31" w:name="_Toc27630"/>
      <w:bookmarkStart w:id="32" w:name="_Toc89675159"/>
      <w:bookmarkStart w:id="33" w:name="_Toc303066033"/>
      <w:r>
        <w:rPr>
          <w:rFonts w:hint="eastAsia"/>
          <w:color w:val="auto"/>
          <w:highlight w:val="none"/>
        </w:rPr>
        <w:t>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p>
    <w:p>
      <w:pPr>
        <w:pStyle w:val="3"/>
        <w:bidi w:val="0"/>
        <w:rPr>
          <w:color w:val="auto"/>
          <w:highlight w:val="none"/>
        </w:rPr>
      </w:pPr>
      <w:bookmarkStart w:id="34" w:name="_Toc19564"/>
      <w:bookmarkStart w:id="35" w:name="_Toc2567"/>
      <w:r>
        <w:rPr>
          <w:rFonts w:hint="eastAsia"/>
          <w:color w:val="auto"/>
          <w:highlight w:val="none"/>
        </w:rPr>
        <w:t>第二章 参选人须知</w:t>
      </w:r>
      <w:bookmarkEnd w:id="31"/>
      <w:bookmarkEnd w:id="32"/>
      <w:bookmarkEnd w:id="33"/>
      <w:bookmarkEnd w:id="34"/>
      <w:bookmarkEnd w:id="35"/>
    </w:p>
    <w:p>
      <w:pPr>
        <w:pStyle w:val="4"/>
        <w:bidi w:val="0"/>
        <w:rPr>
          <w:color w:val="auto"/>
          <w:highlight w:val="none"/>
          <w:lang w:val="en-US" w:eastAsia="zh-CN"/>
        </w:rPr>
      </w:pPr>
      <w:bookmarkStart w:id="36" w:name="_Toc89675160"/>
      <w:r>
        <w:rPr>
          <w:rFonts w:hint="eastAsia"/>
          <w:color w:val="auto"/>
          <w:highlight w:val="none"/>
          <w:lang w:val="en-US" w:eastAsia="zh-CN"/>
        </w:rPr>
        <w:t>1. 项目信息</w:t>
      </w:r>
    </w:p>
    <w:p>
      <w:pPr>
        <w:pStyle w:val="5"/>
        <w:bidi w:val="0"/>
        <w:rPr>
          <w:color w:val="auto"/>
          <w:highlight w:val="none"/>
          <w:lang w:val="en-US" w:eastAsia="zh-CN"/>
        </w:rPr>
      </w:pPr>
      <w:r>
        <w:rPr>
          <w:rFonts w:hint="eastAsia"/>
          <w:color w:val="auto"/>
          <w:highlight w:val="none"/>
          <w:lang w:val="en-US" w:eastAsia="zh-CN"/>
        </w:rPr>
        <w:t>1.1 比选人</w:t>
      </w:r>
    </w:p>
    <w:p>
      <w:pPr>
        <w:bidi w:val="0"/>
        <w:rPr>
          <w:rFonts w:hint="eastAsia" w:eastAsia="宋体"/>
          <w:color w:val="auto"/>
          <w:highlight w:val="none"/>
          <w:lang w:eastAsia="zh-CN"/>
        </w:rPr>
      </w:pPr>
      <w:r>
        <w:rPr>
          <w:color w:val="auto"/>
          <w:highlight w:val="none"/>
        </w:rPr>
        <w:t>重庆三峡银行股份有限公司</w:t>
      </w:r>
      <w:r>
        <w:rPr>
          <w:rFonts w:hint="eastAsia"/>
          <w:color w:val="auto"/>
          <w:highlight w:val="none"/>
          <w:lang w:eastAsia="zh-CN"/>
        </w:rPr>
        <w:t>。</w:t>
      </w:r>
    </w:p>
    <w:p>
      <w:pPr>
        <w:pStyle w:val="5"/>
        <w:bidi w:val="0"/>
        <w:rPr>
          <w:color w:val="auto"/>
          <w:highlight w:val="none"/>
          <w:lang w:val="en-US" w:eastAsia="zh-CN"/>
        </w:rPr>
      </w:pPr>
      <w:r>
        <w:rPr>
          <w:rFonts w:hint="eastAsia"/>
          <w:color w:val="auto"/>
          <w:highlight w:val="none"/>
          <w:lang w:val="en-US" w:eastAsia="zh-CN"/>
        </w:rPr>
        <w:t>1.2 最高限价</w:t>
      </w:r>
    </w:p>
    <w:p>
      <w:pPr>
        <w:ind w:firstLine="480" w:firstLineChars="200"/>
        <w:rPr>
          <w:rFonts w:hint="eastAsia"/>
          <w:color w:val="auto"/>
          <w:highlight w:val="none"/>
          <w:lang w:val="en-US" w:eastAsia="zh-CN"/>
        </w:rPr>
      </w:pPr>
      <w:r>
        <w:rPr>
          <w:rFonts w:hint="eastAsia"/>
          <w:color w:val="auto"/>
          <w:highlight w:val="none"/>
        </w:rPr>
        <w:t>预计我行202</w:t>
      </w:r>
      <w:r>
        <w:rPr>
          <w:color w:val="auto"/>
          <w:highlight w:val="none"/>
        </w:rPr>
        <w:t>3</w:t>
      </w:r>
      <w:r>
        <w:rPr>
          <w:rFonts w:hint="eastAsia"/>
          <w:color w:val="auto"/>
          <w:highlight w:val="none"/>
        </w:rPr>
        <w:t>年需审计的公募理财产品为</w:t>
      </w:r>
      <w:r>
        <w:rPr>
          <w:color w:val="auto"/>
          <w:highlight w:val="none"/>
        </w:rPr>
        <w:t>81只</w:t>
      </w:r>
      <w:r>
        <w:rPr>
          <w:rFonts w:hint="eastAsia"/>
          <w:color w:val="auto"/>
          <w:highlight w:val="none"/>
        </w:rPr>
        <w:t>，</w:t>
      </w:r>
      <w:r>
        <w:rPr>
          <w:color w:val="auto"/>
          <w:highlight w:val="none"/>
        </w:rPr>
        <w:t>1</w:t>
      </w:r>
      <w:r>
        <w:rPr>
          <w:rFonts w:hint="eastAsia"/>
          <w:color w:val="auto"/>
          <w:highlight w:val="none"/>
        </w:rPr>
        <w:t>亿以上规模</w:t>
      </w:r>
      <w:r>
        <w:rPr>
          <w:color w:val="auto"/>
          <w:highlight w:val="none"/>
        </w:rPr>
        <w:t>的公募封闭式</w:t>
      </w:r>
      <w:r>
        <w:rPr>
          <w:rFonts w:hint="eastAsia"/>
          <w:color w:val="auto"/>
          <w:highlight w:val="none"/>
        </w:rPr>
        <w:t>理财产品数量为</w:t>
      </w:r>
      <w:r>
        <w:rPr>
          <w:color w:val="auto"/>
          <w:highlight w:val="none"/>
        </w:rPr>
        <w:t>74</w:t>
      </w:r>
      <w:r>
        <w:rPr>
          <w:rFonts w:hint="eastAsia"/>
          <w:color w:val="auto"/>
          <w:highlight w:val="none"/>
        </w:rPr>
        <w:t>只，估计审计费用</w:t>
      </w:r>
      <w:r>
        <w:rPr>
          <w:color w:val="auto"/>
          <w:highlight w:val="none"/>
        </w:rPr>
        <w:t>1</w:t>
      </w:r>
      <w:r>
        <w:rPr>
          <w:rFonts w:hint="eastAsia"/>
          <w:color w:val="auto"/>
          <w:highlight w:val="none"/>
        </w:rPr>
        <w:t>万元/只</w:t>
      </w:r>
      <w:r>
        <w:rPr>
          <w:color w:val="auto"/>
          <w:highlight w:val="none"/>
        </w:rPr>
        <w:t>，1</w:t>
      </w:r>
      <w:r>
        <w:rPr>
          <w:rFonts w:hint="eastAsia"/>
          <w:color w:val="auto"/>
          <w:highlight w:val="none"/>
        </w:rPr>
        <w:t>亿以下规模</w:t>
      </w:r>
      <w:r>
        <w:rPr>
          <w:color w:val="auto"/>
          <w:highlight w:val="none"/>
        </w:rPr>
        <w:t>的公募封闭式</w:t>
      </w:r>
      <w:r>
        <w:rPr>
          <w:rFonts w:hint="eastAsia"/>
          <w:color w:val="auto"/>
          <w:highlight w:val="none"/>
        </w:rPr>
        <w:t>理财产品为</w:t>
      </w:r>
      <w:r>
        <w:rPr>
          <w:color w:val="auto"/>
          <w:highlight w:val="none"/>
        </w:rPr>
        <w:t>6</w:t>
      </w:r>
      <w:r>
        <w:rPr>
          <w:rFonts w:hint="eastAsia"/>
          <w:color w:val="auto"/>
          <w:highlight w:val="none"/>
        </w:rPr>
        <w:t>只，估计审计费用0.</w:t>
      </w:r>
      <w:r>
        <w:rPr>
          <w:color w:val="auto"/>
          <w:highlight w:val="none"/>
        </w:rPr>
        <w:t>8</w:t>
      </w:r>
      <w:r>
        <w:rPr>
          <w:rFonts w:hint="eastAsia"/>
          <w:color w:val="auto"/>
          <w:highlight w:val="none"/>
        </w:rPr>
        <w:t>万元/只，</w:t>
      </w:r>
      <w:r>
        <w:rPr>
          <w:color w:val="auto"/>
          <w:highlight w:val="none"/>
        </w:rPr>
        <w:t>20亿元以下的公募开放式理财产品数量为1只，估计</w:t>
      </w:r>
      <w:r>
        <w:rPr>
          <w:rFonts w:hint="eastAsia"/>
          <w:color w:val="auto"/>
          <w:highlight w:val="none"/>
        </w:rPr>
        <w:t>审计费用</w:t>
      </w:r>
      <w:r>
        <w:rPr>
          <w:color w:val="auto"/>
          <w:highlight w:val="none"/>
        </w:rPr>
        <w:t>5</w:t>
      </w:r>
      <w:r>
        <w:rPr>
          <w:rFonts w:hint="eastAsia"/>
          <w:color w:val="auto"/>
          <w:highlight w:val="none"/>
        </w:rPr>
        <w:t>万元/只，预估总费用约为</w:t>
      </w:r>
      <w:r>
        <w:rPr>
          <w:color w:val="auto"/>
          <w:highlight w:val="none"/>
        </w:rPr>
        <w:t>83.8</w:t>
      </w:r>
      <w:r>
        <w:rPr>
          <w:rFonts w:hint="eastAsia"/>
          <w:color w:val="auto"/>
          <w:highlight w:val="none"/>
        </w:rPr>
        <w:t>万元（根据实际审计数量和合同单价据实结算）。本项目最高限价为</w:t>
      </w:r>
      <w:r>
        <w:rPr>
          <w:rFonts w:hint="eastAsia"/>
          <w:color w:val="auto"/>
          <w:highlight w:val="none"/>
          <w:lang w:eastAsia="zh-CN"/>
        </w:rPr>
        <w:t>：</w:t>
      </w:r>
      <w:r>
        <w:rPr>
          <w:color w:val="auto"/>
          <w:highlight w:val="none"/>
          <w:u w:val="single"/>
          <w:lang w:val="en-US" w:eastAsia="zh-CN"/>
        </w:rPr>
        <w:t>838,000.00元</w:t>
      </w:r>
      <w:r>
        <w:rPr>
          <w:rFonts w:hint="eastAsia"/>
          <w:color w:val="auto"/>
          <w:highlight w:val="none"/>
          <w:lang w:eastAsia="zh-CN"/>
        </w:rPr>
        <w:t>（</w:t>
      </w:r>
      <w:r>
        <w:rPr>
          <w:rFonts w:hint="eastAsia"/>
          <w:color w:val="auto"/>
          <w:highlight w:val="none"/>
        </w:rPr>
        <w:t>人民币大写</w:t>
      </w:r>
      <w:r>
        <w:rPr>
          <w:rFonts w:hint="eastAsia"/>
          <w:color w:val="auto"/>
          <w:highlight w:val="none"/>
          <w:u w:val="none"/>
        </w:rPr>
        <w:t>：</w:t>
      </w:r>
      <w:r>
        <w:rPr>
          <w:color w:val="auto"/>
          <w:highlight w:val="none"/>
          <w:u w:val="single"/>
          <w:lang w:val="en-US" w:eastAsia="zh-CN"/>
        </w:rPr>
        <w:t>捌拾叁万捌仟元整</w:t>
      </w:r>
      <w:r>
        <w:rPr>
          <w:rFonts w:hint="eastAsia"/>
          <w:color w:val="auto"/>
          <w:highlight w:val="none"/>
          <w:lang w:eastAsia="zh-CN"/>
        </w:rPr>
        <w:t>）</w:t>
      </w:r>
      <w:r>
        <w:rPr>
          <w:rFonts w:hint="eastAsia"/>
          <w:color w:val="auto"/>
          <w:highlight w:val="none"/>
          <w:lang w:val="en-US" w:eastAsia="zh-CN"/>
        </w:rPr>
        <w:t>。</w:t>
      </w:r>
    </w:p>
    <w:p>
      <w:pPr>
        <w:pStyle w:val="5"/>
        <w:bidi w:val="0"/>
        <w:rPr>
          <w:color w:val="auto"/>
          <w:highlight w:val="none"/>
          <w:lang w:val="en-US" w:eastAsia="zh-CN"/>
        </w:rPr>
      </w:pPr>
      <w:r>
        <w:rPr>
          <w:rFonts w:hint="eastAsia"/>
          <w:color w:val="auto"/>
          <w:highlight w:val="none"/>
          <w:lang w:val="en-US" w:eastAsia="zh-CN"/>
        </w:rPr>
        <w:t>1.3 项目概况</w:t>
      </w:r>
    </w:p>
    <w:bookmarkEnd w:id="36"/>
    <w:p>
      <w:pPr>
        <w:ind w:firstLine="480" w:firstLineChars="200"/>
        <w:rPr>
          <w:rFonts w:hint="eastAsia"/>
          <w:color w:val="auto"/>
          <w:highlight w:val="none"/>
        </w:rPr>
      </w:pPr>
      <w:bookmarkStart w:id="37" w:name="_Toc89675161"/>
      <w:r>
        <w:rPr>
          <w:rFonts w:hint="eastAsia"/>
          <w:color w:val="auto"/>
          <w:highlight w:val="none"/>
        </w:rPr>
        <w:t>审计服务对象为我行</w:t>
      </w:r>
      <w:r>
        <w:rPr>
          <w:color w:val="auto"/>
          <w:highlight w:val="none"/>
        </w:rPr>
        <w:t>2023年存续</w:t>
      </w:r>
      <w:r>
        <w:rPr>
          <w:rFonts w:hint="eastAsia"/>
          <w:color w:val="auto"/>
          <w:highlight w:val="none"/>
        </w:rPr>
        <w:t>的需审计的公募理财产品，审计内容包括单只</w:t>
      </w:r>
      <w:r>
        <w:rPr>
          <w:color w:val="auto"/>
          <w:highlight w:val="none"/>
        </w:rPr>
        <w:t>公募</w:t>
      </w:r>
      <w:r>
        <w:rPr>
          <w:rFonts w:hint="eastAsia"/>
          <w:color w:val="auto"/>
          <w:highlight w:val="none"/>
        </w:rPr>
        <w:t>理财产品的年度审计与清算审计，主要审计单只理财产品财务报告，审计过程包含风险控制、系统操作、对手询证、估值评价、资产收益确认评估、财务数据审计等环节，发表审计意见，出具审计报告。</w:t>
      </w:r>
    </w:p>
    <w:p>
      <w:pPr>
        <w:pStyle w:val="5"/>
        <w:bidi w:val="0"/>
        <w:rPr>
          <w:rFonts w:hint="eastAsia"/>
          <w:color w:val="auto"/>
          <w:highlight w:val="none"/>
          <w:lang w:val="en-US" w:eastAsia="zh-CN"/>
        </w:rPr>
      </w:pPr>
      <w:r>
        <w:rPr>
          <w:rFonts w:hint="eastAsia"/>
          <w:color w:val="auto"/>
          <w:highlight w:val="none"/>
          <w:lang w:val="en-US" w:eastAsia="zh-CN"/>
        </w:rPr>
        <w:t>1.4 项目目标</w:t>
      </w:r>
    </w:p>
    <w:p>
      <w:pPr>
        <w:ind w:firstLine="480" w:firstLineChars="200"/>
        <w:rPr>
          <w:rFonts w:hint="eastAsia"/>
          <w:color w:val="auto"/>
          <w:highlight w:val="none"/>
        </w:rPr>
      </w:pPr>
      <w:bookmarkStart w:id="38" w:name="_1698647822"/>
      <w:bookmarkEnd w:id="38"/>
      <w:bookmarkStart w:id="39" w:name="_1610630971"/>
      <w:bookmarkEnd w:id="39"/>
      <w:bookmarkStart w:id="40" w:name="_1672138492"/>
      <w:bookmarkEnd w:id="40"/>
      <w:bookmarkStart w:id="41" w:name="_1616585695"/>
      <w:bookmarkEnd w:id="41"/>
      <w:bookmarkStart w:id="42" w:name="_1596371751"/>
      <w:bookmarkEnd w:id="42"/>
      <w:bookmarkStart w:id="43" w:name="_1531228625"/>
      <w:bookmarkEnd w:id="43"/>
      <w:bookmarkStart w:id="44" w:name="_1596375791"/>
      <w:bookmarkEnd w:id="44"/>
      <w:bookmarkStart w:id="45" w:name="_1531916884"/>
      <w:bookmarkEnd w:id="45"/>
      <w:bookmarkStart w:id="46" w:name="_1557836554"/>
      <w:bookmarkEnd w:id="46"/>
      <w:bookmarkStart w:id="47" w:name="_1610627972"/>
      <w:bookmarkEnd w:id="47"/>
      <w:bookmarkStart w:id="48" w:name="_1646207480"/>
      <w:bookmarkEnd w:id="48"/>
      <w:bookmarkStart w:id="49" w:name="_1531732229"/>
      <w:bookmarkEnd w:id="49"/>
      <w:bookmarkStart w:id="50" w:name="_1604322762"/>
      <w:bookmarkEnd w:id="50"/>
      <w:r>
        <w:rPr>
          <w:rFonts w:hint="eastAsia"/>
          <w:color w:val="auto"/>
          <w:highlight w:val="none"/>
        </w:rPr>
        <w:t>服务人员采用现场及非现场方式提供审计服务，按要求完成审计内容，及时出具审计报告。承诺增值服务的按约定提供相应的增值服务。</w:t>
      </w:r>
    </w:p>
    <w:p>
      <w:pPr>
        <w:pStyle w:val="4"/>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bookmarkEnd w:id="37"/>
    </w:p>
    <w:p>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pPr>
        <w:bidi w:val="0"/>
        <w:rPr>
          <w:color w:val="auto"/>
          <w:highlight w:val="none"/>
        </w:rPr>
      </w:pPr>
      <w:r>
        <w:rPr>
          <w:rFonts w:hint="eastAsia"/>
          <w:color w:val="auto"/>
          <w:highlight w:val="none"/>
        </w:rPr>
        <w:t>合格参选人应完全符合比选文件第一章中规定的参选人资格条件，并对比选文件作出实质性响应。</w:t>
      </w:r>
    </w:p>
    <w:p>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pPr>
        <w:pStyle w:val="4"/>
        <w:bidi w:val="0"/>
        <w:rPr>
          <w:color w:val="auto"/>
          <w:highlight w:val="none"/>
        </w:rPr>
      </w:pPr>
      <w:bookmarkStart w:id="51" w:name="_Toc89675162"/>
      <w:r>
        <w:rPr>
          <w:rFonts w:hint="eastAsia"/>
          <w:color w:val="auto"/>
          <w:highlight w:val="none"/>
          <w:lang w:val="en-US" w:eastAsia="zh-CN"/>
        </w:rPr>
        <w:t xml:space="preserve">3. </w:t>
      </w:r>
      <w:r>
        <w:rPr>
          <w:rFonts w:hint="eastAsia"/>
          <w:color w:val="auto"/>
          <w:highlight w:val="none"/>
        </w:rPr>
        <w:t>比选文件</w:t>
      </w:r>
      <w:bookmarkEnd w:id="51"/>
    </w:p>
    <w:p>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pPr>
        <w:bidi w:val="0"/>
        <w:rPr>
          <w:color w:val="auto"/>
          <w:highlight w:val="none"/>
        </w:rPr>
      </w:pPr>
      <w:r>
        <w:rPr>
          <w:rFonts w:hint="eastAsia"/>
          <w:color w:val="auto"/>
          <w:highlight w:val="none"/>
        </w:rPr>
        <w:t>本行对比选文件所作的一切有效的书面通知、修改及补充，都是比选文件不可分割的部分。</w:t>
      </w:r>
    </w:p>
    <w:p>
      <w:pPr>
        <w:pStyle w:val="4"/>
        <w:bidi w:val="0"/>
        <w:rPr>
          <w:color w:val="auto"/>
          <w:highlight w:val="none"/>
        </w:rPr>
      </w:pPr>
      <w:bookmarkStart w:id="52" w:name="_Toc89675163"/>
      <w:r>
        <w:rPr>
          <w:rFonts w:hint="eastAsia"/>
          <w:color w:val="auto"/>
          <w:highlight w:val="none"/>
          <w:lang w:val="en-US" w:eastAsia="zh-CN"/>
        </w:rPr>
        <w:t xml:space="preserve">4. </w:t>
      </w:r>
      <w:r>
        <w:rPr>
          <w:color w:val="auto"/>
          <w:highlight w:val="none"/>
        </w:rPr>
        <w:t>参选</w:t>
      </w:r>
      <w:bookmarkEnd w:id="52"/>
    </w:p>
    <w:p>
      <w:pPr>
        <w:bidi w:val="0"/>
        <w:rPr>
          <w:color w:val="auto"/>
          <w:highlight w:val="none"/>
        </w:rPr>
      </w:pPr>
      <w:r>
        <w:rPr>
          <w:rFonts w:hint="eastAsia"/>
          <w:color w:val="auto"/>
          <w:highlight w:val="none"/>
        </w:rPr>
        <w:t>参选人应当按照比选文件的要求编制参选文件，并对比选文件提出的要求和条件作出实质性响应。</w:t>
      </w:r>
    </w:p>
    <w:p>
      <w:pPr>
        <w:pStyle w:val="5"/>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pPr>
        <w:pStyle w:val="5"/>
        <w:bidi w:val="0"/>
        <w:rPr>
          <w:rFonts w:hint="eastAsia"/>
          <w:color w:val="auto"/>
          <w:highlight w:val="none"/>
          <w:lang w:val="en-US" w:eastAsia="zh-CN"/>
        </w:rPr>
      </w:pPr>
      <w:r>
        <w:rPr>
          <w:rFonts w:hint="eastAsia"/>
          <w:color w:val="auto"/>
          <w:highlight w:val="none"/>
          <w:lang w:val="en-US" w:eastAsia="zh-CN"/>
        </w:rPr>
        <w:t>4.2 联合参选</w:t>
      </w:r>
    </w:p>
    <w:p>
      <w:pPr>
        <w:bidi w:val="0"/>
        <w:rPr>
          <w:rFonts w:hint="eastAsia"/>
          <w:color w:val="auto"/>
          <w:highlight w:val="none"/>
        </w:rPr>
      </w:pPr>
      <w:r>
        <w:rPr>
          <w:rFonts w:hint="eastAsia"/>
          <w:color w:val="auto"/>
          <w:highlight w:val="none"/>
        </w:rPr>
        <w:t>本比选项目不接受联合参选</w:t>
      </w:r>
    </w:p>
    <w:p>
      <w:pPr>
        <w:pStyle w:val="5"/>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pPr>
        <w:bidi w:val="0"/>
        <w:rPr>
          <w:color w:val="auto"/>
          <w:highlight w:val="none"/>
        </w:rPr>
      </w:pPr>
      <w:r>
        <w:rPr>
          <w:rFonts w:hint="eastAsia"/>
          <w:color w:val="auto"/>
          <w:highlight w:val="none"/>
        </w:rPr>
        <w:t>参选有效期为参选截止日期后90天内。</w:t>
      </w:r>
    </w:p>
    <w:p>
      <w:pPr>
        <w:pStyle w:val="5"/>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pPr>
        <w:pStyle w:val="5"/>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w:t>
      </w:r>
      <w:r>
        <w:rPr>
          <w:rFonts w:hint="eastAsia"/>
          <w:b w:val="0"/>
          <w:bCs w:val="0"/>
          <w:color w:val="auto"/>
          <w:highlight w:val="none"/>
        </w:rPr>
        <w:t>电子文件应为参选文件盖章后的扫描件PDF，并单独装入信封中密封，并在信封表面加盖鲜章（公章）。</w:t>
      </w:r>
    </w:p>
    <w:p>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pPr>
        <w:pStyle w:val="5"/>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pPr>
        <w:pStyle w:val="5"/>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pPr>
        <w:bidi w:val="0"/>
        <w:rPr>
          <w:rFonts w:hint="eastAsia" w:eastAsia="宋体"/>
          <w:color w:val="auto"/>
          <w:highlight w:val="none"/>
          <w:lang w:val="en-US" w:eastAsia="zh-CN"/>
        </w:rPr>
      </w:pPr>
      <w:r>
        <w:rPr>
          <w:rFonts w:hint="eastAsia"/>
          <w:color w:val="auto"/>
          <w:highlight w:val="none"/>
          <w:lang w:val="en-US" w:eastAsia="zh-CN"/>
        </w:rPr>
        <w:t xml:space="preserve">4.7.4 </w:t>
      </w:r>
      <w:r>
        <w:rPr>
          <w:color w:val="auto"/>
          <w:highlight w:val="none"/>
        </w:rPr>
        <w:t>参选报价</w:t>
      </w:r>
      <w:r>
        <w:rPr>
          <w:rFonts w:hint="eastAsia"/>
          <w:color w:val="auto"/>
          <w:highlight w:val="none"/>
          <w:lang w:val="en-US" w:eastAsia="zh-CN"/>
        </w:rPr>
        <w:t>不得</w:t>
      </w:r>
      <w:r>
        <w:rPr>
          <w:color w:val="auto"/>
          <w:highlight w:val="none"/>
        </w:rPr>
        <w:t>超出最高限价</w:t>
      </w:r>
      <w:r>
        <w:rPr>
          <w:rFonts w:hint="eastAsia"/>
          <w:color w:val="auto"/>
          <w:highlight w:val="none"/>
          <w:lang w:eastAsia="zh-CN"/>
        </w:rPr>
        <w:t>。</w:t>
      </w:r>
    </w:p>
    <w:p>
      <w:pPr>
        <w:pStyle w:val="5"/>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pPr>
        <w:bidi w:val="0"/>
        <w:rPr>
          <w:color w:val="auto"/>
          <w:highlight w:val="none"/>
        </w:rPr>
      </w:pPr>
      <w:r>
        <w:rPr>
          <w:rFonts w:hint="eastAsia"/>
          <w:color w:val="auto"/>
          <w:highlight w:val="none"/>
        </w:rPr>
        <w:t>若参选文件出现计算或表达上的错误，修正错误的原则如下：</w:t>
      </w:r>
    </w:p>
    <w:p>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pPr>
        <w:bidi w:val="0"/>
        <w:rPr>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pPr>
        <w:pStyle w:val="4"/>
        <w:bidi w:val="0"/>
        <w:rPr>
          <w:color w:val="auto"/>
          <w:highlight w:val="none"/>
        </w:rPr>
      </w:pPr>
      <w:bookmarkStart w:id="53" w:name="_Toc89675166"/>
      <w:r>
        <w:rPr>
          <w:rFonts w:hint="eastAsia"/>
          <w:color w:val="auto"/>
          <w:highlight w:val="none"/>
          <w:lang w:val="en-US" w:eastAsia="zh-CN"/>
        </w:rPr>
        <w:t xml:space="preserve">5. </w:t>
      </w:r>
      <w:r>
        <w:rPr>
          <w:rFonts w:hint="eastAsia"/>
          <w:color w:val="auto"/>
          <w:highlight w:val="none"/>
        </w:rPr>
        <w:t>比选程序</w:t>
      </w:r>
    </w:p>
    <w:p>
      <w:pPr>
        <w:bidi w:val="0"/>
        <w:rPr>
          <w:color w:val="auto"/>
          <w:highlight w:val="none"/>
        </w:rPr>
      </w:pPr>
      <w:r>
        <w:rPr>
          <w:rFonts w:hint="eastAsia"/>
          <w:color w:val="auto"/>
          <w:highlight w:val="none"/>
        </w:rPr>
        <w:t>主持人按下列程序进行比选：</w:t>
      </w:r>
    </w:p>
    <w:p>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pPr>
        <w:bidi w:val="0"/>
        <w:rPr>
          <w:color w:val="auto"/>
          <w:highlight w:val="none"/>
        </w:rPr>
      </w:pPr>
      <w:r>
        <w:rPr>
          <w:rFonts w:hint="eastAsia"/>
          <w:color w:val="auto"/>
          <w:highlight w:val="none"/>
          <w:lang w:val="en-US" w:eastAsia="zh-CN"/>
        </w:rPr>
        <w:t xml:space="preserve">5.3 </w:t>
      </w:r>
      <w:r>
        <w:rPr>
          <w:rFonts w:hint="eastAsia"/>
          <w:color w:val="auto"/>
          <w:highlight w:val="none"/>
        </w:rPr>
        <w:t>公布在比选截止时间前递交参选文件的参选人名称，并点名确认参选人是否派人到场；</w:t>
      </w:r>
    </w:p>
    <w:p>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pPr>
        <w:pStyle w:val="4"/>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pPr>
        <w:pStyle w:val="4"/>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53"/>
    </w:p>
    <w:p>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pPr>
        <w:pStyle w:val="4"/>
        <w:bidi w:val="0"/>
        <w:rPr>
          <w:color w:val="auto"/>
          <w:highlight w:val="none"/>
        </w:rPr>
      </w:pPr>
      <w:bookmarkStart w:id="54" w:name="_Toc89675168"/>
      <w:bookmarkStart w:id="55" w:name="_Toc12245"/>
      <w:r>
        <w:rPr>
          <w:rFonts w:hint="eastAsia"/>
          <w:color w:val="auto"/>
          <w:highlight w:val="none"/>
          <w:lang w:val="en-US" w:eastAsia="zh-CN"/>
        </w:rPr>
        <w:t xml:space="preserve">8. </w:t>
      </w:r>
      <w:r>
        <w:rPr>
          <w:rFonts w:hint="eastAsia"/>
          <w:color w:val="auto"/>
          <w:highlight w:val="none"/>
        </w:rPr>
        <w:t>签订合同</w:t>
      </w:r>
      <w:bookmarkEnd w:id="54"/>
      <w:bookmarkEnd w:id="55"/>
    </w:p>
    <w:p>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w:t>
      </w:r>
      <w:r>
        <w:rPr>
          <w:color w:val="auto"/>
          <w:highlight w:val="none"/>
          <w:lang w:val="en-US" w:eastAsia="zh-CN"/>
        </w:rPr>
        <w:t>30</w:t>
      </w:r>
      <w:r>
        <w:rPr>
          <w:rFonts w:hint="eastAsia"/>
          <w:color w:val="auto"/>
          <w:highlight w:val="none"/>
          <w:lang w:val="en-US" w:eastAsia="zh-CN"/>
        </w:rPr>
        <w:t>日内</w:t>
      </w:r>
      <w:r>
        <w:rPr>
          <w:rFonts w:hint="eastAsia"/>
          <w:color w:val="auto"/>
          <w:highlight w:val="none"/>
        </w:rPr>
        <w:t>，依据比选文件和中选人参选文件的约定，按照比选人内部流程与中选人签订书面合同。所签订的合同不得对比选文件和中选人参选文件作实质性修改。</w:t>
      </w:r>
    </w:p>
    <w:p>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pPr>
        <w:bidi w:val="0"/>
        <w:rPr>
          <w:color w:val="auto"/>
          <w:highlight w:val="none"/>
          <w:lang w:val="en-US" w:eastAsia="zh-CN"/>
        </w:rPr>
      </w:pPr>
      <w:r>
        <w:rPr>
          <w:rFonts w:hint="eastAsia"/>
          <w:color w:val="auto"/>
          <w:highlight w:val="none"/>
          <w:lang w:val="en-US" w:eastAsia="zh-CN"/>
        </w:rPr>
        <w:t>8.5 该项目不允许任何形式的转包。</w:t>
      </w:r>
    </w:p>
    <w:p>
      <w:pPr>
        <w:pStyle w:val="4"/>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pPr>
        <w:bidi w:val="0"/>
        <w:rPr>
          <w:color w:val="auto"/>
          <w:highlight w:val="none"/>
        </w:rPr>
      </w:pPr>
      <w:r>
        <w:rPr>
          <w:rFonts w:hint="eastAsia"/>
          <w:color w:val="auto"/>
          <w:highlight w:val="none"/>
        </w:rPr>
        <w:t>针对以上情况，比选人有权没收参选人的参选保证金，并保留进一步追究由此带来损失的权利。</w:t>
      </w:r>
    </w:p>
    <w:p>
      <w:pPr>
        <w:pStyle w:val="4"/>
        <w:bidi w:val="0"/>
        <w:rPr>
          <w:color w:val="auto"/>
          <w:highlight w:val="none"/>
        </w:rPr>
      </w:pPr>
      <w:bookmarkStart w:id="56" w:name="_Toc89675169"/>
      <w:r>
        <w:rPr>
          <w:rFonts w:hint="eastAsia"/>
          <w:color w:val="auto"/>
          <w:highlight w:val="none"/>
          <w:lang w:val="en-US" w:eastAsia="zh-CN"/>
        </w:rPr>
        <w:t xml:space="preserve">10. </w:t>
      </w:r>
      <w:r>
        <w:rPr>
          <w:rFonts w:hint="eastAsia"/>
          <w:color w:val="auto"/>
          <w:highlight w:val="none"/>
        </w:rPr>
        <w:t>提问、质疑、投诉</w:t>
      </w:r>
    </w:p>
    <w:p>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补遗内容可能影响参选文件编制的，须在比选截止时间3日前发布，发布时间至比选截止时间不足3日的，须相应延后比选截止时间。</w:t>
      </w:r>
    </w:p>
    <w:p>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参选人对比选文件和答疑补遗有质疑的，应当在比选截止时间3日前，以书面形式通知比选人。比选人应当自收到质疑之日起3日内做出答复，并将答复内容以补遗的形式发布。</w:t>
      </w:r>
    </w:p>
    <w:p>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参选人对公示的中选结果有质疑，参选人需在公示期内以书面形式向比选人提出质疑。本行在公示截止日期前负责书面答复。</w:t>
      </w:r>
    </w:p>
    <w:p>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pPr>
        <w:bidi w:val="0"/>
        <w:rPr>
          <w:color w:val="auto"/>
          <w:highlight w:val="none"/>
        </w:rPr>
      </w:pPr>
      <w:r>
        <w:rPr>
          <w:rFonts w:hint="eastAsia"/>
          <w:color w:val="auto"/>
          <w:highlight w:val="none"/>
        </w:rPr>
        <w:t>采购质疑邮箱：</w:t>
      </w:r>
      <w:r>
        <w:rPr>
          <w:color w:val="auto"/>
          <w:highlight w:val="none"/>
        </w:rPr>
        <w:t>sx.jcb@ccqtgb.com</w:t>
      </w:r>
    </w:p>
    <w:p>
      <w:pPr>
        <w:bidi w:val="0"/>
        <w:rPr>
          <w:rFonts w:hint="eastAsia"/>
          <w:color w:val="auto"/>
          <w:highlight w:val="none"/>
        </w:rPr>
      </w:pPr>
      <w:r>
        <w:rPr>
          <w:rFonts w:hint="eastAsia"/>
          <w:color w:val="auto"/>
          <w:highlight w:val="none"/>
        </w:rPr>
        <w:t>采购投诉邮箱：</w:t>
      </w:r>
      <w:bookmarkStart w:id="57" w:name="_Hlk74215856"/>
      <w:r>
        <w:rPr>
          <w:rFonts w:hint="eastAsia" w:ascii="宋体"/>
          <w:snapToGrid w:val="0"/>
          <w:color w:val="auto"/>
          <w:kern w:val="0"/>
          <w:szCs w:val="24"/>
          <w:highlight w:val="none"/>
          <w:u w:val="none"/>
        </w:rPr>
        <w:t>sxyhjjz@</w:t>
      </w:r>
      <w:r>
        <w:rPr>
          <w:rFonts w:ascii="宋体"/>
          <w:snapToGrid w:val="0"/>
          <w:color w:val="auto"/>
          <w:kern w:val="0"/>
          <w:szCs w:val="24"/>
          <w:highlight w:val="none"/>
          <w:u w:val="none"/>
        </w:rPr>
        <w:t>ccqtgb</w:t>
      </w:r>
      <w:r>
        <w:rPr>
          <w:rFonts w:hint="eastAsia" w:ascii="宋体"/>
          <w:snapToGrid w:val="0"/>
          <w:color w:val="auto"/>
          <w:kern w:val="0"/>
          <w:szCs w:val="24"/>
          <w:highlight w:val="none"/>
          <w:u w:val="none"/>
        </w:rPr>
        <w:t>.com</w:t>
      </w:r>
      <w:bookmarkEnd w:id="57"/>
    </w:p>
    <w:p>
      <w:pPr>
        <w:pStyle w:val="4"/>
        <w:bidi w:val="0"/>
        <w:rPr>
          <w:rFonts w:hint="eastAsia"/>
          <w:color w:val="auto"/>
          <w:highlight w:val="none"/>
        </w:rPr>
      </w:pPr>
      <w:bookmarkStart w:id="58" w:name="_Toc275199618"/>
      <w:bookmarkStart w:id="59" w:name="_Toc440628924"/>
      <w:bookmarkStart w:id="60" w:name="_Toc89675157"/>
      <w:bookmarkStart w:id="61" w:name="_Toc15059431"/>
      <w:bookmarkStart w:id="62" w:name="_Toc11439"/>
      <w:r>
        <w:rPr>
          <w:rFonts w:hint="eastAsia"/>
          <w:color w:val="auto"/>
          <w:highlight w:val="none"/>
          <w:lang w:val="en-US" w:eastAsia="zh-CN"/>
        </w:rPr>
        <w:t xml:space="preserve">11. </w:t>
      </w:r>
      <w:r>
        <w:rPr>
          <w:rFonts w:hint="eastAsia"/>
          <w:color w:val="auto"/>
          <w:highlight w:val="none"/>
        </w:rPr>
        <w:t>无效参选条款</w:t>
      </w:r>
      <w:bookmarkEnd w:id="58"/>
      <w:bookmarkEnd w:id="59"/>
      <w:bookmarkEnd w:id="60"/>
      <w:bookmarkEnd w:id="61"/>
      <w:bookmarkEnd w:id="62"/>
    </w:p>
    <w:p>
      <w:pPr>
        <w:bidi w:val="0"/>
        <w:rPr>
          <w:color w:val="auto"/>
          <w:highlight w:val="none"/>
        </w:rPr>
      </w:pPr>
      <w:r>
        <w:rPr>
          <w:rFonts w:hint="eastAsia"/>
          <w:color w:val="auto"/>
          <w:highlight w:val="none"/>
        </w:rPr>
        <w:t>参选人或其参选文件出现下列情况之一者，应为无效参选：</w:t>
      </w:r>
    </w:p>
    <w:p>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pPr>
        <w:pStyle w:val="4"/>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eastAsia="宋体"/>
          <w:color w:val="auto"/>
          <w:highlight w:val="none"/>
          <w:lang w:val="en-US" w:eastAsia="zh-CN"/>
        </w:rPr>
      </w:pPr>
      <w:r>
        <w:rPr>
          <w:rFonts w:hint="eastAsia" w:ascii="宋体" w:eastAsia="宋体"/>
          <w:color w:val="auto"/>
          <w:highlight w:val="none"/>
          <w:lang w:val="en-US" w:eastAsia="zh-CN"/>
        </w:rPr>
        <w:t>12. 比选失败情形</w:t>
      </w:r>
    </w:p>
    <w:p>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w:t>
      </w:r>
      <w:r>
        <w:rPr>
          <w:rFonts w:hint="eastAsia"/>
          <w:color w:val="auto"/>
          <w:highlight w:val="none"/>
        </w:rPr>
        <w:t>比选截止时间止，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pPr>
        <w:pStyle w:val="4"/>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56"/>
    </w:p>
    <w:p>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pPr>
        <w:pStyle w:val="4"/>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pPr>
        <w:bidi w:val="0"/>
        <w:rPr>
          <w:color w:val="auto"/>
          <w:highlight w:val="none"/>
        </w:rPr>
      </w:pPr>
      <w:r>
        <w:rPr>
          <w:rFonts w:hint="eastAsia"/>
          <w:color w:val="auto"/>
          <w:highlight w:val="none"/>
        </w:rPr>
        <w:t>参选人参与本比选项目时，一切与参选有关的费用均由参选人自理。</w:t>
      </w:r>
    </w:p>
    <w:p>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15000</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pPr>
        <w:widowControl/>
        <w:jc w:val="center"/>
        <w:outlineLvl w:val="0"/>
        <w:rPr>
          <w:rFonts w:hint="eastAsia" w:ascii="宋体" w:eastAsia="宋体" w:cs="等线 Light"/>
          <w:b/>
          <w:snapToGrid w:val="0"/>
          <w:color w:val="auto"/>
          <w:kern w:val="0"/>
          <w:sz w:val="44"/>
          <w:szCs w:val="44"/>
          <w:highlight w:val="none"/>
          <w:lang w:val="en-US" w:eastAsia="zh-CN" w:bidi="ar-SA"/>
        </w:rPr>
      </w:pPr>
      <w:r>
        <w:rPr>
          <w:rFonts w:ascii="宋体" w:cs="Cambria"/>
          <w:snapToGrid w:val="0"/>
          <w:color w:val="auto"/>
          <w:kern w:val="0"/>
          <w:szCs w:val="28"/>
          <w:highlight w:val="none"/>
        </w:rPr>
        <w:br w:type="page"/>
      </w:r>
      <w:bookmarkStart w:id="63" w:name="_Toc10943"/>
      <w:bookmarkStart w:id="64" w:name="_Toc11825"/>
      <w:bookmarkStart w:id="65" w:name="_Toc23905"/>
      <w:r>
        <w:rPr>
          <w:rFonts w:hint="eastAsia" w:ascii="宋体" w:eastAsia="宋体" w:cs="等线 Light"/>
          <w:b/>
          <w:snapToGrid w:val="0"/>
          <w:color w:val="auto"/>
          <w:kern w:val="0"/>
          <w:sz w:val="44"/>
          <w:szCs w:val="44"/>
          <w:highlight w:val="none"/>
          <w:lang w:val="en-US" w:eastAsia="zh-CN" w:bidi="ar-SA"/>
        </w:rPr>
        <w:t>第三章 项目要求</w:t>
      </w:r>
      <w:bookmarkEnd w:id="63"/>
      <w:bookmarkEnd w:id="64"/>
      <w:bookmarkEnd w:id="65"/>
    </w:p>
    <w:p>
      <w:pPr>
        <w:pStyle w:val="4"/>
        <w:numPr>
          <w:ilvl w:val="0"/>
          <w:numId w:val="1"/>
        </w:numPr>
        <w:bidi w:val="0"/>
        <w:rPr>
          <w:color w:val="auto"/>
          <w:highlight w:val="none"/>
        </w:rPr>
      </w:pPr>
      <w:r>
        <w:rPr>
          <w:rFonts w:hint="eastAsia"/>
          <w:color w:val="auto"/>
          <w:highlight w:val="none"/>
        </w:rPr>
        <w:t>总体要求</w:t>
      </w:r>
    </w:p>
    <w:p>
      <w:pPr>
        <w:bidi w:val="0"/>
        <w:rPr>
          <w:color w:val="auto"/>
          <w:highlight w:val="none"/>
        </w:rPr>
      </w:pPr>
      <w:r>
        <w:rPr>
          <w:color w:val="auto"/>
          <w:highlight w:val="none"/>
        </w:rPr>
        <w:t>确立与三峡银行经营战略保持一致的审计目标，保持对三峡银行理财业务重大风险领域的评估，精准解读并分析关于资管产品的会计、审计准则及国家相关监管机构法律法规变动对三峡银行理财业务的影响，保持最佳沟通方式，按照中国注册会计师审计准则执行审计工作，按时、高质量地完成所有服务工作。为三峡银行理财业务在投资管理、产品运营、估值核算、内部控制等方面提供有价值的服务。</w:t>
      </w:r>
    </w:p>
    <w:p>
      <w:pPr>
        <w:pStyle w:val="4"/>
        <w:bidi w:val="0"/>
        <w:rPr>
          <w:rFonts w:hint="eastAsia"/>
          <w:color w:val="auto"/>
          <w:highlight w:val="none"/>
          <w:lang w:val="en-US" w:eastAsia="zh-CN"/>
        </w:rPr>
      </w:pPr>
      <w:r>
        <w:rPr>
          <w:rFonts w:hint="eastAsia"/>
          <w:color w:val="auto"/>
          <w:highlight w:val="none"/>
          <w:lang w:val="en-US" w:eastAsia="zh-CN"/>
        </w:rPr>
        <w:t xml:space="preserve">2. </w:t>
      </w:r>
      <w:r>
        <w:rPr>
          <w:color w:val="auto"/>
          <w:highlight w:val="none"/>
          <w:lang w:val="en-US" w:eastAsia="zh-CN"/>
        </w:rPr>
        <w:t>技术</w:t>
      </w:r>
      <w:r>
        <w:rPr>
          <w:rFonts w:hint="eastAsia"/>
          <w:color w:val="auto"/>
          <w:highlight w:val="none"/>
          <w:lang w:val="en-US" w:eastAsia="zh-CN"/>
        </w:rPr>
        <w:t>要求</w:t>
      </w:r>
    </w:p>
    <w:p>
      <w:pPr>
        <w:pStyle w:val="4"/>
        <w:bidi w:val="0"/>
        <w:ind w:firstLine="480" w:firstLineChars="200"/>
        <w:rPr>
          <w:color w:val="auto"/>
          <w:highlight w:val="none"/>
        </w:rPr>
      </w:pPr>
      <w:r>
        <w:rPr>
          <w:rFonts w:hint="eastAsia"/>
          <w:b w:val="0"/>
          <w:bCs w:val="0"/>
          <w:color w:val="auto"/>
          <w:highlight w:val="none"/>
        </w:rPr>
        <w:t>审计服务对象为我行</w:t>
      </w:r>
      <w:r>
        <w:rPr>
          <w:b w:val="0"/>
          <w:bCs w:val="0"/>
          <w:color w:val="auto"/>
          <w:highlight w:val="none"/>
        </w:rPr>
        <w:t>2023年存续</w:t>
      </w:r>
      <w:r>
        <w:rPr>
          <w:rFonts w:hint="eastAsia"/>
          <w:b w:val="0"/>
          <w:bCs w:val="0"/>
          <w:color w:val="auto"/>
          <w:highlight w:val="none"/>
        </w:rPr>
        <w:t>的需审计的公募理财产品，审计内容包括单只</w:t>
      </w:r>
      <w:r>
        <w:rPr>
          <w:b w:val="0"/>
          <w:bCs w:val="0"/>
          <w:color w:val="auto"/>
          <w:highlight w:val="none"/>
        </w:rPr>
        <w:t>公募</w:t>
      </w:r>
      <w:r>
        <w:rPr>
          <w:rFonts w:hint="eastAsia"/>
          <w:b w:val="0"/>
          <w:bCs w:val="0"/>
          <w:color w:val="auto"/>
          <w:highlight w:val="none"/>
        </w:rPr>
        <w:t>理财产品的年度审计与清算审计，主要审计单只理财产品财务报告，审计过程包含风险控制、系统操作、对手询证、估值评价、资产收益确认评估、财务数据审计等环节，发表审计意见，出具审计报告。</w:t>
      </w:r>
      <w:r>
        <w:rPr>
          <w:b w:val="0"/>
          <w:bCs w:val="0"/>
          <w:color w:val="auto"/>
          <w:highlight w:val="none"/>
        </w:rPr>
        <w:t>对参选人和相关人员的要求详见各评分标准。</w:t>
      </w:r>
    </w:p>
    <w:p>
      <w:pPr>
        <w:pStyle w:val="4"/>
        <w:bidi w:val="0"/>
        <w:rPr>
          <w:color w:val="auto"/>
          <w:highlight w:val="none"/>
        </w:rPr>
      </w:pPr>
      <w:bookmarkStart w:id="66" w:name="_Toc15059418"/>
      <w:bookmarkStart w:id="67" w:name="_Toc89675144"/>
      <w:r>
        <w:rPr>
          <w:color w:val="auto"/>
          <w:highlight w:val="none"/>
          <w:lang w:val="en-US" w:eastAsia="zh-CN"/>
        </w:rPr>
        <w:t>3</w:t>
      </w:r>
      <w:r>
        <w:rPr>
          <w:rFonts w:hint="eastAsia"/>
          <w:color w:val="auto"/>
          <w:highlight w:val="none"/>
          <w:lang w:val="en-US" w:eastAsia="zh-CN"/>
        </w:rPr>
        <w:t xml:space="preserve">. </w:t>
      </w:r>
      <w:r>
        <w:rPr>
          <w:rFonts w:hint="eastAsia"/>
          <w:color w:val="auto"/>
          <w:highlight w:val="none"/>
        </w:rPr>
        <w:t>交付周期、地点</w:t>
      </w:r>
      <w:bookmarkEnd w:id="66"/>
      <w:bookmarkEnd w:id="67"/>
    </w:p>
    <w:p>
      <w:pPr>
        <w:pStyle w:val="5"/>
        <w:bidi w:val="0"/>
        <w:rPr>
          <w:color w:val="auto"/>
          <w:highlight w:val="none"/>
        </w:rPr>
      </w:pPr>
      <w:bookmarkStart w:id="68" w:name="_Toc89675146"/>
      <w:bookmarkStart w:id="69" w:name="_Toc15059420"/>
      <w:bookmarkStart w:id="70" w:name="_Toc1125"/>
      <w:bookmarkStart w:id="71" w:name="_Toc387826347"/>
      <w:bookmarkStart w:id="72" w:name="_Toc440628915"/>
      <w:bookmarkStart w:id="73" w:name="_Toc432254881"/>
      <w:r>
        <w:rPr>
          <w:color w:val="auto"/>
          <w:highlight w:val="none"/>
          <w:lang w:val="en-US" w:eastAsia="zh-CN"/>
        </w:rPr>
        <w:t>3</w:t>
      </w:r>
      <w:r>
        <w:rPr>
          <w:rFonts w:hint="eastAsia"/>
          <w:color w:val="auto"/>
          <w:highlight w:val="none"/>
          <w:lang w:val="en-US" w:eastAsia="zh-CN"/>
        </w:rPr>
        <w:t xml:space="preserve">.1 </w:t>
      </w:r>
      <w:r>
        <w:rPr>
          <w:rFonts w:hint="eastAsia"/>
          <w:color w:val="auto"/>
          <w:highlight w:val="none"/>
        </w:rPr>
        <w:t>交付时间</w:t>
      </w:r>
    </w:p>
    <w:p>
      <w:pPr>
        <w:bidi w:val="0"/>
        <w:ind w:firstLine="480" w:firstLineChars="200"/>
        <w:rPr>
          <w:rFonts w:hint="eastAsia"/>
          <w:color w:val="auto"/>
          <w:highlight w:val="none"/>
        </w:rPr>
      </w:pPr>
      <w:bookmarkStart w:id="74" w:name="_1672138452"/>
      <w:bookmarkEnd w:id="74"/>
      <w:bookmarkStart w:id="75" w:name="_1557836486"/>
      <w:bookmarkEnd w:id="75"/>
      <w:bookmarkStart w:id="76" w:name="_1596375740"/>
      <w:bookmarkEnd w:id="76"/>
      <w:bookmarkStart w:id="77" w:name="_1604322702"/>
      <w:bookmarkEnd w:id="77"/>
      <w:bookmarkStart w:id="78" w:name="_1531916814"/>
      <w:bookmarkEnd w:id="78"/>
      <w:bookmarkStart w:id="79" w:name="_1596371690"/>
      <w:bookmarkEnd w:id="79"/>
      <w:bookmarkStart w:id="80" w:name="_1698647793"/>
      <w:bookmarkEnd w:id="80"/>
      <w:bookmarkStart w:id="81" w:name="_1646207419"/>
      <w:bookmarkEnd w:id="81"/>
      <w:bookmarkStart w:id="82" w:name="_1610630910"/>
      <w:bookmarkEnd w:id="82"/>
      <w:bookmarkStart w:id="83" w:name="_1531226319"/>
      <w:bookmarkEnd w:id="83"/>
      <w:bookmarkStart w:id="84" w:name="_1610627952"/>
      <w:bookmarkEnd w:id="84"/>
      <w:bookmarkStart w:id="85" w:name="_1531732163"/>
      <w:bookmarkEnd w:id="85"/>
      <w:bookmarkStart w:id="86" w:name="_1616585634"/>
      <w:bookmarkEnd w:id="86"/>
      <w:r>
        <w:rPr>
          <w:rFonts w:hint="eastAsia"/>
          <w:color w:val="auto"/>
          <w:highlight w:val="none"/>
        </w:rPr>
        <w:t>自审计服务合同约定的审计服务起始时间起</w:t>
      </w:r>
      <w:r>
        <w:rPr>
          <w:color w:val="auto"/>
          <w:highlight w:val="none"/>
        </w:rPr>
        <w:t>半年内。</w:t>
      </w:r>
    </w:p>
    <w:p>
      <w:pPr>
        <w:pStyle w:val="5"/>
        <w:bidi w:val="0"/>
        <w:rPr>
          <w:rFonts w:hint="eastAsia"/>
          <w:color w:val="auto"/>
          <w:highlight w:val="none"/>
        </w:rPr>
      </w:pPr>
      <w:r>
        <w:rPr>
          <w:color w:val="auto"/>
          <w:highlight w:val="none"/>
          <w:lang w:val="en-US" w:eastAsia="zh-CN"/>
        </w:rPr>
        <w:t>3</w:t>
      </w:r>
      <w:r>
        <w:rPr>
          <w:rFonts w:hint="eastAsia"/>
          <w:color w:val="auto"/>
          <w:highlight w:val="none"/>
          <w:lang w:val="en-US" w:eastAsia="zh-CN"/>
        </w:rPr>
        <w:t xml:space="preserve">.2 </w:t>
      </w:r>
      <w:r>
        <w:rPr>
          <w:rFonts w:hint="eastAsia"/>
          <w:color w:val="auto"/>
          <w:highlight w:val="none"/>
        </w:rPr>
        <w:t>实施及交付地点</w:t>
      </w:r>
    </w:p>
    <w:p>
      <w:pPr>
        <w:bidi w:val="0"/>
        <w:rPr>
          <w:color w:val="auto"/>
          <w:highlight w:val="none"/>
        </w:rPr>
      </w:pPr>
      <w:r>
        <w:rPr>
          <w:rFonts w:hint="eastAsia"/>
          <w:color w:val="auto"/>
          <w:highlight w:val="none"/>
        </w:rPr>
        <w:t>重庆市。</w:t>
      </w:r>
    </w:p>
    <w:p>
      <w:pPr>
        <w:pStyle w:val="4"/>
        <w:bidi w:val="0"/>
        <w:rPr>
          <w:color w:val="auto"/>
          <w:highlight w:val="none"/>
          <w:lang w:val="en-US"/>
        </w:rPr>
      </w:pPr>
      <w:r>
        <w:rPr>
          <w:color w:val="auto"/>
          <w:highlight w:val="none"/>
          <w:lang w:val="en-US" w:eastAsia="zh-CN"/>
        </w:rPr>
        <w:t>4</w:t>
      </w:r>
      <w:r>
        <w:rPr>
          <w:rFonts w:hint="eastAsia"/>
          <w:color w:val="auto"/>
          <w:highlight w:val="none"/>
          <w:lang w:val="en-US" w:eastAsia="zh-CN"/>
        </w:rPr>
        <w:t>. 服务连续性预案</w:t>
      </w:r>
    </w:p>
    <w:p>
      <w:pPr>
        <w:bidi w:val="0"/>
        <w:rPr>
          <w:rFonts w:hint="eastAsia"/>
          <w:color w:val="auto"/>
          <w:highlight w:val="none"/>
          <w:lang w:val="en-US" w:eastAsia="zh-CN"/>
        </w:rPr>
      </w:pPr>
      <w:r>
        <w:rPr>
          <w:rFonts w:hint="eastAsia"/>
          <w:color w:val="auto"/>
          <w:highlight w:val="none"/>
        </w:rPr>
        <w:t>在本次比选中，参选人</w:t>
      </w:r>
      <w:r>
        <w:rPr>
          <w:rFonts w:hint="eastAsia"/>
          <w:color w:val="auto"/>
          <w:highlight w:val="none"/>
          <w:lang w:val="en-US" w:eastAsia="zh-CN"/>
        </w:rPr>
        <w:t>应在参选文件中提供服务连续性预案供比选人查看，服务连续性预案应考虑</w:t>
      </w:r>
      <w:r>
        <w:rPr>
          <w:color w:val="auto"/>
          <w:highlight w:val="none"/>
          <w:lang w:val="en-US" w:eastAsia="zh-CN"/>
        </w:rPr>
        <w:t>监管机构或行业要求变更</w:t>
      </w:r>
      <w:r>
        <w:rPr>
          <w:rFonts w:hint="eastAsia"/>
          <w:color w:val="auto"/>
          <w:highlight w:val="none"/>
          <w:lang w:val="en-US" w:eastAsia="zh-CN"/>
        </w:rPr>
        <w:t>的影响。</w:t>
      </w:r>
    </w:p>
    <w:p>
      <w:pPr>
        <w:pStyle w:val="4"/>
        <w:bidi w:val="0"/>
        <w:rPr>
          <w:color w:val="auto"/>
          <w:highlight w:val="none"/>
          <w:lang w:val="en-US"/>
        </w:rPr>
      </w:pPr>
      <w:r>
        <w:rPr>
          <w:color w:val="auto"/>
          <w:highlight w:val="none"/>
          <w:lang w:val="en-US" w:eastAsia="zh-CN"/>
        </w:rPr>
        <w:t>5</w:t>
      </w:r>
      <w:r>
        <w:rPr>
          <w:rFonts w:hint="eastAsia"/>
          <w:color w:val="auto"/>
          <w:highlight w:val="none"/>
          <w:lang w:val="en-US" w:eastAsia="zh-CN"/>
        </w:rPr>
        <w:t>. 项目实施方案</w:t>
      </w:r>
    </w:p>
    <w:p>
      <w:pPr>
        <w:ind w:firstLine="480" w:firstLineChars="200"/>
        <w:rPr>
          <w:rFonts w:hint="eastAsia"/>
          <w:color w:val="auto"/>
          <w:highlight w:val="none"/>
        </w:rPr>
      </w:pPr>
      <w:r>
        <w:rPr>
          <w:rFonts w:hint="eastAsia"/>
          <w:color w:val="auto"/>
          <w:highlight w:val="none"/>
        </w:rPr>
        <w:t>在本次比选中，参选人</w:t>
      </w:r>
      <w:r>
        <w:rPr>
          <w:rFonts w:hint="eastAsia"/>
          <w:color w:val="auto"/>
          <w:highlight w:val="none"/>
          <w:lang w:val="en-US" w:eastAsia="zh-CN"/>
        </w:rPr>
        <w:t>应在参选文件中提供项目实施方案供比选人查看，方案应包括包括履行合同的时间计划、提交资料、人员安排等内容。</w:t>
      </w:r>
      <w:r>
        <w:rPr>
          <w:rFonts w:hint="eastAsia"/>
          <w:color w:val="auto"/>
          <w:highlight w:val="none"/>
        </w:rPr>
        <w:t>若发生项目人员变动，应当及时按照招标要求重新安排项目人员；若发生项目人员行为不当或违规，应当及时更换并按招标要求调整项目人员及承担约定的责任。</w:t>
      </w:r>
    </w:p>
    <w:bookmarkEnd w:id="68"/>
    <w:bookmarkEnd w:id="69"/>
    <w:p>
      <w:pPr>
        <w:pStyle w:val="4"/>
        <w:bidi w:val="0"/>
        <w:rPr>
          <w:color w:val="auto"/>
          <w:highlight w:val="none"/>
        </w:rPr>
      </w:pPr>
      <w:bookmarkStart w:id="87" w:name="_Toc15059422"/>
      <w:bookmarkStart w:id="88" w:name="_Toc89675148"/>
      <w:r>
        <w:rPr>
          <w:color w:val="auto"/>
          <w:highlight w:val="none"/>
          <w:lang w:val="en-US" w:eastAsia="zh-CN"/>
        </w:rPr>
        <w:t>6</w:t>
      </w:r>
      <w:r>
        <w:rPr>
          <w:rFonts w:hint="eastAsia"/>
          <w:color w:val="auto"/>
          <w:highlight w:val="none"/>
          <w:lang w:val="en-US" w:eastAsia="zh-CN"/>
        </w:rPr>
        <w:t xml:space="preserve">. </w:t>
      </w:r>
      <w:r>
        <w:rPr>
          <w:rFonts w:hint="eastAsia"/>
          <w:color w:val="auto"/>
          <w:highlight w:val="none"/>
        </w:rPr>
        <w:t>付款方式</w:t>
      </w:r>
      <w:bookmarkEnd w:id="87"/>
      <w:bookmarkEnd w:id="88"/>
    </w:p>
    <w:p>
      <w:pPr>
        <w:bidi w:val="0"/>
        <w:rPr>
          <w:color w:val="auto"/>
          <w:highlight w:val="none"/>
        </w:rPr>
      </w:pPr>
      <w:bookmarkStart w:id="89" w:name="_1616585669"/>
      <w:bookmarkEnd w:id="89"/>
      <w:bookmarkStart w:id="90" w:name="_1672138475"/>
      <w:bookmarkEnd w:id="90"/>
      <w:bookmarkStart w:id="91" w:name="_1610630945"/>
      <w:bookmarkEnd w:id="91"/>
      <w:bookmarkStart w:id="92" w:name="_1698647810"/>
      <w:bookmarkEnd w:id="92"/>
      <w:bookmarkStart w:id="93" w:name="_1646207453"/>
      <w:bookmarkEnd w:id="93"/>
      <w:bookmarkStart w:id="94" w:name="_1557836521"/>
      <w:bookmarkEnd w:id="94"/>
      <w:bookmarkStart w:id="95" w:name="_1596371725"/>
      <w:bookmarkEnd w:id="95"/>
      <w:bookmarkStart w:id="96" w:name="_1610627964"/>
      <w:bookmarkEnd w:id="96"/>
      <w:bookmarkStart w:id="97" w:name="_1596375770"/>
      <w:bookmarkEnd w:id="97"/>
      <w:bookmarkStart w:id="98" w:name="_1604322736"/>
      <w:bookmarkEnd w:id="98"/>
      <w:bookmarkStart w:id="99" w:name="_1531227883"/>
      <w:bookmarkEnd w:id="99"/>
      <w:bookmarkStart w:id="100" w:name="_1531916849"/>
      <w:bookmarkEnd w:id="100"/>
      <w:bookmarkStart w:id="101" w:name="_1531732198"/>
      <w:bookmarkEnd w:id="101"/>
      <w:r>
        <w:rPr>
          <w:color w:val="auto"/>
          <w:highlight w:val="none"/>
        </w:rPr>
        <w:t>服务费用按当期已提交正式审计报告数量与合同约定价格计算，以转账方式一次性支付。此费用在比选人收到中选人开具并送达足额有效的增值税专用发票（税率为6%）后30个工作日内向中选人支付。如因中选人未及时向比选人提供足额有效的票据导致比选人付款延迟，比选人不承担任何责任。</w:t>
      </w:r>
    </w:p>
    <w:p>
      <w:pPr>
        <w:pStyle w:val="4"/>
        <w:bidi w:val="0"/>
        <w:rPr>
          <w:color w:val="auto"/>
          <w:highlight w:val="none"/>
        </w:rPr>
      </w:pPr>
      <w:bookmarkStart w:id="102" w:name="_Toc89675150"/>
      <w:bookmarkStart w:id="103" w:name="_Toc15059424"/>
      <w:r>
        <w:rPr>
          <w:color w:val="auto"/>
          <w:highlight w:val="none"/>
          <w:lang w:val="en-US" w:eastAsia="zh-CN"/>
        </w:rPr>
        <w:t>7</w:t>
      </w:r>
      <w:r>
        <w:rPr>
          <w:rFonts w:hint="eastAsia"/>
          <w:color w:val="auto"/>
          <w:highlight w:val="none"/>
          <w:lang w:val="en-US" w:eastAsia="zh-CN"/>
        </w:rPr>
        <w:t xml:space="preserve">. </w:t>
      </w:r>
      <w:r>
        <w:rPr>
          <w:rFonts w:hint="eastAsia"/>
          <w:color w:val="auto"/>
          <w:highlight w:val="none"/>
        </w:rPr>
        <w:t>保密条款</w:t>
      </w:r>
      <w:bookmarkEnd w:id="70"/>
      <w:bookmarkEnd w:id="71"/>
      <w:bookmarkEnd w:id="72"/>
      <w:bookmarkEnd w:id="73"/>
      <w:bookmarkEnd w:id="102"/>
      <w:bookmarkEnd w:id="103"/>
    </w:p>
    <w:p>
      <w:pPr>
        <w:pStyle w:val="5"/>
        <w:bidi w:val="0"/>
        <w:rPr>
          <w:rFonts w:hint="eastAsia"/>
          <w:color w:val="auto"/>
          <w:highlight w:val="none"/>
        </w:rPr>
      </w:pPr>
      <w:r>
        <w:rPr>
          <w:color w:val="auto"/>
          <w:highlight w:val="none"/>
          <w:lang w:val="en-US" w:eastAsia="zh-CN"/>
        </w:rPr>
        <w:t>7</w:t>
      </w:r>
      <w:r>
        <w:rPr>
          <w:rFonts w:hint="eastAsia"/>
          <w:color w:val="auto"/>
          <w:highlight w:val="none"/>
          <w:lang w:val="en-US" w:eastAsia="zh-CN"/>
        </w:rPr>
        <w:t xml:space="preserve">.1 </w:t>
      </w:r>
      <w:r>
        <w:rPr>
          <w:rFonts w:hint="eastAsia"/>
          <w:color w:val="auto"/>
          <w:highlight w:val="none"/>
        </w:rPr>
        <w:t>保密范围</w:t>
      </w:r>
    </w:p>
    <w:p>
      <w:pPr>
        <w:bidi w:val="0"/>
        <w:rPr>
          <w:rFonts w:hint="eastAsia"/>
          <w:color w:val="auto"/>
          <w:highlight w:val="none"/>
        </w:rPr>
      </w:pPr>
      <w:r>
        <w:rPr>
          <w:rFonts w:hint="eastAsia"/>
          <w:color w:val="auto"/>
          <w:highlight w:val="none"/>
        </w:rPr>
        <w:t>中选人在实施过程中接触到的比选人知识产权、经营信息等。</w:t>
      </w:r>
    </w:p>
    <w:p>
      <w:pPr>
        <w:pStyle w:val="5"/>
        <w:bidi w:val="0"/>
        <w:rPr>
          <w:rFonts w:hint="eastAsia"/>
          <w:color w:val="auto"/>
          <w:highlight w:val="none"/>
        </w:rPr>
      </w:pPr>
      <w:r>
        <w:rPr>
          <w:color w:val="auto"/>
          <w:highlight w:val="none"/>
          <w:lang w:val="en-US" w:eastAsia="zh-CN"/>
        </w:rPr>
        <w:t>7</w:t>
      </w:r>
      <w:r>
        <w:rPr>
          <w:rFonts w:hint="eastAsia"/>
          <w:color w:val="auto"/>
          <w:highlight w:val="none"/>
          <w:lang w:val="en-US" w:eastAsia="zh-CN"/>
        </w:rPr>
        <w:t xml:space="preserve">.2 </w:t>
      </w:r>
      <w:r>
        <w:rPr>
          <w:rFonts w:hint="eastAsia"/>
          <w:color w:val="auto"/>
          <w:highlight w:val="none"/>
        </w:rPr>
        <w:t>保密责任</w:t>
      </w:r>
    </w:p>
    <w:p>
      <w:pPr>
        <w:bidi w:val="0"/>
        <w:rPr>
          <w:rFonts w:hint="eastAsia"/>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pPr>
        <w:pStyle w:val="4"/>
        <w:bidi w:val="0"/>
        <w:rPr>
          <w:color w:val="auto"/>
          <w:highlight w:val="none"/>
        </w:rPr>
      </w:pPr>
      <w:r>
        <w:rPr>
          <w:color w:val="auto"/>
          <w:highlight w:val="none"/>
          <w:lang w:val="en-US" w:eastAsia="zh-CN"/>
        </w:rPr>
        <w:t>8</w:t>
      </w:r>
      <w:r>
        <w:rPr>
          <w:rFonts w:hint="eastAsia"/>
          <w:color w:val="auto"/>
          <w:highlight w:val="none"/>
          <w:lang w:val="en-US" w:eastAsia="zh-CN"/>
        </w:rPr>
        <w:t xml:space="preserve">. </w:t>
      </w:r>
      <w:r>
        <w:rPr>
          <w:rFonts w:hint="eastAsia"/>
          <w:color w:val="auto"/>
          <w:highlight w:val="none"/>
        </w:rPr>
        <w:t>报价要求</w:t>
      </w:r>
    </w:p>
    <w:p>
      <w:pPr>
        <w:bidi w:val="0"/>
        <w:rPr>
          <w:rFonts w:hint="eastAsia"/>
          <w:color w:val="auto"/>
          <w:highlight w:val="none"/>
        </w:rPr>
      </w:pPr>
      <w:r>
        <w:rPr>
          <w:rFonts w:hint="eastAsia"/>
          <w:color w:val="auto"/>
          <w:highlight w:val="none"/>
        </w:rPr>
        <w:t>参选人应严格按照《参选文件格式》认真填写。</w:t>
      </w:r>
    </w:p>
    <w:p>
      <w:pPr>
        <w:pStyle w:val="4"/>
        <w:bidi w:val="0"/>
        <w:rPr>
          <w:color w:val="auto"/>
          <w:highlight w:val="none"/>
        </w:rPr>
      </w:pPr>
      <w:bookmarkStart w:id="104" w:name="_Toc89675152"/>
      <w:bookmarkStart w:id="105" w:name="_Toc15059426"/>
      <w:r>
        <w:rPr>
          <w:color w:val="auto"/>
          <w:highlight w:val="none"/>
          <w:lang w:val="en-US" w:eastAsia="zh-CN"/>
        </w:rPr>
        <w:t>9</w:t>
      </w:r>
      <w:r>
        <w:rPr>
          <w:rFonts w:hint="eastAsia"/>
          <w:color w:val="auto"/>
          <w:highlight w:val="none"/>
          <w:lang w:val="en-US" w:eastAsia="zh-CN"/>
        </w:rPr>
        <w:t xml:space="preserve">. </w:t>
      </w:r>
      <w:r>
        <w:rPr>
          <w:rFonts w:hint="eastAsia"/>
          <w:color w:val="auto"/>
          <w:highlight w:val="none"/>
        </w:rPr>
        <w:t>知识产权</w:t>
      </w:r>
      <w:bookmarkEnd w:id="104"/>
      <w:bookmarkEnd w:id="105"/>
    </w:p>
    <w:p>
      <w:pPr>
        <w:bidi w:val="0"/>
        <w:rPr>
          <w:rFonts w:hint="eastAsia"/>
          <w:color w:val="auto"/>
          <w:highlight w:val="none"/>
        </w:rPr>
      </w:pPr>
      <w:r>
        <w:rPr>
          <w:rFonts w:hint="eastAsia"/>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4"/>
        <w:bidi w:val="0"/>
        <w:rPr>
          <w:color w:val="auto"/>
          <w:highlight w:val="none"/>
        </w:rPr>
      </w:pPr>
      <w:bookmarkStart w:id="106" w:name="_Toc15059427"/>
      <w:bookmarkStart w:id="107" w:name="_Toc89675153"/>
      <w:r>
        <w:rPr>
          <w:rFonts w:hint="eastAsia"/>
          <w:color w:val="auto"/>
          <w:highlight w:val="none"/>
          <w:lang w:val="en-US" w:eastAsia="zh-CN"/>
        </w:rPr>
        <w:t>1</w:t>
      </w:r>
      <w:r>
        <w:rPr>
          <w:color w:val="auto"/>
          <w:highlight w:val="none"/>
          <w:lang w:val="en-US" w:eastAsia="zh-CN"/>
        </w:rPr>
        <w:t>0</w:t>
      </w:r>
      <w:r>
        <w:rPr>
          <w:rFonts w:hint="eastAsia"/>
          <w:color w:val="auto"/>
          <w:highlight w:val="none"/>
          <w:lang w:val="en-US" w:eastAsia="zh-CN"/>
        </w:rPr>
        <w:t xml:space="preserve">. </w:t>
      </w:r>
      <w:r>
        <w:rPr>
          <w:rFonts w:hint="eastAsia"/>
          <w:color w:val="auto"/>
          <w:highlight w:val="none"/>
        </w:rPr>
        <w:t>其他</w:t>
      </w:r>
      <w:bookmarkEnd w:id="106"/>
      <w:bookmarkEnd w:id="107"/>
    </w:p>
    <w:p>
      <w:pPr>
        <w:spacing w:line="360" w:lineRule="auto"/>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10.1 </w:t>
      </w:r>
      <w:r>
        <w:rPr>
          <w:rFonts w:ascii="Times New Roman" w:hAnsi="Times New Roman" w:cs="Times New Roman"/>
          <w:snapToGrid w:val="0"/>
          <w:color w:val="auto"/>
          <w:kern w:val="0"/>
          <w:sz w:val="24"/>
          <w:szCs w:val="24"/>
          <w:highlight w:val="none"/>
        </w:rPr>
        <w:t>其他未尽事宜在合同中详细约定。</w:t>
      </w:r>
    </w:p>
    <w:p>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参选人必须在</w:t>
      </w:r>
      <w:r>
        <w:rPr>
          <w:rFonts w:hint="eastAsia"/>
          <w:color w:val="auto"/>
          <w:highlight w:val="none"/>
          <w:lang w:val="en-US" w:eastAsia="zh-CN"/>
        </w:rPr>
        <w:t>响应承诺函</w:t>
      </w:r>
      <w:r>
        <w:rPr>
          <w:rFonts w:hint="eastAsia"/>
          <w:color w:val="auto"/>
          <w:highlight w:val="none"/>
        </w:rPr>
        <w:t>中对</w:t>
      </w:r>
      <w:r>
        <w:rPr>
          <w:rFonts w:hint="eastAsia"/>
          <w:color w:val="auto"/>
          <w:highlight w:val="none"/>
          <w:lang w:val="en-US" w:eastAsia="zh-CN"/>
        </w:rPr>
        <w:t>本章内容做出整体性响应和</w:t>
      </w:r>
      <w:r>
        <w:rPr>
          <w:rFonts w:hint="eastAsia"/>
          <w:color w:val="auto"/>
          <w:highlight w:val="none"/>
        </w:rPr>
        <w:t>承诺，承诺内容必须达到本</w:t>
      </w:r>
      <w:r>
        <w:rPr>
          <w:rFonts w:hint="eastAsia"/>
          <w:color w:val="auto"/>
          <w:highlight w:val="none"/>
          <w:lang w:val="en-US" w:eastAsia="zh-CN"/>
        </w:rPr>
        <w:t>章</w:t>
      </w:r>
      <w:r>
        <w:rPr>
          <w:rFonts w:hint="eastAsia"/>
          <w:color w:val="auto"/>
          <w:highlight w:val="none"/>
        </w:rPr>
        <w:t>及比选文件其他条款的要求。</w:t>
      </w:r>
    </w:p>
    <w:p>
      <w:pPr>
        <w:rPr>
          <w:color w:val="auto"/>
          <w:highlight w:val="none"/>
        </w:rPr>
      </w:pPr>
      <w:r>
        <w:rPr>
          <w:rFonts w:hint="eastAsia"/>
          <w:color w:val="auto"/>
          <w:highlight w:val="none"/>
          <w:lang w:val="en-US" w:eastAsia="zh-CN"/>
        </w:rPr>
        <w:t>10.3 参选人应根据本章内容和要求，提供对应材料，内容齐全，无遗漏。</w:t>
      </w:r>
    </w:p>
    <w:p>
      <w:pPr>
        <w:bidi w:val="0"/>
        <w:rPr>
          <w:color w:val="auto"/>
          <w:highlight w:val="none"/>
        </w:rPr>
      </w:pPr>
    </w:p>
    <w:p>
      <w:pPr>
        <w:snapToGrid w:val="0"/>
        <w:spacing w:line="360" w:lineRule="auto"/>
        <w:ind w:firstLine="480" w:firstLineChars="200"/>
        <w:rPr>
          <w:rFonts w:hint="eastAsia" w:ascii="宋体" w:cs="宋体"/>
          <w:snapToGrid w:val="0"/>
          <w:color w:val="auto"/>
          <w:kern w:val="0"/>
          <w:sz w:val="24"/>
          <w:szCs w:val="24"/>
          <w:highlight w:val="none"/>
          <w:lang w:val="en-US" w:eastAsia="zh-CN"/>
        </w:rPr>
      </w:pPr>
    </w:p>
    <w:p>
      <w:pPr>
        <w:pStyle w:val="3"/>
        <w:rPr>
          <w:rFonts w:hint="eastAsia"/>
          <w:color w:val="auto"/>
          <w:highlight w:val="none"/>
          <w:lang w:val="en-US" w:eastAsia="zh-CN"/>
        </w:rPr>
      </w:pPr>
      <w:bookmarkStart w:id="108" w:name="_Toc7430"/>
      <w:bookmarkStart w:id="109" w:name="_Toc20466"/>
      <w:bookmarkStart w:id="110" w:name="_Toc24542"/>
      <w:r>
        <w:rPr>
          <w:rFonts w:hint="eastAsia"/>
          <w:color w:val="auto"/>
          <w:highlight w:val="none"/>
          <w:lang w:val="en-US" w:eastAsia="zh-CN"/>
        </w:rPr>
        <w:br w:type="page"/>
      </w:r>
      <w:r>
        <w:rPr>
          <w:rFonts w:hint="eastAsia"/>
          <w:color w:val="auto"/>
          <w:highlight w:val="none"/>
          <w:lang w:val="en-US" w:eastAsia="zh-CN"/>
        </w:rPr>
        <w:t>第四章 评审办法（综合评估法）</w:t>
      </w:r>
      <w:bookmarkEnd w:id="108"/>
      <w:bookmarkEnd w:id="109"/>
      <w:bookmarkEnd w:id="110"/>
    </w:p>
    <w:p>
      <w:pPr>
        <w:bidi w:val="0"/>
        <w:rPr>
          <w:rFonts w:hint="eastAsia"/>
          <w:b/>
          <w:bCs/>
          <w:color w:val="auto"/>
          <w:highlight w:val="none"/>
        </w:rPr>
      </w:pPr>
      <w:bookmarkStart w:id="111" w:name="_Toc14810"/>
      <w:bookmarkStart w:id="112" w:name="_Toc11471"/>
      <w:bookmarkStart w:id="113" w:name="_Toc27076"/>
      <w:bookmarkStart w:id="114" w:name="_Toc2028"/>
      <w:r>
        <w:rPr>
          <w:rFonts w:hint="eastAsia"/>
          <w:b/>
          <w:bCs/>
          <w:color w:val="auto"/>
          <w:highlight w:val="none"/>
        </w:rPr>
        <w:t>评审办法前附表</w:t>
      </w:r>
      <w:bookmarkEnd w:id="111"/>
      <w:bookmarkEnd w:id="112"/>
      <w:bookmarkEnd w:id="113"/>
      <w:bookmarkEnd w:id="114"/>
    </w:p>
    <w:p>
      <w:pPr>
        <w:spacing w:line="360" w:lineRule="auto"/>
        <w:ind w:firstLine="480" w:firstLineChars="200"/>
        <w:rPr>
          <w:color w:val="auto"/>
          <w:highlight w:val="none"/>
        </w:rPr>
      </w:pPr>
      <w:r>
        <w:rPr>
          <w:rFonts w:ascii="宋体"/>
          <w:color w:val="auto"/>
          <w:szCs w:val="21"/>
          <w:highlight w:val="none"/>
        </w:rPr>
        <w:t>若</w:t>
      </w:r>
      <w:r>
        <w:rPr>
          <w:rFonts w:hint="eastAsia" w:ascii="宋体"/>
          <w:color w:val="auto"/>
          <w:szCs w:val="21"/>
          <w:highlight w:val="none"/>
        </w:rPr>
        <w:t>评审办法前附表</w:t>
      </w:r>
      <w:r>
        <w:rPr>
          <w:rFonts w:ascii="宋体"/>
          <w:color w:val="auto"/>
          <w:szCs w:val="21"/>
          <w:highlight w:val="none"/>
        </w:rPr>
        <w:t>与正文不一致的地方，以</w:t>
      </w:r>
      <w:r>
        <w:rPr>
          <w:rFonts w:hint="eastAsia" w:ascii="宋体"/>
          <w:color w:val="auto"/>
          <w:szCs w:val="21"/>
          <w:highlight w:val="none"/>
        </w:rPr>
        <w:t>评审办法前附表</w:t>
      </w:r>
      <w:r>
        <w:rPr>
          <w:rFonts w:ascii="宋体"/>
          <w:color w:val="auto"/>
          <w:szCs w:val="21"/>
          <w:highlight w:val="none"/>
        </w:rPr>
        <w:t>为准。</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b/>
                <w:color w:val="auto"/>
                <w:kern w:val="0"/>
                <w:sz w:val="21"/>
                <w:szCs w:val="21"/>
                <w:highlight w:val="none"/>
              </w:rPr>
            </w:pPr>
            <w:bookmarkStart w:id="115" w:name="CQZH1_07"/>
            <w:r>
              <w:rPr>
                <w:rFonts w:hint="eastAsia" w:ascii="宋体" w:cs="宋体"/>
                <w:b/>
                <w:color w:val="auto"/>
                <w:kern w:val="0"/>
                <w:sz w:val="21"/>
                <w:szCs w:val="21"/>
                <w:highlight w:val="none"/>
              </w:rPr>
              <w:t>条款号</w:t>
            </w:r>
          </w:p>
        </w:tc>
        <w:tc>
          <w:tcPr>
            <w:tcW w:w="14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b/>
                <w:color w:val="auto"/>
                <w:kern w:val="0"/>
                <w:sz w:val="21"/>
                <w:szCs w:val="21"/>
                <w:highlight w:val="none"/>
              </w:rPr>
            </w:pPr>
            <w:r>
              <w:rPr>
                <w:rFonts w:hint="eastAsia" w:ascii="宋体" w:cs="宋体"/>
                <w:b/>
                <w:color w:val="auto"/>
                <w:kern w:val="0"/>
                <w:sz w:val="21"/>
                <w:szCs w:val="21"/>
                <w:highlight w:val="none"/>
              </w:rPr>
              <w:t>评审因素</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b/>
                <w:color w:val="auto"/>
                <w:kern w:val="0"/>
                <w:sz w:val="21"/>
                <w:szCs w:val="21"/>
                <w:highlight w:val="none"/>
              </w:rPr>
            </w:pPr>
            <w:r>
              <w:rPr>
                <w:rFonts w:hint="eastAsia" w:asci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b w:val="0"/>
                <w:bCs/>
                <w:color w:val="auto"/>
                <w:kern w:val="0"/>
                <w:sz w:val="21"/>
                <w:szCs w:val="21"/>
                <w:highlight w:val="none"/>
                <w:lang w:val="en-US" w:eastAsia="zh-CN" w:bidi="ar-SA"/>
              </w:rPr>
            </w:pPr>
            <w:r>
              <w:rPr>
                <w:rFonts w:hint="eastAsia" w:ascii="宋体" w:cs="宋体"/>
                <w:b w:val="0"/>
                <w:bCs/>
                <w:color w:val="auto"/>
                <w:kern w:val="0"/>
                <w:sz w:val="21"/>
                <w:szCs w:val="21"/>
                <w:highlight w:val="none"/>
                <w:lang w:val="en-US" w:eastAsia="zh-CN"/>
              </w:rPr>
              <w:t>1</w:t>
            </w:r>
          </w:p>
        </w:tc>
        <w:tc>
          <w:tcPr>
            <w:tcW w:w="14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b/>
                <w:color w:val="auto"/>
                <w:kern w:val="0"/>
                <w:sz w:val="21"/>
                <w:szCs w:val="21"/>
                <w:highlight w:val="none"/>
                <w:lang w:val="en-US" w:eastAsia="zh-CN" w:bidi="ar-SA"/>
              </w:rPr>
            </w:pPr>
            <w:r>
              <w:rPr>
                <w:rFonts w:hint="eastAsia" w:ascii="Times New Roman" w:hAnsi="Times New Roman" w:cs="Times New Roman"/>
                <w:color w:val="auto"/>
                <w:sz w:val="21"/>
                <w:szCs w:val="21"/>
                <w:highlight w:val="none"/>
              </w:rPr>
              <w:t>评</w:t>
            </w:r>
            <w:r>
              <w:rPr>
                <w:rFonts w:hint="eastAsia" w:ascii="Times New Roman" w:hAnsi="Times New Roman" w:cs="Times New Roman"/>
                <w:color w:val="auto"/>
                <w:sz w:val="21"/>
                <w:szCs w:val="21"/>
                <w:highlight w:val="none"/>
                <w:lang w:val="en-US" w:eastAsia="zh-CN"/>
              </w:rPr>
              <w:t>审</w:t>
            </w:r>
            <w:r>
              <w:rPr>
                <w:rFonts w:hint="eastAsia" w:ascii="Times New Roman" w:hAnsi="Times New Roman" w:cs="Times New Roman"/>
                <w:color w:val="auto"/>
                <w:sz w:val="21"/>
                <w:szCs w:val="21"/>
                <w:highlight w:val="none"/>
              </w:rPr>
              <w:t>办法</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b/>
                <w:color w:val="auto"/>
                <w:kern w:val="0"/>
                <w:sz w:val="21"/>
                <w:szCs w:val="21"/>
                <w:highlight w:val="none"/>
                <w:lang w:val="en-US" w:eastAsia="zh-CN" w:bidi="ar-SA"/>
              </w:rPr>
            </w:pPr>
            <w:r>
              <w:rPr>
                <w:rFonts w:hint="eastAsia" w:ascii="宋体" w:cs="Times New Roman"/>
                <w:color w:val="auto"/>
                <w:kern w:val="0"/>
                <w:sz w:val="21"/>
                <w:szCs w:val="24"/>
                <w:highlight w:val="none"/>
                <w:lang w:val="en-US" w:eastAsia="zh-CN"/>
              </w:rPr>
              <w:t>本次评审采用综合评估法。评审委员会按照评审办法前附表第2.2 条规定的评分标准进行打分，</w:t>
            </w:r>
            <w:r>
              <w:rPr>
                <w:rFonts w:hint="eastAsia" w:ascii="宋体" w:cs="Times New Roman"/>
                <w:color w:val="auto"/>
                <w:spacing w:val="4"/>
                <w:kern w:val="0"/>
                <w:sz w:val="21"/>
                <w:szCs w:val="21"/>
                <w:highlight w:val="none"/>
              </w:rPr>
              <w:t>符合性审查</w:t>
            </w:r>
            <w:r>
              <w:rPr>
                <w:rFonts w:hint="eastAsia" w:ascii="宋体" w:cs="Times New Roman"/>
                <w:color w:val="auto"/>
                <w:kern w:val="0"/>
                <w:sz w:val="21"/>
                <w:szCs w:val="24"/>
                <w:highlight w:val="none"/>
              </w:rPr>
              <w:t>合格的</w:t>
            </w:r>
            <w:r>
              <w:rPr>
                <w:rFonts w:hint="eastAsia" w:ascii="宋体" w:cs="Times New Roman"/>
                <w:color w:val="auto"/>
                <w:kern w:val="0"/>
                <w:sz w:val="21"/>
                <w:szCs w:val="24"/>
                <w:highlight w:val="none"/>
                <w:lang w:val="en-US" w:eastAsia="zh-CN"/>
              </w:rPr>
              <w:t>参选人</w:t>
            </w:r>
            <w:r>
              <w:rPr>
                <w:rFonts w:hint="eastAsia" w:ascii="宋体" w:cs="Times New Roman"/>
                <w:color w:val="auto"/>
                <w:kern w:val="0"/>
                <w:sz w:val="21"/>
                <w:szCs w:val="24"/>
                <w:highlight w:val="none"/>
              </w:rPr>
              <w:t>中，</w:t>
            </w:r>
            <w:r>
              <w:rPr>
                <w:rFonts w:hint="eastAsia" w:ascii="宋体" w:cs="Times New Roman"/>
                <w:color w:val="auto"/>
                <w:kern w:val="0"/>
                <w:sz w:val="21"/>
                <w:szCs w:val="24"/>
                <w:highlight w:val="none"/>
                <w:lang w:val="en-US" w:eastAsia="zh-CN"/>
              </w:rPr>
              <w:t>按得分由高到低顺序推荐3名中选候选人，但参选报价低于其成本的除外。综合评分相等时，以参选报价低的优先；参选报价也相等的，由评审委员会按照</w:t>
            </w:r>
            <w:r>
              <w:rPr>
                <w:rFonts w:ascii="宋体" w:cs="Times New Roman"/>
                <w:color w:val="auto"/>
                <w:kern w:val="0"/>
                <w:sz w:val="21"/>
                <w:szCs w:val="24"/>
                <w:highlight w:val="none"/>
                <w:lang w:val="en-US" w:eastAsia="zh-CN"/>
              </w:rPr>
              <w:t>人员配置得分</w:t>
            </w:r>
            <w:r>
              <w:rPr>
                <w:rFonts w:hint="eastAsia" w:ascii="宋体" w:cs="Times New Roman"/>
                <w:color w:val="auto"/>
                <w:kern w:val="0"/>
                <w:sz w:val="21"/>
                <w:szCs w:val="24"/>
                <w:highlight w:val="none"/>
                <w:lang w:val="en-US" w:eastAsia="zh-CN"/>
              </w:rPr>
              <w:t>由高到低</w:t>
            </w:r>
            <w:r>
              <w:rPr>
                <w:rFonts w:ascii="宋体" w:cs="Times New Roman"/>
                <w:color w:val="auto"/>
                <w:kern w:val="0"/>
                <w:sz w:val="21"/>
                <w:szCs w:val="24"/>
                <w:highlight w:val="none"/>
                <w:lang w:val="en-US" w:eastAsia="zh-CN"/>
              </w:rPr>
              <w:t>的</w:t>
            </w:r>
            <w:r>
              <w:rPr>
                <w:rFonts w:hint="eastAsia" w:ascii="宋体" w:cs="Times New Roman"/>
                <w:color w:val="auto"/>
                <w:kern w:val="0"/>
                <w:sz w:val="21"/>
                <w:szCs w:val="24"/>
                <w:highlight w:val="none"/>
                <w:lang w:val="en-US" w:eastAsia="zh-CN"/>
              </w:rPr>
              <w:t>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b w:val="0"/>
                <w:bCs/>
                <w:color w:val="auto"/>
                <w:kern w:val="0"/>
                <w:sz w:val="21"/>
                <w:szCs w:val="21"/>
                <w:highlight w:val="none"/>
                <w:lang w:val="en-US" w:eastAsia="zh-CN" w:bidi="ar-SA"/>
              </w:rPr>
            </w:pPr>
            <w:r>
              <w:rPr>
                <w:rFonts w:hint="eastAsia" w:ascii="宋体" w:cs="宋体"/>
                <w:b w:val="0"/>
                <w:bCs/>
                <w:color w:val="auto"/>
                <w:kern w:val="0"/>
                <w:sz w:val="21"/>
                <w:szCs w:val="21"/>
                <w:highlight w:val="none"/>
                <w:lang w:val="en-US" w:eastAsia="zh-CN"/>
              </w:rPr>
              <w:t>2.1</w:t>
            </w:r>
          </w:p>
        </w:tc>
        <w:tc>
          <w:tcPr>
            <w:tcW w:w="14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eastAsia="宋体" w:cs="Times New Roman"/>
                <w:color w:val="auto"/>
                <w:kern w:val="0"/>
                <w:sz w:val="21"/>
                <w:szCs w:val="24"/>
                <w:highlight w:val="none"/>
                <w:lang w:val="en-US" w:eastAsia="zh-CN" w:bidi="ar-SA"/>
              </w:rPr>
            </w:pPr>
            <w:r>
              <w:rPr>
                <w:rFonts w:hint="eastAsia" w:ascii="宋体" w:eastAsia="宋体" w:cs="Times New Roman"/>
                <w:color w:val="auto"/>
                <w:kern w:val="0"/>
                <w:sz w:val="21"/>
                <w:szCs w:val="24"/>
                <w:highlight w:val="none"/>
                <w:lang w:val="en-US" w:eastAsia="zh-CN" w:bidi="ar-SA"/>
              </w:rPr>
              <w:t>初步评审</w:t>
            </w:r>
            <w:r>
              <w:rPr>
                <w:rFonts w:hint="eastAsia" w:ascii="宋体" w:cs="Times New Roman"/>
                <w:color w:val="auto"/>
                <w:kern w:val="0"/>
                <w:sz w:val="21"/>
                <w:szCs w:val="24"/>
                <w:highlight w:val="none"/>
                <w:lang w:val="en-US" w:eastAsia="zh-CN" w:bidi="ar-SA"/>
              </w:rPr>
              <w:t>标准</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Times New Roman"/>
                <w:color w:val="auto"/>
                <w:kern w:val="0"/>
                <w:sz w:val="21"/>
                <w:szCs w:val="24"/>
                <w:highlight w:val="none"/>
                <w:lang w:val="en-US" w:eastAsia="zh-CN" w:bidi="ar-SA"/>
              </w:rPr>
            </w:pPr>
            <w:r>
              <w:rPr>
                <w:rFonts w:hint="eastAsia" w:ascii="宋体" w:cs="Times New Roman"/>
                <w:color w:val="auto"/>
                <w:kern w:val="0"/>
                <w:sz w:val="21"/>
                <w:szCs w:val="24"/>
                <w:highlight w:val="none"/>
                <w:lang w:val="en-US" w:eastAsia="zh-CN"/>
              </w:rPr>
              <w:t>所有参选单位</w:t>
            </w:r>
            <w:r>
              <w:rPr>
                <w:rFonts w:hint="eastAsia" w:ascii="宋体" w:cs="Times New Roman"/>
                <w:color w:val="auto"/>
                <w:spacing w:val="4"/>
                <w:kern w:val="0"/>
                <w:sz w:val="21"/>
                <w:szCs w:val="21"/>
                <w:highlight w:val="none"/>
              </w:rPr>
              <w:t>进行</w:t>
            </w:r>
            <w:r>
              <w:rPr>
                <w:rFonts w:hint="eastAsia" w:ascii="宋体" w:eastAsia="宋体" w:cs="Times New Roman"/>
                <w:color w:val="auto"/>
                <w:kern w:val="0"/>
                <w:sz w:val="21"/>
                <w:szCs w:val="24"/>
                <w:highlight w:val="none"/>
                <w:lang w:val="en-US" w:eastAsia="zh-CN" w:bidi="ar-SA"/>
              </w:rPr>
              <w:t>初步评审</w:t>
            </w:r>
            <w:r>
              <w:rPr>
                <w:rFonts w:hint="eastAsia" w:ascii="宋体" w:cs="Times New Roman"/>
                <w:color w:val="auto"/>
                <w:spacing w:val="4"/>
                <w:kern w:val="0"/>
                <w:sz w:val="21"/>
                <w:szCs w:val="21"/>
                <w:highlight w:val="none"/>
              </w:rPr>
              <w:t>。</w:t>
            </w:r>
            <w:r>
              <w:rPr>
                <w:rFonts w:hint="eastAsia" w:ascii="宋体" w:eastAsia="宋体" w:cs="Times New Roman"/>
                <w:color w:val="auto"/>
                <w:kern w:val="0"/>
                <w:sz w:val="21"/>
                <w:szCs w:val="24"/>
                <w:highlight w:val="none"/>
                <w:lang w:val="en-US" w:eastAsia="zh-CN" w:bidi="ar-SA"/>
              </w:rPr>
              <w:t>初步评审</w:t>
            </w:r>
            <w:r>
              <w:rPr>
                <w:rFonts w:hint="eastAsia" w:ascii="宋体" w:cs="Times New Roman"/>
                <w:color w:val="auto"/>
                <w:spacing w:val="4"/>
                <w:kern w:val="0"/>
                <w:sz w:val="21"/>
                <w:szCs w:val="21"/>
                <w:highlight w:val="none"/>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b w:val="0"/>
                <w:bCs/>
                <w:color w:val="auto"/>
                <w:kern w:val="0"/>
                <w:sz w:val="21"/>
                <w:szCs w:val="21"/>
                <w:highlight w:val="none"/>
                <w:lang w:val="en-US" w:eastAsia="zh-CN" w:bidi="ar-SA"/>
              </w:rPr>
            </w:pPr>
            <w:r>
              <w:rPr>
                <w:rFonts w:hint="eastAsia" w:ascii="宋体" w:cs="宋体"/>
                <w:color w:val="auto"/>
                <w:kern w:val="0"/>
                <w:sz w:val="21"/>
                <w:szCs w:val="21"/>
                <w:highlight w:val="none"/>
              </w:rPr>
              <w:t>2.1.1</w:t>
            </w:r>
          </w:p>
        </w:tc>
        <w:tc>
          <w:tcPr>
            <w:tcW w:w="14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Times New Roman"/>
                <w:color w:val="auto"/>
                <w:kern w:val="0"/>
                <w:sz w:val="21"/>
                <w:szCs w:val="24"/>
                <w:highlight w:val="none"/>
                <w:lang w:val="en-US" w:eastAsia="zh-CN" w:bidi="ar-SA"/>
              </w:rPr>
            </w:pPr>
            <w:r>
              <w:rPr>
                <w:rFonts w:hint="eastAsia" w:ascii="宋体" w:eastAsia="宋体" w:cs="宋体"/>
                <w:color w:val="auto"/>
                <w:kern w:val="0"/>
                <w:sz w:val="21"/>
                <w:szCs w:val="21"/>
                <w:highlight w:val="none"/>
              </w:rPr>
              <w:t>资格评审标准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Times New Roman"/>
                <w:color w:val="auto"/>
                <w:kern w:val="0"/>
                <w:sz w:val="21"/>
                <w:szCs w:val="24"/>
                <w:highlight w:val="none"/>
                <w:lang w:val="en-US" w:eastAsia="zh-CN" w:bidi="ar-SA"/>
              </w:rPr>
            </w:pPr>
            <w:r>
              <w:rPr>
                <w:rFonts w:hint="eastAsia" w:ascii="宋体" w:eastAsia="宋体" w:cs="宋体"/>
                <w:color w:val="auto"/>
                <w:kern w:val="0"/>
                <w:sz w:val="21"/>
                <w:szCs w:val="21"/>
                <w:highlight w:val="none"/>
                <w:lang w:val="en-US" w:eastAsia="zh-CN"/>
              </w:rPr>
              <w:t>资格条件要求</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Times New Roman"/>
                <w:color w:val="auto"/>
                <w:kern w:val="0"/>
                <w:sz w:val="21"/>
                <w:szCs w:val="24"/>
                <w:highlight w:val="none"/>
                <w:lang w:val="en-US" w:eastAsia="zh-CN"/>
              </w:rPr>
            </w:pPr>
            <w:r>
              <w:rPr>
                <w:rFonts w:hint="eastAsia" w:ascii="宋体" w:cs="宋体"/>
                <w:color w:val="auto"/>
                <w:kern w:val="0"/>
                <w:sz w:val="21"/>
                <w:szCs w:val="21"/>
                <w:highlight w:val="none"/>
              </w:rPr>
              <w:t>符合第</w:t>
            </w:r>
            <w:r>
              <w:rPr>
                <w:rFonts w:hint="eastAsia" w:ascii="宋体" w:cs="宋体"/>
                <w:color w:val="auto"/>
                <w:kern w:val="0"/>
                <w:sz w:val="21"/>
                <w:szCs w:val="21"/>
                <w:highlight w:val="none"/>
                <w:lang w:val="en-US" w:eastAsia="zh-CN"/>
              </w:rPr>
              <w:t>一</w:t>
            </w:r>
            <w:r>
              <w:rPr>
                <w:rFonts w:hint="eastAsia" w:ascii="宋体" w:cs="宋体"/>
                <w:color w:val="auto"/>
                <w:kern w:val="0"/>
                <w:sz w:val="21"/>
                <w:szCs w:val="21"/>
                <w:highlight w:val="none"/>
              </w:rPr>
              <w:t>章“</w:t>
            </w:r>
            <w:r>
              <w:rPr>
                <w:rFonts w:hint="eastAsia" w:ascii="宋体" w:cs="宋体"/>
                <w:color w:val="auto"/>
                <w:kern w:val="0"/>
                <w:sz w:val="21"/>
                <w:szCs w:val="21"/>
                <w:highlight w:val="none"/>
                <w:lang w:val="en-US" w:eastAsia="zh-CN"/>
              </w:rPr>
              <w:t xml:space="preserve">2. </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lang w:val="en-US" w:eastAsia="zh-CN"/>
              </w:rPr>
              <w:t>资格要求</w:t>
            </w:r>
            <w:r>
              <w:rPr>
                <w:rFonts w:hint="eastAsia" w:asci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kern w:val="0"/>
                <w:sz w:val="21"/>
                <w:szCs w:val="21"/>
                <w:highlight w:val="none"/>
              </w:rPr>
              <w:t>2.1.2</w:t>
            </w:r>
          </w:p>
        </w:tc>
        <w:tc>
          <w:tcPr>
            <w:tcW w:w="14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Times New Roman"/>
                <w:color w:val="auto"/>
                <w:kern w:val="0"/>
                <w:sz w:val="21"/>
                <w:szCs w:val="24"/>
                <w:highlight w:val="none"/>
              </w:rPr>
            </w:pPr>
            <w:r>
              <w:rPr>
                <w:rFonts w:hint="eastAsia" w:ascii="宋体" w:cs="Times New Roman"/>
                <w:color w:val="auto"/>
                <w:kern w:val="0"/>
                <w:sz w:val="21"/>
                <w:szCs w:val="24"/>
                <w:highlight w:val="none"/>
                <w:lang w:val="en-US" w:eastAsia="zh-CN"/>
              </w:rPr>
              <w:t>形式</w:t>
            </w:r>
            <w:r>
              <w:rPr>
                <w:rFonts w:hint="eastAsia" w:ascii="宋体" w:cs="Times New Roman"/>
                <w:color w:val="auto"/>
                <w:kern w:val="0"/>
                <w:sz w:val="21"/>
                <w:szCs w:val="24"/>
                <w:highlight w:val="none"/>
              </w:rPr>
              <w:t>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名称</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rPr>
            </w:pPr>
            <w:r>
              <w:rPr>
                <w:rFonts w:hint="eastAsia" w:ascii="宋体" w:cs="宋体"/>
                <w:color w:val="auto"/>
                <w:kern w:val="0"/>
                <w:sz w:val="21"/>
                <w:szCs w:val="21"/>
                <w:highlight w:val="none"/>
              </w:rPr>
              <w:t>与营业执照</w:t>
            </w:r>
            <w:r>
              <w:rPr>
                <w:rFonts w:hint="eastAsia" w:ascii="宋体" w:cs="宋体"/>
                <w:color w:val="auto"/>
                <w:kern w:val="0"/>
                <w:sz w:val="21"/>
                <w:szCs w:val="21"/>
                <w:highlight w:val="none"/>
                <w:lang w:eastAsia="zh-CN"/>
              </w:rPr>
              <w:t>、</w:t>
            </w:r>
            <w:r>
              <w:rPr>
                <w:rFonts w:hint="eastAsia" w:ascii="宋体" w:cs="宋体"/>
                <w:color w:val="auto"/>
                <w:kern w:val="0"/>
                <w:sz w:val="21"/>
                <w:szCs w:val="21"/>
                <w:highlight w:val="none"/>
                <w:lang w:val="en-US" w:eastAsia="zh-CN"/>
              </w:rPr>
              <w:t>资格证明材料</w:t>
            </w:r>
            <w:r>
              <w:rPr>
                <w:rFonts w:hint="eastAsia" w:ascii="宋体" w:cs="宋体"/>
                <w:color w:val="auto"/>
                <w:kern w:val="0"/>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kern w:val="0"/>
                <w:sz w:val="21"/>
                <w:szCs w:val="21"/>
                <w:highlight w:val="none"/>
                <w:lang w:eastAsia="zh-CN"/>
              </w:rPr>
              <w:t>参选文件</w:t>
            </w:r>
            <w:r>
              <w:rPr>
                <w:rFonts w:hint="eastAsia" w:ascii="宋体" w:cs="宋体"/>
                <w:color w:val="auto"/>
                <w:kern w:val="0"/>
                <w:sz w:val="21"/>
                <w:szCs w:val="21"/>
                <w:highlight w:val="none"/>
              </w:rPr>
              <w:t>的签字盖章</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4.5 条</w:t>
            </w:r>
            <w:r>
              <w:rPr>
                <w:rFonts w:hint="eastAsia" w:asci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lang w:eastAsia="zh-CN"/>
              </w:rPr>
              <w:t>参选文件的密封</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符合第二章“</w:t>
            </w:r>
            <w:r>
              <w:rPr>
                <w:rFonts w:hint="eastAsia" w:ascii="宋体" w:eastAsia="宋体" w:cs="宋体"/>
                <w:color w:val="auto"/>
                <w:kern w:val="0"/>
                <w:sz w:val="21"/>
                <w:szCs w:val="21"/>
                <w:highlight w:val="none"/>
                <w:lang w:eastAsia="zh-CN"/>
              </w:rPr>
              <w:t>参选人</w:t>
            </w:r>
            <w:r>
              <w:rPr>
                <w:rFonts w:hint="eastAsia" w:ascii="宋体" w:eastAsia="宋体" w:cs="宋体"/>
                <w:color w:val="auto"/>
                <w:kern w:val="0"/>
                <w:sz w:val="21"/>
                <w:szCs w:val="21"/>
                <w:highlight w:val="none"/>
              </w:rPr>
              <w:t>须知”</w:t>
            </w:r>
            <w:r>
              <w:rPr>
                <w:rFonts w:hint="eastAsia" w:ascii="宋体" w:cs="宋体"/>
                <w:color w:val="auto"/>
                <w:kern w:val="0"/>
                <w:sz w:val="21"/>
                <w:szCs w:val="21"/>
                <w:highlight w:val="none"/>
                <w:lang w:val="en-US" w:eastAsia="zh-CN"/>
              </w:rPr>
              <w:t>4.6 条</w:t>
            </w:r>
            <w:r>
              <w:rPr>
                <w:rFonts w:hint="eastAsia" w:asci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参选文件格式</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符合第</w:t>
            </w:r>
            <w:r>
              <w:rPr>
                <w:rFonts w:hint="eastAsia" w:ascii="宋体" w:cs="宋体"/>
                <w:color w:val="auto"/>
                <w:kern w:val="0"/>
                <w:sz w:val="21"/>
                <w:szCs w:val="21"/>
                <w:highlight w:val="none"/>
                <w:lang w:val="en-US" w:eastAsia="zh-CN"/>
              </w:rPr>
              <w:t>六</w:t>
            </w:r>
            <w:r>
              <w:rPr>
                <w:rFonts w:hint="eastAsia" w:ascii="宋体" w:cs="宋体"/>
                <w:color w:val="auto"/>
                <w:kern w:val="0"/>
                <w:sz w:val="21"/>
                <w:szCs w:val="21"/>
                <w:highlight w:val="none"/>
              </w:rPr>
              <w:t>章“</w:t>
            </w:r>
            <w:r>
              <w:rPr>
                <w:rFonts w:hint="eastAsia" w:ascii="宋体" w:cs="宋体"/>
                <w:color w:val="auto"/>
                <w:kern w:val="0"/>
                <w:sz w:val="21"/>
                <w:szCs w:val="21"/>
                <w:highlight w:val="none"/>
                <w:lang w:eastAsia="zh-CN"/>
              </w:rPr>
              <w:t>参选</w:t>
            </w:r>
            <w:r>
              <w:rPr>
                <w:rFonts w:hint="eastAsia" w:ascii="宋体" w:cs="宋体"/>
                <w:color w:val="auto"/>
                <w:kern w:val="0"/>
                <w:sz w:val="21"/>
                <w:szCs w:val="21"/>
                <w:highlight w:val="none"/>
                <w:lang w:val="en-US" w:eastAsia="zh-CN"/>
              </w:rPr>
              <w:t>文件格式</w:t>
            </w:r>
            <w:r>
              <w:rPr>
                <w:rFonts w:hint="eastAsia" w:ascii="宋体" w:cs="宋体"/>
                <w:color w:val="auto"/>
                <w:kern w:val="0"/>
                <w:sz w:val="21"/>
                <w:szCs w:val="21"/>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val="en-US" w:eastAsia="zh-CN"/>
              </w:rPr>
              <w:t>参选文件组成</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符合第二章“</w:t>
            </w:r>
            <w:r>
              <w:rPr>
                <w:rFonts w:hint="eastAsia" w:ascii="宋体" w:eastAsia="宋体" w:cs="宋体"/>
                <w:color w:val="auto"/>
                <w:kern w:val="0"/>
                <w:sz w:val="21"/>
                <w:szCs w:val="21"/>
                <w:highlight w:val="none"/>
                <w:lang w:eastAsia="zh-CN"/>
              </w:rPr>
              <w:t>参选人</w:t>
            </w:r>
            <w:r>
              <w:rPr>
                <w:rFonts w:hint="eastAsia" w:ascii="宋体" w:eastAsia="宋体" w:cs="宋体"/>
                <w:color w:val="auto"/>
                <w:kern w:val="0"/>
                <w:sz w:val="21"/>
                <w:szCs w:val="21"/>
                <w:highlight w:val="none"/>
              </w:rPr>
              <w:t>须知”</w:t>
            </w:r>
            <w:r>
              <w:rPr>
                <w:rFonts w:hint="eastAsia" w:ascii="宋体" w:cs="宋体"/>
                <w:color w:val="auto"/>
                <w:kern w:val="0"/>
                <w:sz w:val="21"/>
                <w:szCs w:val="21"/>
                <w:highlight w:val="none"/>
                <w:lang w:val="en-US" w:eastAsia="zh-CN"/>
              </w:rPr>
              <w:t>4.1 条</w:t>
            </w:r>
            <w:r>
              <w:rPr>
                <w:rFonts w:hint="eastAsia" w:ascii="宋体" w:eastAsia="宋体" w:cs="宋体"/>
                <w:color w:val="auto"/>
                <w:kern w:val="0"/>
                <w:sz w:val="21"/>
                <w:szCs w:val="21"/>
                <w:highlight w:val="none"/>
              </w:rPr>
              <w:t>规定</w:t>
            </w:r>
            <w:r>
              <w:rPr>
                <w:rFonts w:hint="eastAsia" w:ascii="宋体" w:cs="宋体"/>
                <w:color w:val="auto"/>
                <w:kern w:val="0"/>
                <w:sz w:val="21"/>
                <w:szCs w:val="21"/>
                <w:highlight w:val="none"/>
                <w:lang w:eastAsia="zh-CN"/>
              </w:rPr>
              <w:t>，</w:t>
            </w:r>
            <w:r>
              <w:rPr>
                <w:rFonts w:hint="eastAsia" w:ascii="宋体" w:cs="宋体"/>
                <w:color w:val="auto"/>
                <w:kern w:val="0"/>
                <w:sz w:val="20"/>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lang w:eastAsia="zh-CN"/>
              </w:rPr>
            </w:pPr>
            <w:r>
              <w:rPr>
                <w:rFonts w:hint="eastAsia" w:ascii="宋体" w:cs="宋体"/>
                <w:color w:val="auto"/>
                <w:kern w:val="0"/>
                <w:sz w:val="21"/>
                <w:szCs w:val="21"/>
                <w:highlight w:val="none"/>
                <w:lang w:val="en-US" w:eastAsia="zh-CN"/>
              </w:rPr>
              <w:t>联合体参选</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sz w:val="21"/>
                <w:szCs w:val="21"/>
                <w:highlight w:val="none"/>
              </w:rPr>
            </w:pPr>
            <w:r>
              <w:rPr>
                <w:rFonts w:hint="eastAsia" w:ascii="宋体" w:cs="宋体"/>
                <w:color w:val="auto"/>
                <w:kern w:val="0"/>
                <w:sz w:val="21"/>
                <w:szCs w:val="21"/>
                <w:highlight w:val="none"/>
              </w:rPr>
              <w:t>2.1.3</w:t>
            </w:r>
          </w:p>
        </w:tc>
        <w:tc>
          <w:tcPr>
            <w:tcW w:w="14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sz w:val="21"/>
                <w:szCs w:val="21"/>
                <w:highlight w:val="none"/>
              </w:rPr>
            </w:pPr>
            <w:r>
              <w:rPr>
                <w:rFonts w:hint="eastAsia" w:ascii="宋体" w:cs="宋体"/>
                <w:color w:val="auto"/>
                <w:kern w:val="0"/>
                <w:sz w:val="21"/>
                <w:szCs w:val="21"/>
                <w:highlight w:val="none"/>
              </w:rPr>
              <w:t>响应性评审标准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参选内容</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1. 在响应承诺函中对第三章“项目要求”内容做出整体承诺；</w:t>
            </w:r>
          </w:p>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 xml:space="preserve">2. 根据第一章“2. </w:t>
            </w:r>
            <w:r>
              <w:rPr>
                <w:rFonts w:ascii="宋体" w:cs="宋体"/>
                <w:color w:val="auto"/>
                <w:kern w:val="0"/>
                <w:sz w:val="21"/>
                <w:szCs w:val="21"/>
                <w:highlight w:val="none"/>
                <w:lang w:val="en-US" w:eastAsia="zh-CN"/>
              </w:rPr>
              <w:t>参选人资格要求”和第三章“项目要求”的要求规定，提供对应</w:t>
            </w:r>
            <w:r>
              <w:rPr>
                <w:rFonts w:hint="eastAsia" w:ascii="宋体" w:cs="宋体"/>
                <w:color w:val="auto"/>
                <w:kern w:val="0"/>
                <w:sz w:val="21"/>
                <w:szCs w:val="21"/>
                <w:highlight w:val="none"/>
                <w:lang w:val="en-US" w:eastAsia="zh-CN"/>
              </w:rPr>
              <w:t>材料</w:t>
            </w:r>
            <w:r>
              <w:rPr>
                <w:rFonts w:ascii="宋体" w:cs="宋体"/>
                <w:color w:val="auto"/>
                <w:kern w:val="0"/>
                <w:sz w:val="21"/>
                <w:szCs w:val="21"/>
                <w:highlight w:val="none"/>
                <w:lang w:val="en-US" w:eastAsia="zh-CN"/>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vMerge w:val="continue"/>
            <w:tcBorders>
              <w:top w:val="single" w:color="auto" w:sz="4" w:space="0"/>
              <w:left w:val="single" w:color="auto" w:sz="4" w:space="0"/>
              <w:bottom w:val="single" w:color="auto" w:sz="4" w:space="0"/>
              <w:right w:val="single" w:color="auto" w:sz="4" w:space="0"/>
            </w:tcBorders>
            <w:noWrap/>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eastAsia="zh-CN"/>
              </w:rPr>
              <w:t>参选文件份数</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符合第二章“</w:t>
            </w:r>
            <w:r>
              <w:rPr>
                <w:rFonts w:hint="eastAsia" w:ascii="宋体" w:eastAsia="宋体" w:cs="宋体"/>
                <w:color w:val="auto"/>
                <w:kern w:val="0"/>
                <w:sz w:val="21"/>
                <w:szCs w:val="21"/>
                <w:highlight w:val="none"/>
                <w:lang w:eastAsia="zh-CN"/>
              </w:rPr>
              <w:t>参选人</w:t>
            </w:r>
            <w:r>
              <w:rPr>
                <w:rFonts w:hint="eastAsia" w:ascii="宋体" w:eastAsia="宋体" w:cs="宋体"/>
                <w:color w:val="auto"/>
                <w:kern w:val="0"/>
                <w:sz w:val="21"/>
                <w:szCs w:val="21"/>
                <w:highlight w:val="none"/>
              </w:rPr>
              <w:t>须知”</w:t>
            </w:r>
            <w:r>
              <w:rPr>
                <w:rFonts w:hint="eastAsia" w:ascii="宋体" w:cs="宋体"/>
                <w:color w:val="auto"/>
                <w:kern w:val="0"/>
                <w:sz w:val="21"/>
                <w:szCs w:val="21"/>
                <w:highlight w:val="none"/>
                <w:lang w:val="en-US" w:eastAsia="zh-CN"/>
              </w:rPr>
              <w:t xml:space="preserve">4.5 </w:t>
            </w:r>
            <w:r>
              <w:rPr>
                <w:rFonts w:hint="eastAsia" w:ascii="宋体" w:eastAsia="宋体" w:cs="宋体"/>
                <w:color w:val="auto"/>
                <w:kern w:val="0"/>
                <w:sz w:val="21"/>
                <w:szCs w:val="21"/>
                <w:highlight w:val="none"/>
                <w:lang w:val="en-US" w:eastAsia="zh-CN"/>
              </w:rPr>
              <w:t>条</w:t>
            </w:r>
            <w:r>
              <w:rPr>
                <w:rFonts w:hint="eastAsia" w:asci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vMerge w:val="continue"/>
            <w:tcBorders>
              <w:top w:val="single" w:color="auto" w:sz="4" w:space="0"/>
              <w:left w:val="single" w:color="auto" w:sz="4" w:space="0"/>
              <w:bottom w:val="single" w:color="auto" w:sz="4" w:space="0"/>
              <w:right w:val="single" w:color="auto" w:sz="4" w:space="0"/>
            </w:tcBorders>
            <w:noWrap/>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eastAsia="zh-CN"/>
              </w:rPr>
              <w:t>参选方案唯一</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vMerge w:val="continue"/>
            <w:tcBorders>
              <w:top w:val="single" w:color="auto" w:sz="4" w:space="0"/>
              <w:left w:val="single" w:color="auto" w:sz="4" w:space="0"/>
              <w:bottom w:val="single" w:color="auto" w:sz="4" w:space="0"/>
              <w:right w:val="single" w:color="auto" w:sz="4" w:space="0"/>
            </w:tcBorders>
            <w:noWrap/>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lang w:eastAsia="zh-CN"/>
              </w:rPr>
              <w:t>参选</w:t>
            </w:r>
            <w:r>
              <w:rPr>
                <w:rFonts w:hint="eastAsia" w:ascii="宋体" w:cs="宋体"/>
                <w:color w:val="auto"/>
                <w:kern w:val="0"/>
                <w:sz w:val="21"/>
                <w:szCs w:val="21"/>
                <w:highlight w:val="none"/>
              </w:rPr>
              <w:t>报价</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4.7 条</w:t>
            </w:r>
            <w:r>
              <w:rPr>
                <w:rFonts w:hint="eastAsia" w:asci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vMerge w:val="continue"/>
            <w:tcBorders>
              <w:top w:val="single" w:color="auto" w:sz="4" w:space="0"/>
              <w:left w:val="single" w:color="auto" w:sz="4" w:space="0"/>
              <w:bottom w:val="single" w:color="auto" w:sz="4" w:space="0"/>
              <w:right w:val="single" w:color="auto" w:sz="4" w:space="0"/>
            </w:tcBorders>
            <w:noWrap/>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lang w:eastAsia="zh-CN"/>
              </w:rPr>
              <w:t>参选</w:t>
            </w:r>
            <w:r>
              <w:rPr>
                <w:rFonts w:hint="eastAsia" w:ascii="宋体" w:cs="宋体"/>
                <w:color w:val="auto"/>
                <w:kern w:val="0"/>
                <w:sz w:val="21"/>
                <w:szCs w:val="21"/>
                <w:highlight w:val="none"/>
              </w:rPr>
              <w:t>有效期</w:t>
            </w:r>
          </w:p>
        </w:tc>
        <w:tc>
          <w:tcPr>
            <w:tcW w:w="547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4.3 条</w:t>
            </w:r>
            <w:r>
              <w:rPr>
                <w:rFonts w:hint="eastAsia" w:asci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vMerge w:val="continue"/>
            <w:tcBorders>
              <w:top w:val="single" w:color="auto" w:sz="4" w:space="0"/>
              <w:left w:val="single" w:color="auto" w:sz="4" w:space="0"/>
              <w:bottom w:val="single" w:color="auto" w:sz="4" w:space="0"/>
              <w:right w:val="single" w:color="auto" w:sz="4" w:space="0"/>
            </w:tcBorders>
            <w:noWrap/>
          </w:tcP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lang w:val="en-US" w:eastAsia="zh-CN"/>
              </w:rPr>
              <w:t>参选保证金</w:t>
            </w:r>
          </w:p>
        </w:tc>
        <w:tc>
          <w:tcPr>
            <w:tcW w:w="547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4.4 条</w:t>
            </w:r>
            <w:r>
              <w:rPr>
                <w:rFonts w:hint="eastAsia" w:asci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kern w:val="0"/>
                <w:sz w:val="21"/>
                <w:szCs w:val="21"/>
                <w:highlight w:val="none"/>
              </w:rPr>
            </w:pPr>
            <w:r>
              <w:rPr>
                <w:rFonts w:hint="eastAsia" w:ascii="宋体" w:cs="宋体"/>
                <w:color w:val="auto"/>
                <w:kern w:val="0"/>
                <w:sz w:val="21"/>
                <w:szCs w:val="21"/>
                <w:highlight w:val="none"/>
              </w:rPr>
              <w:t>2.2</w:t>
            </w:r>
          </w:p>
        </w:tc>
        <w:tc>
          <w:tcPr>
            <w:tcW w:w="14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eastAsia="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详细评审</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sz w:val="21"/>
                <w:szCs w:val="21"/>
                <w:highlight w:val="none"/>
              </w:rPr>
              <w:t>分值构成与评分标准</w:t>
            </w:r>
          </w:p>
          <w:p>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(总分1OO分)</w:t>
            </w:r>
          </w:p>
        </w:tc>
        <w:tc>
          <w:tcPr>
            <w:tcW w:w="54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lang w:val="en-US" w:eastAsia="zh-CN"/>
              </w:rPr>
            </w:pPr>
            <w:r>
              <w:rPr>
                <w:rFonts w:ascii="宋体" w:cs="宋体"/>
                <w:color w:val="auto"/>
                <w:kern w:val="0"/>
                <w:sz w:val="21"/>
                <w:szCs w:val="21"/>
                <w:highlight w:val="none"/>
                <w:lang w:val="en-US" w:eastAsia="zh-CN"/>
              </w:rPr>
              <w:t>详见本章《评分细则表》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sz w:val="21"/>
                <w:szCs w:val="21"/>
                <w:highlight w:val="none"/>
              </w:rPr>
              <w:t>3</w:t>
            </w:r>
          </w:p>
        </w:tc>
        <w:tc>
          <w:tcPr>
            <w:tcW w:w="14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sz w:val="21"/>
                <w:szCs w:val="21"/>
                <w:highlight w:val="none"/>
              </w:rPr>
              <w:t>评审程序</w:t>
            </w:r>
          </w:p>
        </w:tc>
        <w:tc>
          <w:tcPr>
            <w:tcW w:w="7162"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eastAsia="宋体" w:cs="宋体"/>
                <w:color w:val="auto"/>
                <w:sz w:val="21"/>
                <w:szCs w:val="21"/>
                <w:highlight w:val="none"/>
              </w:rPr>
            </w:pPr>
            <w:r>
              <w:rPr>
                <w:rFonts w:hint="eastAsia" w:ascii="宋体" w:cs="宋体"/>
                <w:color w:val="auto"/>
                <w:sz w:val="21"/>
                <w:szCs w:val="21"/>
                <w:highlight w:val="none"/>
              </w:rPr>
              <w:t>1</w:t>
            </w:r>
            <w:r>
              <w:rPr>
                <w:rFonts w:hint="eastAsia" w:ascii="宋体" w:eastAsia="宋体" w:cs="宋体"/>
                <w:color w:val="auto"/>
                <w:sz w:val="21"/>
                <w:szCs w:val="21"/>
                <w:highlight w:val="none"/>
              </w:rPr>
              <w:t>.初步评审前，按本章第3.1.3项的规定对</w:t>
            </w:r>
            <w:r>
              <w:rPr>
                <w:rFonts w:hint="eastAsia" w:ascii="宋体" w:eastAsia="宋体" w:cs="宋体"/>
                <w:color w:val="auto"/>
                <w:sz w:val="21"/>
                <w:szCs w:val="21"/>
                <w:highlight w:val="none"/>
                <w:lang w:eastAsia="zh-CN"/>
              </w:rPr>
              <w:t>参选</w:t>
            </w:r>
            <w:r>
              <w:rPr>
                <w:rFonts w:hint="eastAsia" w:ascii="宋体" w:eastAsia="宋体" w:cs="宋体"/>
                <w:color w:val="auto"/>
                <w:sz w:val="21"/>
                <w:szCs w:val="21"/>
                <w:highlight w:val="none"/>
              </w:rPr>
              <w:t>报价有算术性错误的进行算术性错误修正。</w:t>
            </w:r>
          </w:p>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2.初步评审合格的</w:t>
            </w:r>
            <w:r>
              <w:rPr>
                <w:rFonts w:hint="eastAsia" w:ascii="宋体" w:eastAsia="宋体" w:cs="宋体"/>
                <w:color w:val="auto"/>
                <w:sz w:val="21"/>
                <w:szCs w:val="21"/>
                <w:highlight w:val="none"/>
                <w:lang w:eastAsia="zh-CN"/>
              </w:rPr>
              <w:t>参选文件</w:t>
            </w:r>
            <w:r>
              <w:rPr>
                <w:rFonts w:hint="eastAsia" w:ascii="宋体" w:eastAsia="宋体" w:cs="宋体"/>
                <w:color w:val="auto"/>
                <w:sz w:val="21"/>
                <w:szCs w:val="21"/>
                <w:highlight w:val="none"/>
              </w:rPr>
              <w:t>进行</w:t>
            </w:r>
            <w:r>
              <w:rPr>
                <w:rFonts w:hint="eastAsia" w:ascii="宋体" w:eastAsia="宋体" w:cs="宋体"/>
                <w:color w:val="auto"/>
                <w:sz w:val="21"/>
                <w:szCs w:val="21"/>
                <w:highlight w:val="none"/>
                <w:lang w:eastAsia="zh-CN"/>
              </w:rPr>
              <w:t>参选</w:t>
            </w:r>
            <w:r>
              <w:rPr>
                <w:rFonts w:hint="eastAsia" w:ascii="宋体" w:eastAsia="宋体" w:cs="宋体"/>
                <w:color w:val="auto"/>
                <w:sz w:val="21"/>
                <w:szCs w:val="21"/>
                <w:highlight w:val="none"/>
              </w:rPr>
              <w:t>报价、商务部分的评分。</w:t>
            </w:r>
            <w:r>
              <w:rPr>
                <w:rFonts w:hint="eastAsia" w:ascii="宋体" w:eastAsia="宋体" w:cs="宋体"/>
                <w:color w:val="auto"/>
                <w:sz w:val="21"/>
                <w:szCs w:val="21"/>
                <w:highlight w:val="none"/>
                <w:lang w:val="en-US" w:eastAsia="zh-CN"/>
              </w:rPr>
              <w:t>主观评审部分由各专家独立评审打分，最后取平均得分，保留2位小数。</w:t>
            </w:r>
          </w:p>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sz w:val="21"/>
                <w:szCs w:val="21"/>
                <w:highlight w:val="none"/>
              </w:rPr>
            </w:pPr>
            <w:r>
              <w:rPr>
                <w:rFonts w:hint="eastAsia" w:ascii="宋体" w:eastAsia="宋体" w:cs="宋体"/>
                <w:color w:val="auto"/>
                <w:sz w:val="21"/>
                <w:szCs w:val="21"/>
                <w:highlight w:val="none"/>
              </w:rPr>
              <w:t>3.根据综合得分由高至低进行排序，推荐1-3家合格的中选候选人。并依次为第一、二、三中选候选人。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sz w:val="21"/>
                <w:szCs w:val="21"/>
                <w:highlight w:val="none"/>
              </w:rPr>
            </w:pPr>
            <w:r>
              <w:rPr>
                <w:rFonts w:hint="eastAsia" w:ascii="宋体" w:cs="宋体"/>
                <w:color w:val="auto"/>
                <w:sz w:val="21"/>
                <w:szCs w:val="21"/>
                <w:highlight w:val="none"/>
              </w:rPr>
              <w:t>3.2.3</w:t>
            </w:r>
          </w:p>
        </w:tc>
        <w:tc>
          <w:tcPr>
            <w:tcW w:w="15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sz w:val="21"/>
                <w:szCs w:val="21"/>
                <w:highlight w:val="none"/>
              </w:rPr>
            </w:pPr>
            <w:r>
              <w:rPr>
                <w:rFonts w:hint="eastAsia" w:ascii="宋体" w:cs="宋体"/>
                <w:color w:val="auto"/>
                <w:sz w:val="21"/>
                <w:szCs w:val="21"/>
                <w:highlight w:val="none"/>
                <w:lang w:eastAsia="zh-CN"/>
              </w:rPr>
              <w:t>参选人</w:t>
            </w:r>
            <w:r>
              <w:rPr>
                <w:rFonts w:hint="eastAsia" w:ascii="宋体" w:cs="宋体"/>
                <w:color w:val="auto"/>
                <w:sz w:val="21"/>
                <w:szCs w:val="21"/>
                <w:highlight w:val="none"/>
              </w:rPr>
              <w:t>得分</w:t>
            </w:r>
          </w:p>
        </w:tc>
        <w:tc>
          <w:tcPr>
            <w:tcW w:w="565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sz w:val="21"/>
                <w:szCs w:val="21"/>
                <w:highlight w:val="none"/>
              </w:rPr>
            </w:pPr>
            <w:r>
              <w:rPr>
                <w:rFonts w:hint="eastAsia" w:ascii="宋体" w:cs="宋体"/>
                <w:color w:val="auto"/>
                <w:sz w:val="21"/>
                <w:szCs w:val="21"/>
                <w:highlight w:val="none"/>
              </w:rPr>
              <w:t>总评分满分为100分，根据各评审项目的具体评审内容和标准分别打分，汇总计算</w:t>
            </w:r>
          </w:p>
        </w:tc>
      </w:tr>
      <w:bookmarkEnd w:id="115"/>
    </w:tbl>
    <w:p>
      <w:pPr>
        <w:ind w:left="0" w:firstLine="0" w:firstLineChars="0"/>
        <w:rPr>
          <w:rFonts w:ascii="宋体" w:cs="宋体"/>
          <w:snapToGrid w:val="0"/>
          <w:color w:val="auto"/>
          <w:sz w:val="21"/>
          <w:szCs w:val="21"/>
          <w:highlight w:val="none"/>
        </w:rPr>
      </w:pPr>
      <w:bookmarkStart w:id="116" w:name="_Toc636"/>
      <w:bookmarkStart w:id="117" w:name="_Toc21111"/>
      <w:r>
        <w:rPr>
          <w:rFonts w:ascii="宋体" w:cs="宋体"/>
          <w:snapToGrid w:val="0"/>
          <w:color w:val="auto"/>
          <w:sz w:val="21"/>
          <w:szCs w:val="21"/>
          <w:highlight w:val="none"/>
        </w:rPr>
        <w:br w:type="page"/>
      </w:r>
      <w:r>
        <w:rPr>
          <w:rFonts w:ascii="宋体" w:cs="宋体"/>
          <w:color w:val="auto"/>
          <w:kern w:val="0"/>
          <w:sz w:val="21"/>
          <w:szCs w:val="21"/>
          <w:highlight w:val="none"/>
          <w:lang w:val="en-US" w:eastAsia="zh-CN"/>
        </w:rPr>
        <w:t>《评分细则表》</w:t>
      </w:r>
    </w:p>
    <w:tbl>
      <w:tblPr>
        <w:tblStyle w:val="15"/>
        <w:tblW w:w="10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3"/>
        <w:gridCol w:w="1476"/>
        <w:gridCol w:w="6465"/>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jc w:val="center"/>
              <w:rPr>
                <w:rFonts w:ascii="Calibri" w:hAnsi="Calibri"/>
                <w:b/>
                <w:color w:val="auto"/>
                <w:szCs w:val="22"/>
                <w:highlight w:val="none"/>
              </w:rPr>
            </w:pPr>
            <w:r>
              <w:rPr>
                <w:rFonts w:ascii="Calibri" w:hAnsi="Calibri"/>
                <w:b/>
                <w:color w:val="auto"/>
                <w:szCs w:val="22"/>
                <w:highlight w:val="none"/>
              </w:rPr>
              <w:t>评审项目</w:t>
            </w: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jc w:val="both"/>
              <w:rPr>
                <w:rFonts w:ascii="Calibri" w:hAnsi="Calibri"/>
                <w:b/>
                <w:color w:val="auto"/>
                <w:szCs w:val="22"/>
                <w:highlight w:val="none"/>
              </w:rPr>
            </w:pPr>
            <w:r>
              <w:rPr>
                <w:rFonts w:ascii="Calibri" w:hAnsi="Calibri"/>
                <w:b/>
                <w:color w:val="auto"/>
                <w:szCs w:val="22"/>
                <w:highlight w:val="none"/>
              </w:rPr>
              <w:t>评审内容</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jc w:val="center"/>
              <w:rPr>
                <w:rFonts w:ascii="Calibri" w:hAnsi="Calibri"/>
                <w:b/>
                <w:color w:val="auto"/>
                <w:szCs w:val="22"/>
                <w:highlight w:val="none"/>
              </w:rPr>
            </w:pPr>
            <w:r>
              <w:rPr>
                <w:rFonts w:ascii="Calibri" w:hAnsi="Calibri"/>
                <w:b/>
                <w:color w:val="auto"/>
                <w:szCs w:val="22"/>
                <w:highlight w:val="none"/>
              </w:rPr>
              <w:t>评分标准</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b/>
                <w:color w:val="auto"/>
                <w:szCs w:val="22"/>
                <w:highlight w:val="none"/>
              </w:rPr>
            </w:pPr>
            <w:r>
              <w:rPr>
                <w:rFonts w:ascii="Calibri" w:hAnsi="Calibri"/>
                <w:b/>
                <w:color w:val="auto"/>
                <w:szCs w:val="22"/>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jc w:val="center"/>
              <w:rPr>
                <w:rFonts w:ascii="Calibri" w:hAnsi="Calibri"/>
                <w:color w:val="auto"/>
                <w:szCs w:val="22"/>
                <w:highlight w:val="none"/>
              </w:rPr>
            </w:pPr>
            <w:r>
              <w:rPr>
                <w:rFonts w:hint="eastAsia" w:ascii="Calibri" w:hAnsi="Calibri"/>
                <w:color w:val="auto"/>
                <w:szCs w:val="22"/>
                <w:highlight w:val="none"/>
              </w:rPr>
              <w:t>职业</w:t>
            </w:r>
            <w:r>
              <w:rPr>
                <w:rFonts w:ascii="Calibri" w:hAnsi="Calibri"/>
                <w:color w:val="auto"/>
                <w:szCs w:val="22"/>
                <w:highlight w:val="none"/>
              </w:rPr>
              <w:t>记录</w:t>
            </w:r>
          </w:p>
          <w:p>
            <w:pPr>
              <w:ind w:left="0" w:firstLine="0" w:firstLineChars="0"/>
              <w:jc w:val="center"/>
              <w:rPr>
                <w:rFonts w:ascii="Calibri" w:hAnsi="Calibri"/>
                <w:color w:val="auto"/>
                <w:szCs w:val="22"/>
                <w:highlight w:val="none"/>
              </w:rPr>
            </w:pPr>
            <w:r>
              <w:rPr>
                <w:rFonts w:ascii="Calibri" w:hAnsi="Calibri"/>
                <w:color w:val="auto"/>
                <w:szCs w:val="22"/>
                <w:highlight w:val="none"/>
              </w:rPr>
              <w:t>和质量</w:t>
            </w:r>
          </w:p>
          <w:p>
            <w:pPr>
              <w:ind w:left="0" w:firstLine="0" w:firstLineChars="0"/>
              <w:jc w:val="center"/>
              <w:rPr>
                <w:rFonts w:ascii="Calibri" w:hAnsi="Calibri"/>
                <w:color w:val="auto"/>
                <w:szCs w:val="22"/>
                <w:highlight w:val="none"/>
              </w:rPr>
            </w:pPr>
            <w:r>
              <w:rPr>
                <w:rFonts w:ascii="Calibri" w:hAnsi="Calibri"/>
                <w:color w:val="auto"/>
                <w:szCs w:val="22"/>
                <w:highlight w:val="none"/>
              </w:rPr>
              <w:t>水平</w:t>
            </w:r>
          </w:p>
          <w:p>
            <w:pPr>
              <w:jc w:val="center"/>
              <w:rPr>
                <w:rFonts w:ascii="Calibri" w:hAnsi="Calibri"/>
                <w:color w:val="auto"/>
                <w:szCs w:val="22"/>
                <w:highlight w:val="none"/>
              </w:rPr>
            </w:pPr>
            <w:r>
              <w:rPr>
                <w:rFonts w:hint="eastAsia" w:ascii="Calibri" w:hAnsi="Calibri"/>
                <w:color w:val="auto"/>
                <w:szCs w:val="22"/>
                <w:highlight w:val="none"/>
              </w:rPr>
              <w:t>（18分）</w:t>
            </w: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1.职业</w:t>
            </w:r>
            <w:r>
              <w:rPr>
                <w:rFonts w:ascii="Calibri" w:hAnsi="Calibri"/>
                <w:color w:val="auto"/>
                <w:szCs w:val="22"/>
                <w:highlight w:val="none"/>
              </w:rPr>
              <w:t>记录</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ascii="Calibri" w:hAnsi="Calibri"/>
                <w:color w:val="auto"/>
                <w:szCs w:val="22"/>
                <w:highlight w:val="none"/>
              </w:rPr>
              <w:t>会计师事务所执行法律法规和相关政策的情况</w:t>
            </w:r>
            <w:r>
              <w:rPr>
                <w:rFonts w:hint="eastAsia" w:ascii="Calibri" w:hAnsi="Calibri"/>
                <w:color w:val="auto"/>
                <w:szCs w:val="22"/>
                <w:highlight w:val="none"/>
              </w:rPr>
              <w:t>，</w:t>
            </w:r>
            <w:r>
              <w:rPr>
                <w:rFonts w:ascii="Calibri" w:hAnsi="Calibri"/>
                <w:color w:val="auto"/>
                <w:szCs w:val="22"/>
                <w:highlight w:val="none"/>
              </w:rPr>
              <w:t>遵守职业道德规范</w:t>
            </w:r>
            <w:r>
              <w:rPr>
                <w:rFonts w:hint="eastAsia" w:ascii="Calibri" w:hAnsi="Calibri"/>
                <w:color w:val="auto"/>
                <w:szCs w:val="22"/>
                <w:highlight w:val="none"/>
              </w:rPr>
              <w:t>，近三年受到的惩罚情况。</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近三年因违法违规行为被财政部、省级财政部门给予行政处罚一次，该项不得分。没有处罚记录的该项得10分。</w:t>
            </w:r>
          </w:p>
          <w:p>
            <w:pPr>
              <w:rPr>
                <w:rFonts w:ascii="Calibri" w:hAnsi="Calibri"/>
                <w:color w:val="auto"/>
                <w:szCs w:val="22"/>
                <w:highlight w:val="none"/>
              </w:rPr>
            </w:pPr>
            <w:r>
              <w:rPr>
                <w:rFonts w:hint="eastAsia" w:ascii="Calibri" w:hAnsi="Calibri"/>
                <w:color w:val="auto"/>
                <w:szCs w:val="22"/>
                <w:highlight w:val="none"/>
              </w:rPr>
              <w:t>（提供中注协公布的上述年度信息数据材料并加盖公章，或提供中注协行业管理信息系统（中国注册会计师行业管理信息系统——公众查询版 (cicpa.org.cn)）中公开公布的处罚/惩戒信息截图并加盖公章。）</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2.人员素质</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ascii="Calibri" w:hAnsi="Calibri"/>
                <w:color w:val="auto"/>
                <w:szCs w:val="22"/>
                <w:highlight w:val="none"/>
              </w:rPr>
              <w:t>注册会计师情况</w:t>
            </w:r>
            <w:r>
              <w:rPr>
                <w:rFonts w:hint="eastAsia" w:ascii="Calibri" w:hAnsi="Calibri"/>
                <w:color w:val="auto"/>
                <w:szCs w:val="22"/>
                <w:highlight w:val="none"/>
              </w:rPr>
              <w:t>：</w:t>
            </w:r>
            <w:r>
              <w:rPr>
                <w:rFonts w:ascii="Calibri" w:hAnsi="Calibri"/>
                <w:color w:val="auto"/>
                <w:szCs w:val="22"/>
                <w:highlight w:val="none"/>
              </w:rPr>
              <w:t>人数</w:t>
            </w:r>
            <w:r>
              <w:rPr>
                <w:rFonts w:hint="eastAsia" w:ascii="Calibri" w:hAnsi="Calibri"/>
                <w:color w:val="auto"/>
                <w:szCs w:val="22"/>
                <w:highlight w:val="none"/>
              </w:rPr>
              <w:t>、</w:t>
            </w:r>
            <w:r>
              <w:rPr>
                <w:rFonts w:ascii="Calibri" w:hAnsi="Calibri"/>
                <w:color w:val="auto"/>
                <w:szCs w:val="22"/>
                <w:highlight w:val="none"/>
              </w:rPr>
              <w:t>执业经验</w:t>
            </w:r>
            <w:r>
              <w:rPr>
                <w:rFonts w:hint="eastAsia" w:ascii="Calibri" w:hAnsi="Calibri"/>
                <w:color w:val="auto"/>
                <w:szCs w:val="22"/>
                <w:highlight w:val="none"/>
              </w:rPr>
              <w:t>。</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注册会计师人数少于100人的该项不得分。注册会计师人数达到100人的该项得8分。</w:t>
            </w:r>
          </w:p>
          <w:p>
            <w:pPr>
              <w:rPr>
                <w:rFonts w:ascii="Calibri" w:hAnsi="Calibri"/>
                <w:color w:val="auto"/>
                <w:szCs w:val="22"/>
                <w:highlight w:val="none"/>
              </w:rPr>
            </w:pPr>
            <w:r>
              <w:rPr>
                <w:rFonts w:hint="eastAsia" w:ascii="Calibri" w:hAnsi="Calibri"/>
                <w:color w:val="auto"/>
                <w:szCs w:val="22"/>
                <w:highlight w:val="none"/>
              </w:rPr>
              <w:t>（注册会计师人数需提供中注协公布的信息数据材料并加盖公章，或提供注册会计师名单、其执业资格证书及社保缴纳记录的复印件并加盖公章，或提供中注协行业管理信息系统（</w:t>
            </w:r>
            <w:r>
              <w:rPr>
                <w:rFonts w:hint="eastAsia" w:ascii="Calibri" w:hAnsi="Calibri"/>
                <w:color w:val="auto"/>
                <w:szCs w:val="22"/>
                <w:highlight w:val="none"/>
              </w:rPr>
              <w:fldChar w:fldCharType="begin"/>
            </w:r>
            <w:r>
              <w:instrText xml:space="preserve">HYPERLINK "https://cmispub.cicpa.org.cn/cicpa2_web/public/query0/1/00.shtml"</w:instrText>
            </w:r>
            <w:r>
              <w:rPr>
                <w:rFonts w:hint="eastAsia" w:ascii="Calibri" w:hAnsi="Calibri"/>
                <w:color w:val="auto"/>
                <w:szCs w:val="22"/>
                <w:highlight w:val="none"/>
              </w:rPr>
              <w:fldChar w:fldCharType="separate"/>
            </w:r>
            <w:r>
              <w:rPr>
                <w:rFonts w:hint="eastAsia" w:ascii="Calibri" w:hAnsi="Calibri"/>
                <w:color w:val="auto"/>
                <w:szCs w:val="22"/>
                <w:highlight w:val="none"/>
              </w:rPr>
              <w:t>中国注册会计师行业管理信息系统——公众查询版 (cicpa.org.cn)</w:t>
            </w:r>
            <w:r>
              <w:rPr>
                <w:rFonts w:hint="eastAsia" w:ascii="Calibri" w:hAnsi="Calibri"/>
                <w:color w:val="auto"/>
                <w:szCs w:val="22"/>
                <w:highlight w:val="none"/>
              </w:rPr>
              <w:fldChar w:fldCharType="end"/>
            </w:r>
            <w:r>
              <w:rPr>
                <w:rFonts w:hint="eastAsia" w:ascii="Calibri" w:hAnsi="Calibri"/>
                <w:color w:val="auto"/>
                <w:szCs w:val="22"/>
                <w:highlight w:val="none"/>
              </w:rPr>
              <w:t>）中公开公布的注册会计师人数和体现执业证书编号的注册会计师名单截图并加盖公章。）</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ascii="Calibri" w:hAnsi="Calibri"/>
                <w:color w:val="auto"/>
                <w:szCs w:val="22"/>
                <w:highlight w:val="none"/>
              </w:rPr>
              <w:t>人员配置</w:t>
            </w:r>
          </w:p>
          <w:p>
            <w:pPr>
              <w:jc w:val="center"/>
              <w:rPr>
                <w:rFonts w:ascii="Calibri" w:hAnsi="Calibri"/>
                <w:color w:val="auto"/>
                <w:szCs w:val="22"/>
                <w:highlight w:val="none"/>
              </w:rPr>
            </w:pPr>
            <w:r>
              <w:rPr>
                <w:rFonts w:hint="eastAsia" w:ascii="Calibri" w:hAnsi="Calibri"/>
                <w:color w:val="auto"/>
                <w:szCs w:val="22"/>
                <w:highlight w:val="none"/>
              </w:rPr>
              <w:t>（18分）</w:t>
            </w: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1、项目主要负责人情况</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ascii="Calibri" w:hAnsi="Calibri"/>
                <w:color w:val="auto"/>
                <w:szCs w:val="22"/>
                <w:highlight w:val="none"/>
              </w:rPr>
              <w:t>本项目主要负责人</w:t>
            </w:r>
            <w:r>
              <w:rPr>
                <w:rFonts w:hint="eastAsia" w:ascii="Calibri" w:hAnsi="Calibri"/>
                <w:color w:val="auto"/>
                <w:szCs w:val="22"/>
                <w:highlight w:val="none"/>
              </w:rPr>
              <w:t>（</w:t>
            </w:r>
            <w:r>
              <w:rPr>
                <w:rFonts w:ascii="Calibri" w:hAnsi="Calibri"/>
                <w:color w:val="auto"/>
                <w:szCs w:val="22"/>
                <w:highlight w:val="none"/>
              </w:rPr>
              <w:t>一名主要负责人</w:t>
            </w:r>
            <w:r>
              <w:rPr>
                <w:rFonts w:hint="eastAsia" w:ascii="Calibri" w:hAnsi="Calibri"/>
                <w:color w:val="auto"/>
                <w:szCs w:val="22"/>
                <w:highlight w:val="none"/>
              </w:rPr>
              <w:t>）简历：包括基本信息、</w:t>
            </w:r>
            <w:r>
              <w:rPr>
                <w:rFonts w:ascii="Calibri" w:hAnsi="Calibri"/>
                <w:color w:val="auto"/>
                <w:szCs w:val="22"/>
                <w:highlight w:val="none"/>
              </w:rPr>
              <w:t>从业时间</w:t>
            </w:r>
            <w:r>
              <w:rPr>
                <w:rFonts w:hint="eastAsia" w:ascii="Calibri" w:hAnsi="Calibri"/>
                <w:color w:val="auto"/>
                <w:szCs w:val="22"/>
                <w:highlight w:val="none"/>
              </w:rPr>
              <w:t>、</w:t>
            </w:r>
            <w:r>
              <w:rPr>
                <w:rFonts w:ascii="Calibri" w:hAnsi="Calibri"/>
                <w:color w:val="auto"/>
                <w:szCs w:val="22"/>
                <w:highlight w:val="none"/>
              </w:rPr>
              <w:t>从业经验</w:t>
            </w:r>
            <w:r>
              <w:rPr>
                <w:rFonts w:hint="eastAsia" w:ascii="Calibri" w:hAnsi="Calibri"/>
                <w:color w:val="auto"/>
                <w:szCs w:val="22"/>
                <w:highlight w:val="none"/>
              </w:rPr>
              <w:t>、</w:t>
            </w:r>
            <w:r>
              <w:rPr>
                <w:rFonts w:ascii="Calibri" w:hAnsi="Calibri"/>
                <w:color w:val="auto"/>
                <w:szCs w:val="22"/>
                <w:highlight w:val="none"/>
              </w:rPr>
              <w:t>负责项目等情况</w:t>
            </w:r>
            <w:r>
              <w:rPr>
                <w:rFonts w:hint="eastAsia" w:ascii="Calibri" w:hAnsi="Calibri"/>
                <w:color w:val="auto"/>
                <w:szCs w:val="22"/>
                <w:highlight w:val="none"/>
              </w:rPr>
              <w:t>，根据我行招标文件要求提供。</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（1）从业时间不少于10年且近三年作为项目负责人负责金融企业审计项目不少于8个，得基本分4分，负责过</w:t>
            </w:r>
            <w:r>
              <w:rPr>
                <w:rFonts w:ascii="Calibri" w:hAnsi="Calibri"/>
                <w:color w:val="auto"/>
                <w:szCs w:val="22"/>
                <w:highlight w:val="none"/>
              </w:rPr>
              <w:t>银行</w:t>
            </w:r>
            <w:r>
              <w:rPr>
                <w:rFonts w:hint="eastAsia" w:ascii="Calibri" w:hAnsi="Calibri"/>
                <w:color w:val="auto"/>
                <w:szCs w:val="22"/>
                <w:highlight w:val="none"/>
              </w:rPr>
              <w:t>资管产品审计项目的加2分；</w:t>
            </w:r>
          </w:p>
          <w:p>
            <w:pPr>
              <w:rPr>
                <w:rFonts w:ascii="Calibri" w:hAnsi="Calibri"/>
                <w:color w:val="auto"/>
                <w:szCs w:val="22"/>
                <w:highlight w:val="none"/>
              </w:rPr>
            </w:pPr>
            <w:r>
              <w:rPr>
                <w:rFonts w:hint="eastAsia" w:ascii="宋体"/>
                <w:color w:val="auto"/>
                <w:szCs w:val="22"/>
                <w:highlight w:val="none"/>
              </w:rPr>
              <w:t>（2）</w:t>
            </w:r>
            <w:r>
              <w:rPr>
                <w:rFonts w:hint="eastAsia" w:ascii="Calibri" w:hAnsi="Calibri"/>
                <w:color w:val="auto"/>
                <w:szCs w:val="22"/>
                <w:highlight w:val="none"/>
              </w:rPr>
              <w:t>从业时间不少于8年且近三年作为项目负责人负责金融企业审计项目不少于6个，得基本分3分，负责过</w:t>
            </w:r>
            <w:r>
              <w:rPr>
                <w:rFonts w:ascii="Calibri" w:hAnsi="Calibri"/>
                <w:color w:val="auto"/>
                <w:szCs w:val="22"/>
                <w:highlight w:val="none"/>
              </w:rPr>
              <w:t>银行</w:t>
            </w:r>
            <w:r>
              <w:rPr>
                <w:rFonts w:hint="eastAsia" w:ascii="Calibri" w:hAnsi="Calibri"/>
                <w:color w:val="auto"/>
                <w:szCs w:val="22"/>
                <w:highlight w:val="none"/>
              </w:rPr>
              <w:t>资管产品审计项目的加2分；</w:t>
            </w:r>
          </w:p>
          <w:p>
            <w:pPr>
              <w:rPr>
                <w:rFonts w:ascii="Calibri" w:hAnsi="Calibri"/>
                <w:color w:val="auto"/>
                <w:szCs w:val="22"/>
                <w:highlight w:val="none"/>
              </w:rPr>
            </w:pPr>
            <w:r>
              <w:rPr>
                <w:rFonts w:hint="eastAsia" w:ascii="Calibri" w:hAnsi="Calibri"/>
                <w:color w:val="auto"/>
                <w:szCs w:val="22"/>
                <w:highlight w:val="none"/>
              </w:rPr>
              <w:t>（3）从业时间不少于6年且近三年作为项目负责人负责金融企业审计项目不少于4个，得基本分2分，负责过</w:t>
            </w:r>
            <w:r>
              <w:rPr>
                <w:rFonts w:ascii="Calibri" w:hAnsi="Calibri"/>
                <w:color w:val="auto"/>
                <w:szCs w:val="22"/>
                <w:highlight w:val="none"/>
              </w:rPr>
              <w:t>银行</w:t>
            </w:r>
            <w:r>
              <w:rPr>
                <w:rFonts w:hint="eastAsia" w:ascii="Calibri" w:hAnsi="Calibri"/>
                <w:color w:val="auto"/>
                <w:szCs w:val="22"/>
                <w:highlight w:val="none"/>
              </w:rPr>
              <w:t>资管产品项目的加2分；</w:t>
            </w:r>
          </w:p>
          <w:p>
            <w:pPr>
              <w:rPr>
                <w:rFonts w:ascii="Calibri" w:hAnsi="Calibri"/>
                <w:color w:val="auto"/>
                <w:szCs w:val="22"/>
                <w:highlight w:val="none"/>
              </w:rPr>
            </w:pPr>
            <w:r>
              <w:rPr>
                <w:rFonts w:hint="eastAsia" w:ascii="Calibri" w:hAnsi="Calibri"/>
                <w:color w:val="auto"/>
                <w:szCs w:val="22"/>
                <w:highlight w:val="none"/>
              </w:rPr>
              <w:t>（4）项目主要负责人未达到上述标准的得0分。</w:t>
            </w:r>
          </w:p>
          <w:p>
            <w:pPr>
              <w:rPr>
                <w:rFonts w:ascii="Calibri" w:hAnsi="Calibri"/>
                <w:color w:val="auto"/>
                <w:szCs w:val="22"/>
                <w:highlight w:val="none"/>
              </w:rPr>
            </w:pPr>
            <w:r>
              <w:rPr>
                <w:rFonts w:hint="eastAsia" w:ascii="Calibri" w:hAnsi="Calibri"/>
                <w:color w:val="auto"/>
                <w:szCs w:val="22"/>
                <w:highlight w:val="none"/>
              </w:rPr>
              <w:t>（提供项目主要负责人简历，从业时间以获取注册会计师执业资格证书时间至今为准，提供资格证书复印件并加盖公章；负责金融企业审计项目数量及负责过</w:t>
            </w:r>
            <w:r>
              <w:rPr>
                <w:rFonts w:ascii="Calibri" w:hAnsi="Calibri"/>
                <w:color w:val="auto"/>
                <w:szCs w:val="22"/>
                <w:highlight w:val="none"/>
              </w:rPr>
              <w:t>银行</w:t>
            </w:r>
            <w:r>
              <w:rPr>
                <w:rFonts w:hint="eastAsia" w:ascii="Calibri" w:hAnsi="Calibri"/>
                <w:color w:val="auto"/>
                <w:szCs w:val="22"/>
                <w:highlight w:val="none"/>
              </w:rPr>
              <w:t>资管产品审计项目经历以签字的审计报告为准，需提供审计报告封面、签字页复印件并加盖公章。）</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tc>
        <w:tc>
          <w:tcPr>
            <w:tcW w:w="147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2.</w:t>
            </w:r>
            <w:r>
              <w:rPr>
                <w:rFonts w:ascii="Calibri" w:hAnsi="Calibri"/>
                <w:color w:val="auto"/>
                <w:szCs w:val="22"/>
                <w:highlight w:val="none"/>
              </w:rPr>
              <w:t>核心成员情况</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ascii="Calibri" w:hAnsi="Calibri"/>
                <w:color w:val="auto"/>
                <w:szCs w:val="22"/>
                <w:highlight w:val="none"/>
              </w:rPr>
              <w:t>参加本项目的核心成员情况</w:t>
            </w:r>
            <w:r>
              <w:rPr>
                <w:rFonts w:hint="eastAsia" w:ascii="Calibri" w:hAnsi="Calibri"/>
                <w:color w:val="auto"/>
                <w:szCs w:val="22"/>
                <w:highlight w:val="none"/>
              </w:rPr>
              <w:t>：</w:t>
            </w:r>
            <w:r>
              <w:rPr>
                <w:rFonts w:ascii="Calibri" w:hAnsi="Calibri"/>
                <w:color w:val="auto"/>
                <w:szCs w:val="22"/>
                <w:highlight w:val="none"/>
              </w:rPr>
              <w:t>包括简历</w:t>
            </w:r>
            <w:r>
              <w:rPr>
                <w:rFonts w:hint="eastAsia" w:ascii="Calibri" w:hAnsi="Calibri"/>
                <w:color w:val="auto"/>
                <w:szCs w:val="22"/>
                <w:highlight w:val="none"/>
              </w:rPr>
              <w:t>、</w:t>
            </w:r>
            <w:r>
              <w:rPr>
                <w:rFonts w:ascii="Calibri" w:hAnsi="Calibri"/>
                <w:color w:val="auto"/>
                <w:szCs w:val="22"/>
                <w:highlight w:val="none"/>
              </w:rPr>
              <w:t>专业资质</w:t>
            </w:r>
            <w:r>
              <w:rPr>
                <w:rFonts w:hint="eastAsia" w:ascii="Calibri" w:hAnsi="Calibri"/>
                <w:color w:val="auto"/>
                <w:szCs w:val="22"/>
                <w:highlight w:val="none"/>
              </w:rPr>
              <w:t>、</w:t>
            </w:r>
            <w:r>
              <w:rPr>
                <w:rFonts w:ascii="Calibri" w:hAnsi="Calibri"/>
                <w:color w:val="auto"/>
                <w:szCs w:val="22"/>
                <w:highlight w:val="none"/>
              </w:rPr>
              <w:t>参与资管产品</w:t>
            </w:r>
            <w:r>
              <w:rPr>
                <w:rFonts w:hint="eastAsia" w:ascii="Calibri" w:hAnsi="Calibri"/>
                <w:color w:val="auto"/>
                <w:szCs w:val="22"/>
                <w:highlight w:val="none"/>
              </w:rPr>
              <w:t>，</w:t>
            </w:r>
            <w:r>
              <w:rPr>
                <w:rFonts w:ascii="Calibri" w:hAnsi="Calibri"/>
                <w:color w:val="auto"/>
                <w:szCs w:val="22"/>
                <w:highlight w:val="none"/>
              </w:rPr>
              <w:t>特别是银行资管产品审计项目情况</w:t>
            </w:r>
            <w:r>
              <w:rPr>
                <w:rFonts w:hint="eastAsia" w:ascii="Calibri" w:hAnsi="Calibri"/>
                <w:color w:val="auto"/>
                <w:szCs w:val="22"/>
                <w:highlight w:val="none"/>
              </w:rPr>
              <w:t>、</w:t>
            </w:r>
            <w:r>
              <w:rPr>
                <w:rFonts w:ascii="Calibri" w:hAnsi="Calibri"/>
                <w:color w:val="auto"/>
                <w:szCs w:val="22"/>
                <w:highlight w:val="none"/>
              </w:rPr>
              <w:t>在本项目中主要负责的领域等情况</w:t>
            </w:r>
            <w:r>
              <w:rPr>
                <w:rFonts w:hint="eastAsia" w:ascii="Calibri" w:hAnsi="Calibri"/>
                <w:color w:val="auto"/>
                <w:szCs w:val="22"/>
                <w:highlight w:val="none"/>
              </w:rPr>
              <w:t>，根据我行</w:t>
            </w:r>
            <w:r>
              <w:rPr>
                <w:rFonts w:ascii="Calibri" w:hAnsi="Calibri"/>
                <w:color w:val="auto"/>
                <w:szCs w:val="22"/>
                <w:highlight w:val="none"/>
              </w:rPr>
              <w:t>比选</w:t>
            </w:r>
            <w:r>
              <w:rPr>
                <w:rFonts w:hint="eastAsia" w:ascii="Calibri" w:hAnsi="Calibri"/>
                <w:color w:val="auto"/>
                <w:szCs w:val="22"/>
                <w:highlight w:val="none"/>
              </w:rPr>
              <w:t>文件要求提供。</w:t>
            </w:r>
          </w:p>
          <w:p>
            <w:pPr>
              <w:rPr>
                <w:rFonts w:ascii="Calibri" w:hAnsi="Calibri"/>
                <w:color w:val="auto"/>
                <w:szCs w:val="22"/>
                <w:highlight w:val="none"/>
              </w:rPr>
            </w:pPr>
            <w:r>
              <w:rPr>
                <w:rFonts w:hint="eastAsia" w:ascii="Calibri" w:hAnsi="Calibri"/>
                <w:color w:val="auto"/>
                <w:szCs w:val="22"/>
                <w:highlight w:val="none"/>
              </w:rPr>
              <w:t>评分说明：</w:t>
            </w:r>
          </w:p>
          <w:p>
            <w:pPr>
              <w:rPr>
                <w:rFonts w:ascii="宋体"/>
                <w:color w:val="auto"/>
                <w:szCs w:val="22"/>
                <w:highlight w:val="none"/>
              </w:rPr>
            </w:pPr>
            <w:r>
              <w:rPr>
                <w:rFonts w:hint="eastAsia" w:ascii="Calibri" w:hAnsi="Calibri"/>
                <w:color w:val="auto"/>
                <w:szCs w:val="22"/>
                <w:highlight w:val="none"/>
              </w:rPr>
              <w:t>核心成员按下面各类情况分类统计，分档计算分数，各档得分汇总作为该项得分，满分6分，但核心成员少于2人的得0分。</w:t>
            </w:r>
          </w:p>
          <w:p>
            <w:pPr>
              <w:rPr>
                <w:rFonts w:ascii="宋体"/>
                <w:color w:val="auto"/>
                <w:szCs w:val="22"/>
                <w:highlight w:val="none"/>
              </w:rPr>
            </w:pPr>
            <w:r>
              <w:rPr>
                <w:rFonts w:hint="eastAsia" w:ascii="宋体"/>
                <w:color w:val="auto"/>
                <w:szCs w:val="22"/>
                <w:highlight w:val="none"/>
              </w:rPr>
              <w:t>（1）</w:t>
            </w:r>
            <w:r>
              <w:rPr>
                <w:rFonts w:hint="eastAsia" w:ascii="Calibri" w:hAnsi="Calibri"/>
                <w:color w:val="auto"/>
                <w:szCs w:val="22"/>
                <w:highlight w:val="none"/>
              </w:rPr>
              <w:t>从业时间不少于5年且近三年参与金融企业审计项目不少于4个，每人2分，参与过</w:t>
            </w:r>
            <w:r>
              <w:rPr>
                <w:rFonts w:ascii="Calibri" w:hAnsi="Calibri"/>
                <w:color w:val="auto"/>
                <w:szCs w:val="22"/>
                <w:highlight w:val="none"/>
              </w:rPr>
              <w:t>银行</w:t>
            </w:r>
            <w:r>
              <w:rPr>
                <w:rFonts w:hint="eastAsia" w:ascii="Calibri" w:hAnsi="Calibri"/>
                <w:color w:val="auto"/>
                <w:szCs w:val="22"/>
                <w:highlight w:val="none"/>
              </w:rPr>
              <w:t>资管产品审计项目加1分/人；</w:t>
            </w:r>
          </w:p>
          <w:p>
            <w:pPr>
              <w:rPr>
                <w:rFonts w:ascii="宋体"/>
                <w:color w:val="auto"/>
                <w:szCs w:val="22"/>
                <w:highlight w:val="none"/>
              </w:rPr>
            </w:pPr>
            <w:r>
              <w:rPr>
                <w:rFonts w:hint="eastAsia" w:ascii="Calibri" w:hAnsi="Calibri"/>
                <w:color w:val="auto"/>
                <w:szCs w:val="22"/>
                <w:highlight w:val="none"/>
              </w:rPr>
              <w:t>（2）从业时间不少于4年且近三年参与金融企业审计项目不少于3个，每人1.5分，参与过</w:t>
            </w:r>
            <w:r>
              <w:rPr>
                <w:rFonts w:ascii="Calibri" w:hAnsi="Calibri"/>
                <w:color w:val="auto"/>
                <w:szCs w:val="22"/>
                <w:highlight w:val="none"/>
              </w:rPr>
              <w:t>银行</w:t>
            </w:r>
            <w:r>
              <w:rPr>
                <w:rFonts w:hint="eastAsia" w:ascii="Calibri" w:hAnsi="Calibri"/>
                <w:color w:val="auto"/>
                <w:szCs w:val="22"/>
                <w:highlight w:val="none"/>
              </w:rPr>
              <w:t>资管产品审计项目加1分/人；</w:t>
            </w:r>
          </w:p>
          <w:p>
            <w:pPr>
              <w:rPr>
                <w:rFonts w:ascii="Calibri" w:hAnsi="Calibri"/>
                <w:color w:val="auto"/>
                <w:szCs w:val="22"/>
                <w:highlight w:val="none"/>
              </w:rPr>
            </w:pPr>
            <w:r>
              <w:rPr>
                <w:rFonts w:hint="eastAsia" w:ascii="宋体"/>
                <w:color w:val="auto"/>
                <w:szCs w:val="22"/>
                <w:highlight w:val="none"/>
              </w:rPr>
              <w:t>（3）</w:t>
            </w:r>
            <w:r>
              <w:rPr>
                <w:rFonts w:hint="eastAsia" w:ascii="Calibri" w:hAnsi="Calibri"/>
                <w:color w:val="auto"/>
                <w:szCs w:val="22"/>
                <w:highlight w:val="none"/>
              </w:rPr>
              <w:t>从业时间不少于3年且近三年参与金融企业审计项目不少于2个，每人1分，参与过</w:t>
            </w:r>
            <w:r>
              <w:rPr>
                <w:rFonts w:ascii="Calibri" w:hAnsi="Calibri"/>
                <w:color w:val="auto"/>
                <w:szCs w:val="22"/>
                <w:highlight w:val="none"/>
              </w:rPr>
              <w:t>银行</w:t>
            </w:r>
            <w:r>
              <w:rPr>
                <w:rFonts w:hint="eastAsia" w:ascii="Calibri" w:hAnsi="Calibri"/>
                <w:color w:val="auto"/>
                <w:szCs w:val="22"/>
                <w:highlight w:val="none"/>
              </w:rPr>
              <w:t>资管产品审计项目加1分/人。</w:t>
            </w:r>
          </w:p>
          <w:p>
            <w:pPr>
              <w:rPr>
                <w:rFonts w:ascii="Calibri" w:hAnsi="Calibri"/>
                <w:color w:val="auto"/>
                <w:szCs w:val="22"/>
                <w:highlight w:val="none"/>
              </w:rPr>
            </w:pPr>
            <w:r>
              <w:rPr>
                <w:rFonts w:hint="eastAsia" w:ascii="Calibri" w:hAnsi="Calibri"/>
                <w:color w:val="auto"/>
                <w:szCs w:val="22"/>
                <w:highlight w:val="none"/>
              </w:rPr>
              <w:t>（提供项目核心成员简历，从业时间以获取注册会计师执业资格证书时间至今为准，提供资格证书复印件并加盖公章；参与金融企业及</w:t>
            </w:r>
            <w:r>
              <w:rPr>
                <w:rFonts w:ascii="Calibri" w:hAnsi="Calibri"/>
                <w:color w:val="auto"/>
                <w:szCs w:val="22"/>
                <w:highlight w:val="none"/>
              </w:rPr>
              <w:t>银行</w:t>
            </w:r>
            <w:r>
              <w:rPr>
                <w:rFonts w:hint="eastAsia" w:ascii="Calibri" w:hAnsi="Calibri"/>
                <w:color w:val="auto"/>
                <w:szCs w:val="22"/>
                <w:highlight w:val="none"/>
              </w:rPr>
              <w:t>资管产品审计项目数量需公司提供证明材料并加盖公章，其中证明材料为服务对象公司提供证明文件或提供服务对象公司联系人及联系方式以便后续求证。）</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hint="eastAsia" w:ascii="Calibri" w:hAnsi="Calibri"/>
                <w:color w:val="auto"/>
                <w:szCs w:val="22"/>
                <w:highlight w:val="none"/>
              </w:rPr>
              <w:t>现场参加本项目的核心成员情况：提供现场参加本项目的核心成员名单。</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（1）现场参加本项目的核心成员2名及以上的得2分；</w:t>
            </w:r>
          </w:p>
          <w:p>
            <w:pPr>
              <w:rPr>
                <w:rFonts w:ascii="Calibri" w:hAnsi="Calibri"/>
                <w:color w:val="auto"/>
                <w:szCs w:val="22"/>
                <w:highlight w:val="none"/>
              </w:rPr>
            </w:pPr>
            <w:r>
              <w:rPr>
                <w:rFonts w:hint="eastAsia" w:ascii="Calibri" w:hAnsi="Calibri"/>
                <w:color w:val="auto"/>
                <w:szCs w:val="22"/>
                <w:highlight w:val="none"/>
              </w:rPr>
              <w:t>（2）现场参加本项目的核心成员1名的得1分；</w:t>
            </w:r>
          </w:p>
          <w:p>
            <w:pPr>
              <w:rPr>
                <w:rFonts w:ascii="Calibri" w:hAnsi="Calibri"/>
                <w:color w:val="auto"/>
                <w:szCs w:val="22"/>
                <w:highlight w:val="none"/>
              </w:rPr>
            </w:pPr>
            <w:r>
              <w:rPr>
                <w:rFonts w:hint="eastAsia" w:ascii="Calibri" w:hAnsi="Calibri"/>
                <w:color w:val="auto"/>
                <w:szCs w:val="22"/>
                <w:highlight w:val="none"/>
              </w:rPr>
              <w:t>（3）没有现场参加本项目的核心成员的得0分。</w:t>
            </w:r>
          </w:p>
          <w:p>
            <w:pPr>
              <w:rPr>
                <w:rFonts w:ascii="Calibri" w:hAnsi="Calibri"/>
                <w:color w:val="auto"/>
                <w:szCs w:val="22"/>
                <w:highlight w:val="none"/>
              </w:rPr>
            </w:pPr>
            <w:r>
              <w:rPr>
                <w:rFonts w:hint="eastAsia" w:ascii="Calibri" w:hAnsi="Calibri"/>
                <w:color w:val="auto"/>
                <w:szCs w:val="22"/>
                <w:highlight w:val="none"/>
              </w:rPr>
              <w:t>（在响应文件进行说明和承诺，将在服务合同条款中进行约定。）</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3、现场非核心成员情况</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ascii="Calibri" w:hAnsi="Calibri"/>
                <w:color w:val="auto"/>
                <w:szCs w:val="22"/>
                <w:highlight w:val="none"/>
              </w:rPr>
              <w:t>现场参加本项目的非核心成员情况</w:t>
            </w:r>
            <w:r>
              <w:rPr>
                <w:rFonts w:hint="eastAsia" w:ascii="Calibri" w:hAnsi="Calibri"/>
                <w:color w:val="auto"/>
                <w:szCs w:val="22"/>
                <w:highlight w:val="none"/>
              </w:rPr>
              <w:t>：</w:t>
            </w:r>
            <w:r>
              <w:rPr>
                <w:rFonts w:ascii="Calibri" w:hAnsi="Calibri"/>
                <w:color w:val="auto"/>
                <w:szCs w:val="22"/>
                <w:highlight w:val="none"/>
              </w:rPr>
              <w:t>包括人数</w:t>
            </w:r>
            <w:r>
              <w:rPr>
                <w:rFonts w:hint="eastAsia" w:ascii="Calibri" w:hAnsi="Calibri"/>
                <w:color w:val="auto"/>
                <w:szCs w:val="22"/>
                <w:highlight w:val="none"/>
              </w:rPr>
              <w:t>、</w:t>
            </w:r>
            <w:r>
              <w:rPr>
                <w:rFonts w:ascii="Calibri" w:hAnsi="Calibri"/>
                <w:color w:val="auto"/>
                <w:szCs w:val="22"/>
                <w:highlight w:val="none"/>
              </w:rPr>
              <w:t>简历</w:t>
            </w:r>
            <w:r>
              <w:rPr>
                <w:rFonts w:hint="eastAsia" w:ascii="Calibri" w:hAnsi="Calibri"/>
                <w:color w:val="auto"/>
                <w:szCs w:val="22"/>
                <w:highlight w:val="none"/>
              </w:rPr>
              <w:t>、</w:t>
            </w:r>
            <w:r>
              <w:rPr>
                <w:rFonts w:ascii="Calibri" w:hAnsi="Calibri"/>
                <w:color w:val="auto"/>
                <w:szCs w:val="22"/>
                <w:highlight w:val="none"/>
              </w:rPr>
              <w:t>专业资质等情况</w:t>
            </w:r>
            <w:r>
              <w:rPr>
                <w:rFonts w:hint="eastAsia" w:ascii="Calibri" w:hAnsi="Calibri"/>
                <w:color w:val="auto"/>
                <w:szCs w:val="22"/>
                <w:highlight w:val="none"/>
              </w:rPr>
              <w:t>，根据我行招标文件要求提供。</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现场参加本项目的非核心成员人数不得少于3人，其从业时间不得少于五年且在本单位服务时间不短于三年，否则该项不得分。</w:t>
            </w:r>
          </w:p>
          <w:p>
            <w:pPr>
              <w:rPr>
                <w:rFonts w:ascii="Calibri" w:hAnsi="Calibri"/>
                <w:color w:val="auto"/>
                <w:szCs w:val="22"/>
                <w:highlight w:val="none"/>
              </w:rPr>
            </w:pPr>
            <w:r>
              <w:rPr>
                <w:rFonts w:hint="eastAsia" w:ascii="Calibri" w:hAnsi="Calibri"/>
                <w:color w:val="auto"/>
                <w:szCs w:val="22"/>
                <w:highlight w:val="none"/>
              </w:rPr>
              <w:t>符合要求的现场非核心成员3人得1分，其中曾参与</w:t>
            </w:r>
            <w:r>
              <w:rPr>
                <w:rFonts w:ascii="Calibri" w:hAnsi="Calibri"/>
                <w:color w:val="auto"/>
                <w:szCs w:val="22"/>
                <w:highlight w:val="none"/>
              </w:rPr>
              <w:t>银行</w:t>
            </w:r>
            <w:r>
              <w:rPr>
                <w:rFonts w:hint="eastAsia" w:ascii="Calibri" w:hAnsi="Calibri"/>
                <w:color w:val="auto"/>
                <w:szCs w:val="22"/>
                <w:highlight w:val="none"/>
              </w:rPr>
              <w:t>资管产品审计项目的每人加1分；</w:t>
            </w:r>
          </w:p>
          <w:p>
            <w:pPr>
              <w:rPr>
                <w:rFonts w:ascii="Calibri" w:hAnsi="Calibri"/>
                <w:color w:val="auto"/>
                <w:szCs w:val="22"/>
                <w:highlight w:val="none"/>
              </w:rPr>
            </w:pPr>
            <w:r>
              <w:rPr>
                <w:rFonts w:hint="eastAsia" w:ascii="Calibri" w:hAnsi="Calibri"/>
                <w:color w:val="auto"/>
                <w:szCs w:val="22"/>
                <w:highlight w:val="none"/>
              </w:rPr>
              <w:t>符合要求的现场非核心成员4人得2分，其中曾参与</w:t>
            </w:r>
            <w:r>
              <w:rPr>
                <w:rFonts w:ascii="Calibri" w:hAnsi="Calibri"/>
                <w:color w:val="auto"/>
                <w:szCs w:val="22"/>
                <w:highlight w:val="none"/>
              </w:rPr>
              <w:t>银行</w:t>
            </w:r>
            <w:r>
              <w:rPr>
                <w:rFonts w:hint="eastAsia" w:ascii="Calibri" w:hAnsi="Calibri"/>
                <w:color w:val="auto"/>
                <w:szCs w:val="22"/>
                <w:highlight w:val="none"/>
              </w:rPr>
              <w:t>资管产品审计项目的每人加1分；</w:t>
            </w:r>
          </w:p>
          <w:p>
            <w:pPr>
              <w:rPr>
                <w:rFonts w:ascii="Calibri" w:hAnsi="Calibri"/>
                <w:color w:val="auto"/>
                <w:szCs w:val="22"/>
                <w:highlight w:val="none"/>
              </w:rPr>
            </w:pPr>
            <w:r>
              <w:rPr>
                <w:rFonts w:hint="eastAsia" w:ascii="Calibri" w:hAnsi="Calibri"/>
                <w:color w:val="auto"/>
                <w:szCs w:val="22"/>
                <w:highlight w:val="none"/>
              </w:rPr>
              <w:t>符合要求的现场非核心成员5人及以上得3分，其中曾参与</w:t>
            </w:r>
            <w:r>
              <w:rPr>
                <w:rFonts w:ascii="Calibri" w:hAnsi="Calibri"/>
                <w:color w:val="auto"/>
                <w:szCs w:val="22"/>
                <w:highlight w:val="none"/>
              </w:rPr>
              <w:t>银行</w:t>
            </w:r>
            <w:r>
              <w:rPr>
                <w:rFonts w:hint="eastAsia" w:ascii="Calibri" w:hAnsi="Calibri"/>
                <w:color w:val="auto"/>
                <w:szCs w:val="22"/>
                <w:highlight w:val="none"/>
              </w:rPr>
              <w:t>资管产品审计项目的每人加1分。</w:t>
            </w:r>
          </w:p>
          <w:p>
            <w:pPr>
              <w:rPr>
                <w:rFonts w:ascii="Calibri" w:hAnsi="Calibri"/>
                <w:color w:val="auto"/>
                <w:szCs w:val="22"/>
                <w:highlight w:val="none"/>
              </w:rPr>
            </w:pPr>
            <w:r>
              <w:rPr>
                <w:rFonts w:hint="eastAsia" w:ascii="Calibri" w:hAnsi="Calibri"/>
                <w:color w:val="auto"/>
                <w:szCs w:val="22"/>
                <w:highlight w:val="none"/>
              </w:rPr>
              <w:t>（提供人员简历，从业时间以取得会计从业资格证书时间至今为准，提供会计从业资格证书复印件并加盖公章，若无会计从业资格证书，可使用初级及以上等级会计专业技术资格证、注册会计师执业资格证书、特许公认会计师公会证书作为替代进行资质认定。本单位服务时间以签订劳动合同时间至今为准，提供劳动合同签字页和时间要素页、社保缴纳记录复印件并加盖公章，在不能提供劳动合同签字页的情况下，可提供会计师事务所人力资源部门统一出具的加盖公章的证明文件（包括人员入职时间和岗位等信息）加以代替。参与</w:t>
            </w:r>
            <w:r>
              <w:rPr>
                <w:rFonts w:ascii="Calibri" w:hAnsi="Calibri"/>
                <w:color w:val="auto"/>
                <w:szCs w:val="22"/>
                <w:highlight w:val="none"/>
              </w:rPr>
              <w:t>银行</w:t>
            </w:r>
            <w:r>
              <w:rPr>
                <w:rFonts w:hint="eastAsia" w:ascii="Calibri" w:hAnsi="Calibri"/>
                <w:color w:val="auto"/>
                <w:szCs w:val="22"/>
                <w:highlight w:val="none"/>
              </w:rPr>
              <w:t>资管产品审计项目的情况需公司提供证明材料并加盖公章，其中证明材料为服务对象公司提供证明文件或提供服务对象公司联系人及联系方式以便后续求证。）</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ascii="Calibri" w:hAnsi="Calibri"/>
                <w:color w:val="auto"/>
                <w:szCs w:val="22"/>
                <w:highlight w:val="none"/>
              </w:rPr>
              <w:t>审计服务</w:t>
            </w:r>
          </w:p>
          <w:p>
            <w:pPr>
              <w:jc w:val="center"/>
              <w:rPr>
                <w:rFonts w:ascii="Calibri" w:hAnsi="Calibri"/>
                <w:color w:val="auto"/>
                <w:szCs w:val="22"/>
                <w:highlight w:val="none"/>
              </w:rPr>
            </w:pPr>
            <w:r>
              <w:rPr>
                <w:rFonts w:ascii="Calibri" w:hAnsi="Calibri"/>
                <w:color w:val="auto"/>
                <w:szCs w:val="22"/>
                <w:highlight w:val="none"/>
              </w:rPr>
              <w:t>方案</w:t>
            </w:r>
          </w:p>
          <w:p>
            <w:pPr>
              <w:jc w:val="center"/>
              <w:rPr>
                <w:rFonts w:ascii="Calibri" w:hAnsi="Calibri"/>
                <w:color w:val="auto"/>
                <w:szCs w:val="22"/>
                <w:highlight w:val="none"/>
              </w:rPr>
            </w:pPr>
            <w:r>
              <w:rPr>
                <w:rFonts w:hint="eastAsia" w:ascii="Calibri" w:hAnsi="Calibri"/>
                <w:color w:val="auto"/>
                <w:szCs w:val="22"/>
                <w:highlight w:val="none"/>
              </w:rPr>
              <w:t>（20分）</w:t>
            </w: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1.工作方案</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hint="eastAsia" w:ascii="Calibri" w:hAnsi="Calibri"/>
                <w:color w:val="auto"/>
                <w:szCs w:val="22"/>
                <w:highlight w:val="none"/>
              </w:rPr>
              <w:t>提供</w:t>
            </w:r>
            <w:r>
              <w:rPr>
                <w:rFonts w:ascii="Calibri" w:hAnsi="Calibri"/>
                <w:color w:val="auto"/>
                <w:szCs w:val="22"/>
                <w:highlight w:val="none"/>
              </w:rPr>
              <w:t>详尽的工作方案</w:t>
            </w:r>
            <w:r>
              <w:rPr>
                <w:rFonts w:hint="eastAsia" w:ascii="Calibri" w:hAnsi="Calibri"/>
                <w:color w:val="auto"/>
                <w:szCs w:val="22"/>
                <w:highlight w:val="none"/>
              </w:rPr>
              <w:t>：</w:t>
            </w:r>
            <w:r>
              <w:rPr>
                <w:rFonts w:ascii="Calibri" w:hAnsi="Calibri"/>
                <w:color w:val="auto"/>
                <w:szCs w:val="22"/>
                <w:highlight w:val="none"/>
              </w:rPr>
              <w:t>包括审计内容</w:t>
            </w:r>
            <w:r>
              <w:rPr>
                <w:rFonts w:hint="eastAsia" w:ascii="Calibri" w:hAnsi="Calibri"/>
                <w:color w:val="auto"/>
                <w:szCs w:val="22"/>
                <w:highlight w:val="none"/>
              </w:rPr>
              <w:t>、</w:t>
            </w:r>
            <w:r>
              <w:rPr>
                <w:rFonts w:ascii="Calibri" w:hAnsi="Calibri"/>
                <w:color w:val="auto"/>
                <w:szCs w:val="22"/>
                <w:highlight w:val="none"/>
              </w:rPr>
              <w:t>审计重点</w:t>
            </w:r>
            <w:r>
              <w:rPr>
                <w:rFonts w:hint="eastAsia" w:ascii="Calibri" w:hAnsi="Calibri"/>
                <w:color w:val="auto"/>
                <w:szCs w:val="22"/>
                <w:highlight w:val="none"/>
              </w:rPr>
              <w:t>、</w:t>
            </w:r>
            <w:r>
              <w:rPr>
                <w:rFonts w:ascii="Calibri" w:hAnsi="Calibri"/>
                <w:color w:val="auto"/>
                <w:szCs w:val="22"/>
                <w:highlight w:val="none"/>
              </w:rPr>
              <w:t>审计程序</w:t>
            </w:r>
            <w:r>
              <w:rPr>
                <w:rFonts w:hint="eastAsia" w:ascii="Calibri" w:hAnsi="Calibri"/>
                <w:color w:val="auto"/>
                <w:szCs w:val="22"/>
                <w:highlight w:val="none"/>
              </w:rPr>
              <w:t>、</w:t>
            </w:r>
            <w:r>
              <w:rPr>
                <w:rFonts w:ascii="Calibri" w:hAnsi="Calibri"/>
                <w:color w:val="auto"/>
                <w:szCs w:val="22"/>
                <w:highlight w:val="none"/>
              </w:rPr>
              <w:t>质量控制安排</w:t>
            </w:r>
            <w:r>
              <w:rPr>
                <w:rFonts w:hint="eastAsia" w:ascii="Calibri" w:hAnsi="Calibri"/>
                <w:color w:val="auto"/>
                <w:szCs w:val="22"/>
                <w:highlight w:val="none"/>
              </w:rPr>
              <w:t>、</w:t>
            </w:r>
            <w:r>
              <w:rPr>
                <w:rFonts w:ascii="Calibri" w:hAnsi="Calibri"/>
                <w:color w:val="auto"/>
                <w:szCs w:val="22"/>
                <w:highlight w:val="none"/>
              </w:rPr>
              <w:t>审计进度安排</w:t>
            </w:r>
            <w:r>
              <w:rPr>
                <w:rFonts w:hint="eastAsia" w:ascii="Calibri" w:hAnsi="Calibri"/>
                <w:color w:val="auto"/>
                <w:szCs w:val="22"/>
                <w:highlight w:val="none"/>
              </w:rPr>
              <w:t>、</w:t>
            </w:r>
            <w:r>
              <w:rPr>
                <w:rFonts w:ascii="Calibri" w:hAnsi="Calibri"/>
                <w:color w:val="auto"/>
                <w:szCs w:val="22"/>
                <w:highlight w:val="none"/>
              </w:rPr>
              <w:t>审计报告出具等内容</w:t>
            </w:r>
            <w:r>
              <w:rPr>
                <w:rFonts w:hint="eastAsia" w:ascii="Calibri" w:hAnsi="Calibri"/>
                <w:color w:val="auto"/>
                <w:szCs w:val="22"/>
                <w:highlight w:val="none"/>
              </w:rPr>
              <w:t>。</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宋体"/>
                <w:color w:val="auto"/>
                <w:szCs w:val="22"/>
                <w:highlight w:val="none"/>
              </w:rPr>
              <w:t>（1）15-20分：</w:t>
            </w:r>
            <w:r>
              <w:rPr>
                <w:rFonts w:hint="eastAsia" w:ascii="Calibri" w:hAnsi="Calibri"/>
                <w:color w:val="auto"/>
                <w:szCs w:val="22"/>
                <w:highlight w:val="none"/>
              </w:rPr>
              <w:t>审计内容与理财产品具体业务结合紧密，包含系统控制、操作风险控制、询证、财务数据、估值评估、收益确认等审计内容，审计重点及审计程序具体明确，质量控制人员及保障措施清晰有效，具有明确的工作时间进度安排及保障审计报告出具的措施内容，整体工作方案思路清晰合理、重点突出、针对性强、考虑全面；</w:t>
            </w:r>
          </w:p>
          <w:p>
            <w:pPr>
              <w:rPr>
                <w:rFonts w:ascii="Calibri" w:hAnsi="Calibri"/>
                <w:color w:val="auto"/>
                <w:szCs w:val="22"/>
                <w:highlight w:val="none"/>
              </w:rPr>
            </w:pPr>
            <w:r>
              <w:rPr>
                <w:rFonts w:hint="eastAsia" w:ascii="Calibri" w:hAnsi="Calibri"/>
                <w:color w:val="auto"/>
                <w:szCs w:val="22"/>
                <w:highlight w:val="none"/>
              </w:rPr>
              <w:t>（2）9-14分：审计内容与理财产品具体业务基本吻合，包含系统控制、操作风险控制、询证、财务数据、估值评估、收益确认等审计内容，但审计重点及审计程序不够具体明确，质量控制人员及保障措施基本清楚，没有明确的工作时间进度安排及保障审计报告出具的措施内容，整体工作方案思路一般、重点基本清楚但缺乏针对性、总体考虑欠全面；</w:t>
            </w:r>
          </w:p>
          <w:p>
            <w:pPr>
              <w:rPr>
                <w:rFonts w:ascii="Calibri" w:hAnsi="Calibri"/>
                <w:color w:val="auto"/>
                <w:szCs w:val="22"/>
                <w:highlight w:val="none"/>
              </w:rPr>
            </w:pPr>
            <w:r>
              <w:rPr>
                <w:rFonts w:hint="eastAsia" w:ascii="Calibri" w:hAnsi="Calibri"/>
                <w:color w:val="auto"/>
                <w:szCs w:val="22"/>
                <w:highlight w:val="none"/>
              </w:rPr>
              <w:t>（3）1-8分：审计内容与理财产品具体业务有差距，未完全包含系统控制、操作风险控制、询证、财务数据、估值评估、收益确认等审计内容，无质量控制人员及保障措施，没有明确的工作时间进度安排及保障审计报告出具的措施内容，整体工作方案思路不清晰、针对性差、总体考虑不全面；</w:t>
            </w:r>
          </w:p>
          <w:p>
            <w:pPr>
              <w:rPr>
                <w:rFonts w:ascii="Calibri" w:hAnsi="Calibri"/>
                <w:color w:val="auto"/>
                <w:szCs w:val="22"/>
                <w:highlight w:val="none"/>
              </w:rPr>
            </w:pPr>
            <w:r>
              <w:rPr>
                <w:rFonts w:hint="eastAsia" w:ascii="Calibri" w:hAnsi="Calibri"/>
                <w:color w:val="auto"/>
                <w:szCs w:val="22"/>
                <w:highlight w:val="none"/>
              </w:rPr>
              <w:t>（4）0分：未提供工作方案</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ascii="Calibri" w:hAnsi="Calibri"/>
                <w:color w:val="auto"/>
                <w:szCs w:val="22"/>
                <w:highlight w:val="none"/>
              </w:rPr>
              <w:t>相关工作</w:t>
            </w:r>
          </w:p>
          <w:p>
            <w:pPr>
              <w:jc w:val="center"/>
              <w:rPr>
                <w:rFonts w:ascii="Calibri" w:hAnsi="Calibri"/>
                <w:color w:val="auto"/>
                <w:szCs w:val="22"/>
                <w:highlight w:val="none"/>
              </w:rPr>
            </w:pPr>
            <w:r>
              <w:rPr>
                <w:rFonts w:ascii="Calibri" w:hAnsi="Calibri"/>
                <w:color w:val="auto"/>
                <w:szCs w:val="22"/>
                <w:highlight w:val="none"/>
              </w:rPr>
              <w:t>经验</w:t>
            </w:r>
          </w:p>
          <w:p>
            <w:pPr>
              <w:jc w:val="center"/>
              <w:rPr>
                <w:rFonts w:ascii="Calibri" w:hAnsi="Calibri"/>
                <w:color w:val="auto"/>
                <w:szCs w:val="22"/>
                <w:highlight w:val="none"/>
              </w:rPr>
            </w:pPr>
            <w:r>
              <w:rPr>
                <w:rFonts w:hint="eastAsia" w:ascii="Calibri" w:hAnsi="Calibri"/>
                <w:color w:val="auto"/>
                <w:szCs w:val="22"/>
                <w:highlight w:val="none"/>
              </w:rPr>
              <w:t>（</w:t>
            </w:r>
            <w:r>
              <w:rPr>
                <w:rFonts w:ascii="Calibri" w:hAnsi="Calibri"/>
                <w:color w:val="auto"/>
                <w:szCs w:val="22"/>
                <w:highlight w:val="none"/>
              </w:rPr>
              <w:t>10</w:t>
            </w:r>
            <w:r>
              <w:rPr>
                <w:rFonts w:hint="eastAsia" w:ascii="Calibri" w:hAnsi="Calibri"/>
                <w:color w:val="auto"/>
                <w:szCs w:val="22"/>
                <w:highlight w:val="none"/>
              </w:rPr>
              <w:t>分）</w:t>
            </w: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1.行业</w:t>
            </w:r>
            <w:r>
              <w:rPr>
                <w:rFonts w:ascii="Calibri" w:hAnsi="Calibri"/>
                <w:color w:val="auto"/>
                <w:szCs w:val="22"/>
                <w:highlight w:val="none"/>
              </w:rPr>
              <w:t>业务经验</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hint="eastAsia" w:ascii="Calibri" w:hAnsi="Calibri"/>
                <w:color w:val="auto"/>
                <w:szCs w:val="22"/>
                <w:highlight w:val="none"/>
              </w:rPr>
              <w:t>从事金融企业审计服务的相关情况：审计对象、服务单位、审计内容、审计成果等。</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近三年从事过5000亿元规模以上金融企业各类审计项目，每一项计2分，满分4分。</w:t>
            </w:r>
          </w:p>
          <w:p>
            <w:pPr>
              <w:rPr>
                <w:rFonts w:ascii="Calibri" w:hAnsi="Calibri"/>
                <w:color w:val="auto"/>
                <w:szCs w:val="22"/>
                <w:highlight w:val="none"/>
              </w:rPr>
            </w:pPr>
            <w:r>
              <w:rPr>
                <w:rFonts w:hint="eastAsia" w:ascii="Calibri" w:hAnsi="Calibri"/>
                <w:color w:val="auto"/>
                <w:szCs w:val="22"/>
                <w:highlight w:val="none"/>
              </w:rPr>
              <w:t>（提供审计服务合同首页、签署页、服务期限及服务内容条款的复印件并加盖公章，审计报告首页及签字页复印件并加盖公章，同时提供审计合同约定的审计服务期限内该金融金额对应的企业资产总额数据，可为年报数据。）</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2.专业业务经验</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hint="eastAsia" w:ascii="Calibri" w:hAnsi="Calibri"/>
                <w:color w:val="auto"/>
                <w:szCs w:val="22"/>
                <w:highlight w:val="none"/>
              </w:rPr>
              <w:t>独立从事</w:t>
            </w:r>
            <w:r>
              <w:rPr>
                <w:rFonts w:ascii="Calibri" w:hAnsi="Calibri"/>
                <w:color w:val="auto"/>
                <w:szCs w:val="22"/>
                <w:highlight w:val="none"/>
              </w:rPr>
              <w:t>资管产品审计业务相关情况</w:t>
            </w:r>
            <w:r>
              <w:rPr>
                <w:rFonts w:hint="eastAsia" w:ascii="Calibri" w:hAnsi="Calibri"/>
                <w:color w:val="auto"/>
                <w:szCs w:val="22"/>
                <w:highlight w:val="none"/>
              </w:rPr>
              <w:t>：审计产品类型、服务单位、审计内容、审计成果等。</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近三年从事过</w:t>
            </w:r>
            <w:r>
              <w:rPr>
                <w:rFonts w:ascii="Calibri" w:hAnsi="Calibri"/>
                <w:color w:val="auto"/>
                <w:szCs w:val="22"/>
                <w:highlight w:val="none"/>
              </w:rPr>
              <w:t>银行</w:t>
            </w:r>
            <w:r>
              <w:rPr>
                <w:rFonts w:hint="eastAsia" w:ascii="Calibri" w:hAnsi="Calibri"/>
                <w:color w:val="auto"/>
                <w:szCs w:val="22"/>
                <w:highlight w:val="none"/>
              </w:rPr>
              <w:t>资管产品审计项目，每提供一个审计项目加2分，满分</w:t>
            </w:r>
            <w:r>
              <w:rPr>
                <w:rFonts w:ascii="Calibri" w:hAnsi="Calibri"/>
                <w:color w:val="auto"/>
                <w:szCs w:val="22"/>
                <w:highlight w:val="none"/>
              </w:rPr>
              <w:t>6</w:t>
            </w:r>
            <w:r>
              <w:rPr>
                <w:rFonts w:hint="eastAsia" w:ascii="Calibri" w:hAnsi="Calibri"/>
                <w:color w:val="auto"/>
                <w:szCs w:val="22"/>
                <w:highlight w:val="none"/>
              </w:rPr>
              <w:t>分。</w:t>
            </w:r>
          </w:p>
          <w:p>
            <w:pPr>
              <w:rPr>
                <w:rFonts w:ascii="Calibri" w:hAnsi="Calibri"/>
                <w:color w:val="auto"/>
                <w:szCs w:val="22"/>
                <w:highlight w:val="none"/>
              </w:rPr>
            </w:pPr>
            <w:r>
              <w:rPr>
                <w:rFonts w:hint="eastAsia" w:ascii="Calibri" w:hAnsi="Calibri"/>
                <w:color w:val="auto"/>
                <w:szCs w:val="22"/>
                <w:highlight w:val="none"/>
              </w:rPr>
              <w:t>（对同一管理人发行的资管产品的审计视为一个审计项目。提供与管理人签署的审计服务合同首页、签署页、服务期限及服务内容条款的复印件并加盖公章，合同项下出具的审计报告首页及签字页复印件并加盖公章。）</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ascii="Calibri" w:hAnsi="Calibri"/>
                <w:color w:val="auto"/>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ascii="Calibri" w:hAnsi="Calibri"/>
                <w:color w:val="auto"/>
                <w:szCs w:val="22"/>
                <w:highlight w:val="none"/>
              </w:rPr>
              <w:t>商务响应</w:t>
            </w:r>
          </w:p>
          <w:p>
            <w:pPr>
              <w:jc w:val="center"/>
              <w:rPr>
                <w:rFonts w:ascii="Calibri" w:hAnsi="Calibri"/>
                <w:color w:val="auto"/>
                <w:szCs w:val="22"/>
                <w:highlight w:val="none"/>
              </w:rPr>
            </w:pPr>
            <w:r>
              <w:rPr>
                <w:rFonts w:ascii="Calibri" w:hAnsi="Calibri"/>
                <w:color w:val="auto"/>
                <w:szCs w:val="22"/>
                <w:highlight w:val="none"/>
              </w:rPr>
              <w:t>程度</w:t>
            </w:r>
          </w:p>
          <w:p>
            <w:pPr>
              <w:jc w:val="center"/>
              <w:rPr>
                <w:rFonts w:ascii="Calibri" w:hAnsi="Calibri"/>
                <w:color w:val="auto"/>
                <w:szCs w:val="22"/>
                <w:highlight w:val="none"/>
              </w:rPr>
            </w:pPr>
            <w:r>
              <w:rPr>
                <w:rFonts w:hint="eastAsia" w:ascii="Calibri" w:hAnsi="Calibri"/>
                <w:color w:val="auto"/>
                <w:szCs w:val="22"/>
                <w:highlight w:val="none"/>
              </w:rPr>
              <w:t>（10分）</w:t>
            </w: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1.审计报告出具时间</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ascii="Calibri" w:hAnsi="Calibri"/>
                <w:color w:val="auto"/>
                <w:szCs w:val="22"/>
                <w:highlight w:val="none"/>
              </w:rPr>
              <w:t>完成本项目年度审计</w:t>
            </w:r>
            <w:r>
              <w:rPr>
                <w:rFonts w:hint="eastAsia" w:ascii="Calibri" w:hAnsi="Calibri"/>
                <w:color w:val="auto"/>
                <w:szCs w:val="22"/>
                <w:highlight w:val="none"/>
              </w:rPr>
              <w:t>，</w:t>
            </w:r>
            <w:r>
              <w:rPr>
                <w:rFonts w:ascii="Calibri" w:hAnsi="Calibri"/>
                <w:color w:val="auto"/>
                <w:szCs w:val="22"/>
                <w:highlight w:val="none"/>
              </w:rPr>
              <w:t>出具符合要求的审计报告的</w:t>
            </w:r>
            <w:r>
              <w:rPr>
                <w:rFonts w:hint="eastAsia" w:ascii="Calibri" w:hAnsi="Calibri"/>
                <w:color w:val="auto"/>
                <w:szCs w:val="22"/>
                <w:highlight w:val="none"/>
              </w:rPr>
              <w:t>时间。</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（1）</w:t>
            </w:r>
            <w:r>
              <w:rPr>
                <w:rFonts w:ascii="Calibri" w:hAnsi="Calibri"/>
                <w:color w:val="auto"/>
                <w:szCs w:val="22"/>
                <w:highlight w:val="none"/>
              </w:rPr>
              <w:t>10</w:t>
            </w:r>
            <w:r>
              <w:rPr>
                <w:rFonts w:hint="eastAsia" w:ascii="Calibri" w:hAnsi="Calibri"/>
                <w:color w:val="auto"/>
                <w:szCs w:val="22"/>
                <w:highlight w:val="none"/>
              </w:rPr>
              <w:t>分：30个工作日以内出具审计报告；</w:t>
            </w:r>
          </w:p>
          <w:p>
            <w:pPr>
              <w:rPr>
                <w:rFonts w:ascii="Calibri" w:hAnsi="Calibri"/>
                <w:color w:val="auto"/>
                <w:szCs w:val="22"/>
                <w:highlight w:val="none"/>
              </w:rPr>
            </w:pPr>
            <w:r>
              <w:rPr>
                <w:rFonts w:hint="eastAsia" w:ascii="Calibri" w:hAnsi="Calibri"/>
                <w:color w:val="auto"/>
                <w:szCs w:val="22"/>
                <w:highlight w:val="none"/>
              </w:rPr>
              <w:t>（2）</w:t>
            </w:r>
            <w:r>
              <w:rPr>
                <w:rFonts w:ascii="Calibri" w:hAnsi="Calibri"/>
                <w:color w:val="auto"/>
                <w:szCs w:val="22"/>
                <w:highlight w:val="none"/>
              </w:rPr>
              <w:t>8</w:t>
            </w:r>
            <w:r>
              <w:rPr>
                <w:rFonts w:hint="eastAsia" w:ascii="Calibri" w:hAnsi="Calibri"/>
                <w:color w:val="auto"/>
                <w:szCs w:val="22"/>
                <w:highlight w:val="none"/>
              </w:rPr>
              <w:t>分：45个工作日以内出具审计报告；</w:t>
            </w:r>
          </w:p>
          <w:p>
            <w:pPr>
              <w:rPr>
                <w:rFonts w:ascii="Calibri" w:hAnsi="Calibri"/>
                <w:color w:val="auto"/>
                <w:szCs w:val="22"/>
                <w:highlight w:val="none"/>
              </w:rPr>
            </w:pPr>
            <w:r>
              <w:rPr>
                <w:rFonts w:hint="eastAsia" w:ascii="Calibri" w:hAnsi="Calibri"/>
                <w:color w:val="auto"/>
                <w:szCs w:val="22"/>
                <w:highlight w:val="none"/>
              </w:rPr>
              <w:t>（3）</w:t>
            </w:r>
            <w:r>
              <w:rPr>
                <w:rFonts w:ascii="Calibri" w:hAnsi="Calibri"/>
                <w:color w:val="auto"/>
                <w:szCs w:val="22"/>
                <w:highlight w:val="none"/>
              </w:rPr>
              <w:t>6</w:t>
            </w:r>
            <w:r>
              <w:rPr>
                <w:rFonts w:hint="eastAsia" w:ascii="Calibri" w:hAnsi="Calibri"/>
                <w:color w:val="auto"/>
                <w:szCs w:val="22"/>
                <w:highlight w:val="none"/>
              </w:rPr>
              <w:t>分：60个工作日以内出具审计报告；</w:t>
            </w:r>
          </w:p>
          <w:p>
            <w:pPr>
              <w:rPr>
                <w:rFonts w:ascii="Calibri" w:hAnsi="Calibri"/>
                <w:color w:val="auto"/>
                <w:szCs w:val="22"/>
                <w:highlight w:val="none"/>
              </w:rPr>
            </w:pPr>
            <w:r>
              <w:rPr>
                <w:rFonts w:hint="eastAsia" w:ascii="Calibri" w:hAnsi="Calibri"/>
                <w:color w:val="auto"/>
                <w:szCs w:val="22"/>
                <w:highlight w:val="none"/>
              </w:rPr>
              <w:t>（4）0分：超过60个工作日出具审计报告。</w:t>
            </w:r>
          </w:p>
          <w:p>
            <w:pPr>
              <w:rPr>
                <w:rFonts w:ascii="Calibri" w:hAnsi="Calibri"/>
                <w:color w:val="auto"/>
                <w:szCs w:val="22"/>
                <w:highlight w:val="none"/>
              </w:rPr>
            </w:pPr>
            <w:r>
              <w:rPr>
                <w:rFonts w:hint="eastAsia" w:ascii="Calibri" w:hAnsi="Calibri"/>
                <w:color w:val="auto"/>
                <w:szCs w:val="22"/>
                <w:highlight w:val="none"/>
              </w:rPr>
              <w:t>（在响应文件进行承诺，将在服务合同条款中进行约定。）</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ascii="Calibri" w:hAnsi="Calibri"/>
                <w:color w:val="auto"/>
                <w:szCs w:val="2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ascii="Calibri" w:hAnsi="Calibri"/>
                <w:color w:val="auto"/>
                <w:szCs w:val="22"/>
                <w:highlight w:val="none"/>
              </w:rPr>
              <w:t>项目报价</w:t>
            </w:r>
          </w:p>
          <w:p>
            <w:pPr>
              <w:jc w:val="center"/>
              <w:rPr>
                <w:rFonts w:ascii="Calibri" w:hAnsi="Calibri"/>
                <w:color w:val="auto"/>
                <w:szCs w:val="22"/>
                <w:highlight w:val="none"/>
              </w:rPr>
            </w:pPr>
            <w:r>
              <w:rPr>
                <w:rFonts w:hint="eastAsia" w:ascii="Calibri" w:hAnsi="Calibri"/>
                <w:color w:val="auto"/>
                <w:szCs w:val="22"/>
                <w:highlight w:val="none"/>
              </w:rPr>
              <w:t>（18分）</w:t>
            </w:r>
          </w:p>
        </w:tc>
        <w:tc>
          <w:tcPr>
            <w:tcW w:w="147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1.按单只理财产品</w:t>
            </w:r>
            <w:r>
              <w:rPr>
                <w:rFonts w:ascii="Calibri" w:hAnsi="Calibri"/>
                <w:color w:val="auto"/>
                <w:szCs w:val="22"/>
                <w:highlight w:val="none"/>
              </w:rPr>
              <w:t>规模分</w:t>
            </w:r>
            <w:r>
              <w:rPr>
                <w:rFonts w:hint="eastAsia" w:ascii="Calibri" w:hAnsi="Calibri"/>
                <w:color w:val="auto"/>
                <w:szCs w:val="22"/>
                <w:highlight w:val="none"/>
              </w:rPr>
              <w:t>档次</w:t>
            </w:r>
            <w:r>
              <w:rPr>
                <w:rFonts w:ascii="Calibri" w:hAnsi="Calibri"/>
                <w:color w:val="auto"/>
                <w:szCs w:val="22"/>
                <w:highlight w:val="none"/>
              </w:rPr>
              <w:t>报价</w:t>
            </w:r>
            <w:r>
              <w:rPr>
                <w:rFonts w:hint="eastAsia" w:ascii="Calibri" w:hAnsi="Calibri"/>
                <w:b/>
                <w:bCs/>
                <w:color w:val="auto"/>
                <w:szCs w:val="22"/>
                <w:highlight w:val="none"/>
              </w:rPr>
              <w:t>（第一档次产品的审计费用不得低于第二档次产品的审计费用）</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hint="eastAsia" w:ascii="Calibri" w:hAnsi="Calibri" w:eastAsia="宋体"/>
                <w:color w:val="auto"/>
                <w:szCs w:val="22"/>
                <w:highlight w:val="none"/>
                <w:lang w:eastAsia="zh-CN"/>
              </w:rPr>
            </w:pPr>
            <w:r>
              <w:rPr>
                <w:rFonts w:hint="eastAsia" w:ascii="Calibri" w:hAnsi="Calibri"/>
                <w:color w:val="auto"/>
                <w:szCs w:val="22"/>
                <w:highlight w:val="none"/>
              </w:rPr>
              <w:t>第一档次：</w:t>
            </w:r>
            <w:r>
              <w:rPr>
                <w:rFonts w:ascii="Calibri" w:hAnsi="Calibri"/>
                <w:color w:val="auto"/>
                <w:szCs w:val="22"/>
                <w:highlight w:val="none"/>
              </w:rPr>
              <w:t>年末存续规模不超过</w:t>
            </w:r>
            <w:r>
              <w:rPr>
                <w:rFonts w:hint="eastAsia" w:ascii="Calibri" w:hAnsi="Calibri"/>
                <w:color w:val="auto"/>
                <w:szCs w:val="22"/>
                <w:highlight w:val="none"/>
              </w:rPr>
              <w:t>20亿元（含）的开放式理财产品审计服务报价为x元/次</w:t>
            </w:r>
            <w:r>
              <w:rPr>
                <w:rFonts w:hint="eastAsia" w:ascii="宋体"/>
                <w:color w:val="auto"/>
                <w:szCs w:val="22"/>
                <w:highlight w:val="none"/>
              </w:rPr>
              <w:t>·</w:t>
            </w:r>
            <w:r>
              <w:rPr>
                <w:rFonts w:hint="eastAsia" w:ascii="Calibri" w:hAnsi="Calibri"/>
                <w:color w:val="auto"/>
                <w:szCs w:val="22"/>
                <w:highlight w:val="none"/>
              </w:rPr>
              <w:t>只</w:t>
            </w:r>
            <w:r>
              <w:rPr>
                <w:rFonts w:ascii="Calibri" w:hAnsi="Calibri"/>
                <w:color w:val="auto"/>
                <w:szCs w:val="22"/>
                <w:highlight w:val="none"/>
              </w:rPr>
              <w:t>，</w:t>
            </w:r>
            <w:r>
              <w:rPr>
                <w:rFonts w:hint="eastAsia" w:ascii="Calibri" w:hAnsi="Calibri"/>
                <w:color w:val="auto"/>
                <w:szCs w:val="22"/>
                <w:highlight w:val="none"/>
                <w:lang w:val="en-US" w:eastAsia="zh-CN"/>
              </w:rPr>
              <w:t>满分</w:t>
            </w:r>
            <w:r>
              <w:rPr>
                <w:rFonts w:ascii="Calibri" w:hAnsi="Calibri"/>
                <w:color w:val="auto"/>
                <w:szCs w:val="22"/>
                <w:highlight w:val="none"/>
              </w:rPr>
              <w:t>2分</w:t>
            </w:r>
            <w:r>
              <w:rPr>
                <w:rFonts w:hint="eastAsia" w:ascii="Calibri" w:hAnsi="Calibri"/>
                <w:color w:val="auto"/>
                <w:szCs w:val="22"/>
                <w:highlight w:val="none"/>
                <w:lang w:eastAsia="zh-CN"/>
              </w:rPr>
              <w:t>；</w:t>
            </w:r>
          </w:p>
          <w:p>
            <w:pPr>
              <w:rPr>
                <w:rFonts w:hint="eastAsia" w:ascii="Calibri" w:hAnsi="Calibri" w:eastAsia="宋体"/>
                <w:color w:val="auto"/>
                <w:szCs w:val="22"/>
                <w:highlight w:val="none"/>
                <w:lang w:eastAsia="zh-CN"/>
              </w:rPr>
            </w:pPr>
            <w:r>
              <w:rPr>
                <w:rFonts w:ascii="Calibri" w:hAnsi="Calibri"/>
                <w:color w:val="auto"/>
                <w:szCs w:val="22"/>
                <w:highlight w:val="none"/>
              </w:rPr>
              <w:t>年末存续规模超过</w:t>
            </w:r>
            <w:r>
              <w:rPr>
                <w:rFonts w:hint="eastAsia" w:ascii="Calibri" w:hAnsi="Calibri"/>
                <w:color w:val="auto"/>
                <w:szCs w:val="22"/>
                <w:highlight w:val="none"/>
              </w:rPr>
              <w:t>20亿元（</w:t>
            </w:r>
            <w:r>
              <w:rPr>
                <w:rFonts w:ascii="Calibri" w:hAnsi="Calibri"/>
                <w:color w:val="auto"/>
                <w:szCs w:val="22"/>
                <w:highlight w:val="none"/>
              </w:rPr>
              <w:t>不</w:t>
            </w:r>
            <w:r>
              <w:rPr>
                <w:rFonts w:hint="eastAsia" w:ascii="Calibri" w:hAnsi="Calibri"/>
                <w:color w:val="auto"/>
                <w:szCs w:val="22"/>
                <w:highlight w:val="none"/>
              </w:rPr>
              <w:t>含）的开放式理财产品审计服务报价为x元/次</w:t>
            </w:r>
            <w:r>
              <w:rPr>
                <w:rFonts w:hint="eastAsia" w:ascii="宋体"/>
                <w:color w:val="auto"/>
                <w:szCs w:val="22"/>
                <w:highlight w:val="none"/>
              </w:rPr>
              <w:t>·</w:t>
            </w:r>
            <w:r>
              <w:rPr>
                <w:rFonts w:hint="eastAsia" w:ascii="Calibri" w:hAnsi="Calibri"/>
                <w:color w:val="auto"/>
                <w:szCs w:val="22"/>
                <w:highlight w:val="none"/>
              </w:rPr>
              <w:t>只</w:t>
            </w:r>
            <w:r>
              <w:rPr>
                <w:rFonts w:ascii="Calibri" w:hAnsi="Calibri"/>
                <w:color w:val="auto"/>
                <w:szCs w:val="22"/>
                <w:highlight w:val="none"/>
              </w:rPr>
              <w:t>，</w:t>
            </w:r>
            <w:r>
              <w:rPr>
                <w:rFonts w:hint="eastAsia" w:ascii="Calibri" w:hAnsi="Calibri"/>
                <w:color w:val="auto"/>
                <w:szCs w:val="22"/>
                <w:highlight w:val="none"/>
                <w:lang w:val="en-US" w:eastAsia="zh-CN"/>
              </w:rPr>
              <w:t>满分</w:t>
            </w:r>
            <w:r>
              <w:rPr>
                <w:rFonts w:ascii="Calibri" w:hAnsi="Calibri"/>
                <w:color w:val="auto"/>
                <w:szCs w:val="22"/>
                <w:highlight w:val="none"/>
              </w:rPr>
              <w:t>2分</w:t>
            </w:r>
            <w:r>
              <w:rPr>
                <w:rFonts w:hint="eastAsia" w:ascii="Calibri" w:hAnsi="Calibri"/>
                <w:color w:val="auto"/>
                <w:szCs w:val="22"/>
                <w:highlight w:val="none"/>
                <w:lang w:eastAsia="zh-CN"/>
              </w:rPr>
              <w:t>；</w:t>
            </w:r>
          </w:p>
          <w:p>
            <w:pPr>
              <w:rPr>
                <w:rFonts w:hint="eastAsia" w:ascii="Calibri" w:hAnsi="Calibri" w:eastAsia="宋体"/>
                <w:color w:val="auto"/>
                <w:szCs w:val="22"/>
                <w:highlight w:val="none"/>
                <w:lang w:eastAsia="zh-CN"/>
              </w:rPr>
            </w:pPr>
            <w:r>
              <w:rPr>
                <w:rFonts w:ascii="Calibri" w:hAnsi="Calibri"/>
                <w:color w:val="auto"/>
                <w:szCs w:val="22"/>
                <w:highlight w:val="none"/>
              </w:rPr>
              <w:t>实际募集规模不超过1</w:t>
            </w:r>
            <w:r>
              <w:rPr>
                <w:rFonts w:hint="eastAsia" w:ascii="Calibri" w:hAnsi="Calibri"/>
                <w:color w:val="auto"/>
                <w:szCs w:val="22"/>
                <w:highlight w:val="none"/>
              </w:rPr>
              <w:t>亿元（含）的</w:t>
            </w:r>
            <w:r>
              <w:rPr>
                <w:rFonts w:ascii="Calibri" w:hAnsi="Calibri"/>
                <w:color w:val="auto"/>
                <w:szCs w:val="22"/>
                <w:highlight w:val="none"/>
              </w:rPr>
              <w:t>封闭</w:t>
            </w:r>
            <w:r>
              <w:rPr>
                <w:rFonts w:hint="eastAsia" w:ascii="Calibri" w:hAnsi="Calibri"/>
                <w:color w:val="auto"/>
                <w:szCs w:val="22"/>
                <w:highlight w:val="none"/>
              </w:rPr>
              <w:t>式理财产品审计服务报价为x元/次</w:t>
            </w:r>
            <w:r>
              <w:rPr>
                <w:rFonts w:hint="eastAsia" w:ascii="宋体"/>
                <w:color w:val="auto"/>
                <w:szCs w:val="22"/>
                <w:highlight w:val="none"/>
              </w:rPr>
              <w:t>·</w:t>
            </w:r>
            <w:r>
              <w:rPr>
                <w:rFonts w:hint="eastAsia" w:ascii="Calibri" w:hAnsi="Calibri"/>
                <w:color w:val="auto"/>
                <w:szCs w:val="22"/>
                <w:highlight w:val="none"/>
              </w:rPr>
              <w:t>只</w:t>
            </w:r>
            <w:r>
              <w:rPr>
                <w:rFonts w:ascii="Calibri" w:hAnsi="Calibri"/>
                <w:color w:val="auto"/>
                <w:szCs w:val="22"/>
                <w:highlight w:val="none"/>
              </w:rPr>
              <w:t>，</w:t>
            </w:r>
            <w:r>
              <w:rPr>
                <w:rFonts w:hint="eastAsia" w:ascii="Calibri" w:hAnsi="Calibri"/>
                <w:color w:val="auto"/>
                <w:szCs w:val="22"/>
                <w:highlight w:val="none"/>
                <w:lang w:val="en-US" w:eastAsia="zh-CN"/>
              </w:rPr>
              <w:t>满分</w:t>
            </w:r>
            <w:r>
              <w:rPr>
                <w:rFonts w:ascii="Calibri" w:hAnsi="Calibri"/>
                <w:color w:val="auto"/>
                <w:szCs w:val="22"/>
                <w:highlight w:val="none"/>
              </w:rPr>
              <w:t>2分</w:t>
            </w:r>
            <w:r>
              <w:rPr>
                <w:rFonts w:hint="eastAsia" w:ascii="Calibri" w:hAnsi="Calibri"/>
                <w:color w:val="auto"/>
                <w:szCs w:val="22"/>
                <w:highlight w:val="none"/>
                <w:lang w:eastAsia="zh-CN"/>
              </w:rPr>
              <w:t>；</w:t>
            </w:r>
          </w:p>
          <w:p>
            <w:pPr>
              <w:rPr>
                <w:rFonts w:hint="eastAsia" w:ascii="Calibri" w:hAnsi="Calibri" w:eastAsia="宋体"/>
                <w:color w:val="auto"/>
                <w:szCs w:val="22"/>
                <w:highlight w:val="none"/>
                <w:lang w:val="en-US" w:eastAsia="zh-CN"/>
              </w:rPr>
            </w:pPr>
            <w:r>
              <w:rPr>
                <w:rFonts w:ascii="Calibri" w:hAnsi="Calibri"/>
                <w:color w:val="auto"/>
                <w:szCs w:val="22"/>
                <w:highlight w:val="none"/>
              </w:rPr>
              <w:t>实际</w:t>
            </w:r>
            <w:r>
              <w:rPr>
                <w:rFonts w:hint="eastAsia" w:ascii="Calibri" w:hAnsi="Calibri" w:eastAsia="宋体"/>
                <w:color w:val="auto"/>
                <w:szCs w:val="22"/>
                <w:highlight w:val="none"/>
                <w:lang w:val="en-US" w:eastAsia="zh-CN"/>
              </w:rPr>
              <w:t>募集规模超过1亿元（不含）的封闭式理财产品审计服务报价为x元/次·只，满分3分。</w:t>
            </w:r>
          </w:p>
          <w:p>
            <w:pPr>
              <w:rPr>
                <w:rFonts w:hint="eastAsia" w:ascii="Calibri" w:hAnsi="Calibri" w:eastAsia="宋体"/>
                <w:color w:val="auto"/>
                <w:szCs w:val="22"/>
                <w:highlight w:val="none"/>
                <w:lang w:val="en-US" w:eastAsia="zh-CN"/>
              </w:rPr>
            </w:pPr>
            <w:r>
              <w:rPr>
                <w:rFonts w:hint="eastAsia" w:ascii="Calibri" w:hAnsi="Calibri" w:eastAsia="宋体"/>
                <w:color w:val="auto"/>
                <w:szCs w:val="22"/>
                <w:highlight w:val="none"/>
                <w:lang w:val="en-US" w:eastAsia="zh-CN"/>
              </w:rPr>
              <w:t>各产品均采用低价优先法计算出评审基准价，其价格分为满分，投标报价得分=（评审基准价/投标报价）*该档次分值。</w:t>
            </w:r>
          </w:p>
          <w:p>
            <w:pPr>
              <w:rPr>
                <w:rFonts w:ascii="Calibri" w:hAnsi="Calibri"/>
                <w:color w:val="auto"/>
                <w:szCs w:val="22"/>
                <w:highlight w:val="none"/>
              </w:rPr>
            </w:pPr>
            <w:r>
              <w:rPr>
                <w:rFonts w:hint="eastAsia" w:ascii="Calibri" w:hAnsi="Calibri" w:eastAsia="宋体"/>
                <w:color w:val="auto"/>
                <w:szCs w:val="22"/>
                <w:highlight w:val="none"/>
                <w:lang w:val="en-US" w:eastAsia="zh-CN"/>
              </w:rPr>
              <w:t>（在响应文件进行报价，将在服务合同条款中</w:t>
            </w:r>
            <w:r>
              <w:rPr>
                <w:rFonts w:hint="eastAsia" w:ascii="Calibri" w:hAnsi="Calibri"/>
                <w:color w:val="auto"/>
                <w:szCs w:val="22"/>
                <w:highlight w:val="none"/>
              </w:rPr>
              <w:t>进行约定。）</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tc>
        <w:tc>
          <w:tcPr>
            <w:tcW w:w="155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hint="eastAsia" w:ascii="Calibri" w:hAnsi="Calibri" w:eastAsia="宋体"/>
                <w:color w:val="auto"/>
                <w:szCs w:val="22"/>
                <w:highlight w:val="none"/>
                <w:lang w:eastAsia="zh-CN"/>
              </w:rPr>
            </w:pPr>
            <w:r>
              <w:rPr>
                <w:rFonts w:hint="eastAsia" w:ascii="Calibri" w:hAnsi="Calibri"/>
                <w:color w:val="auto"/>
                <w:szCs w:val="22"/>
                <w:highlight w:val="none"/>
              </w:rPr>
              <w:t>第二档次：</w:t>
            </w:r>
            <w:r>
              <w:rPr>
                <w:rFonts w:ascii="Calibri" w:hAnsi="Calibri"/>
                <w:color w:val="auto"/>
                <w:szCs w:val="22"/>
                <w:highlight w:val="none"/>
              </w:rPr>
              <w:t>年末存续规模不超过</w:t>
            </w:r>
            <w:r>
              <w:rPr>
                <w:rFonts w:hint="eastAsia" w:ascii="Calibri" w:hAnsi="Calibri"/>
                <w:color w:val="auto"/>
                <w:szCs w:val="22"/>
                <w:highlight w:val="none"/>
              </w:rPr>
              <w:t>20亿元（含）的开放式理财产品审计服务报价为x元/次</w:t>
            </w:r>
            <w:r>
              <w:rPr>
                <w:rFonts w:hint="eastAsia" w:ascii="宋体"/>
                <w:color w:val="auto"/>
                <w:szCs w:val="22"/>
                <w:highlight w:val="none"/>
              </w:rPr>
              <w:t>·</w:t>
            </w:r>
            <w:r>
              <w:rPr>
                <w:rFonts w:hint="eastAsia" w:ascii="Calibri" w:hAnsi="Calibri"/>
                <w:color w:val="auto"/>
                <w:szCs w:val="22"/>
                <w:highlight w:val="none"/>
              </w:rPr>
              <w:t>只</w:t>
            </w:r>
            <w:r>
              <w:rPr>
                <w:rFonts w:ascii="Calibri" w:hAnsi="Calibri"/>
                <w:color w:val="auto"/>
                <w:szCs w:val="22"/>
                <w:highlight w:val="none"/>
              </w:rPr>
              <w:t>，</w:t>
            </w:r>
            <w:r>
              <w:rPr>
                <w:rFonts w:hint="eastAsia" w:ascii="Calibri" w:hAnsi="Calibri"/>
                <w:color w:val="auto"/>
                <w:szCs w:val="22"/>
                <w:highlight w:val="none"/>
                <w:lang w:val="en-US" w:eastAsia="zh-CN"/>
              </w:rPr>
              <w:t>满分</w:t>
            </w:r>
            <w:r>
              <w:rPr>
                <w:rFonts w:ascii="Calibri" w:hAnsi="Calibri"/>
                <w:color w:val="auto"/>
                <w:szCs w:val="22"/>
                <w:highlight w:val="none"/>
              </w:rPr>
              <w:t>2分</w:t>
            </w:r>
            <w:r>
              <w:rPr>
                <w:rFonts w:hint="eastAsia" w:ascii="Calibri" w:hAnsi="Calibri"/>
                <w:color w:val="auto"/>
                <w:szCs w:val="22"/>
                <w:highlight w:val="none"/>
                <w:lang w:eastAsia="zh-CN"/>
              </w:rPr>
              <w:t>；</w:t>
            </w:r>
          </w:p>
          <w:p>
            <w:pPr>
              <w:rPr>
                <w:rFonts w:hint="eastAsia" w:ascii="Calibri" w:hAnsi="Calibri" w:eastAsia="宋体"/>
                <w:color w:val="auto"/>
                <w:szCs w:val="22"/>
                <w:highlight w:val="none"/>
                <w:lang w:eastAsia="zh-CN"/>
              </w:rPr>
            </w:pPr>
            <w:r>
              <w:rPr>
                <w:rFonts w:ascii="Calibri" w:hAnsi="Calibri"/>
                <w:color w:val="auto"/>
                <w:szCs w:val="22"/>
                <w:highlight w:val="none"/>
              </w:rPr>
              <w:t>年末存续规模超过</w:t>
            </w:r>
            <w:r>
              <w:rPr>
                <w:rFonts w:hint="eastAsia" w:ascii="Calibri" w:hAnsi="Calibri"/>
                <w:color w:val="auto"/>
                <w:szCs w:val="22"/>
                <w:highlight w:val="none"/>
              </w:rPr>
              <w:t>20亿元（</w:t>
            </w:r>
            <w:r>
              <w:rPr>
                <w:rFonts w:ascii="Calibri" w:hAnsi="Calibri"/>
                <w:color w:val="auto"/>
                <w:szCs w:val="22"/>
                <w:highlight w:val="none"/>
              </w:rPr>
              <w:t>不</w:t>
            </w:r>
            <w:r>
              <w:rPr>
                <w:rFonts w:hint="eastAsia" w:ascii="Calibri" w:hAnsi="Calibri"/>
                <w:color w:val="auto"/>
                <w:szCs w:val="22"/>
                <w:highlight w:val="none"/>
              </w:rPr>
              <w:t>含）的开放式理财产品审计服务报价为x元/次</w:t>
            </w:r>
            <w:r>
              <w:rPr>
                <w:rFonts w:hint="eastAsia" w:ascii="宋体"/>
                <w:color w:val="auto"/>
                <w:szCs w:val="22"/>
                <w:highlight w:val="none"/>
              </w:rPr>
              <w:t>·</w:t>
            </w:r>
            <w:r>
              <w:rPr>
                <w:rFonts w:hint="eastAsia" w:ascii="Calibri" w:hAnsi="Calibri"/>
                <w:color w:val="auto"/>
                <w:szCs w:val="22"/>
                <w:highlight w:val="none"/>
              </w:rPr>
              <w:t>只</w:t>
            </w:r>
            <w:r>
              <w:rPr>
                <w:rFonts w:ascii="Calibri" w:hAnsi="Calibri"/>
                <w:color w:val="auto"/>
                <w:szCs w:val="22"/>
                <w:highlight w:val="none"/>
              </w:rPr>
              <w:t>，</w:t>
            </w:r>
            <w:r>
              <w:rPr>
                <w:rFonts w:hint="eastAsia" w:ascii="Calibri" w:hAnsi="Calibri"/>
                <w:color w:val="auto"/>
                <w:szCs w:val="22"/>
                <w:highlight w:val="none"/>
                <w:lang w:val="en-US" w:eastAsia="zh-CN"/>
              </w:rPr>
              <w:t>满分</w:t>
            </w:r>
            <w:r>
              <w:rPr>
                <w:rFonts w:ascii="Calibri" w:hAnsi="Calibri"/>
                <w:color w:val="auto"/>
                <w:szCs w:val="22"/>
                <w:highlight w:val="none"/>
              </w:rPr>
              <w:t>2分</w:t>
            </w:r>
            <w:r>
              <w:rPr>
                <w:rFonts w:hint="eastAsia" w:ascii="Calibri" w:hAnsi="Calibri"/>
                <w:color w:val="auto"/>
                <w:szCs w:val="22"/>
                <w:highlight w:val="none"/>
                <w:lang w:eastAsia="zh-CN"/>
              </w:rPr>
              <w:t>；</w:t>
            </w:r>
          </w:p>
          <w:p>
            <w:pPr>
              <w:rPr>
                <w:rFonts w:hint="eastAsia" w:ascii="Calibri" w:hAnsi="Calibri" w:eastAsia="宋体"/>
                <w:color w:val="auto"/>
                <w:szCs w:val="22"/>
                <w:highlight w:val="none"/>
                <w:lang w:eastAsia="zh-CN"/>
              </w:rPr>
            </w:pPr>
            <w:r>
              <w:rPr>
                <w:rFonts w:ascii="Calibri" w:hAnsi="Calibri"/>
                <w:color w:val="auto"/>
                <w:szCs w:val="22"/>
                <w:highlight w:val="none"/>
              </w:rPr>
              <w:t>实际募集规模不超过1</w:t>
            </w:r>
            <w:r>
              <w:rPr>
                <w:rFonts w:hint="eastAsia" w:ascii="Calibri" w:hAnsi="Calibri"/>
                <w:color w:val="auto"/>
                <w:szCs w:val="22"/>
                <w:highlight w:val="none"/>
              </w:rPr>
              <w:t>亿元（含）的</w:t>
            </w:r>
            <w:r>
              <w:rPr>
                <w:rFonts w:ascii="Calibri" w:hAnsi="Calibri"/>
                <w:color w:val="auto"/>
                <w:szCs w:val="22"/>
                <w:highlight w:val="none"/>
              </w:rPr>
              <w:t>封闭</w:t>
            </w:r>
            <w:r>
              <w:rPr>
                <w:rFonts w:hint="eastAsia" w:ascii="Calibri" w:hAnsi="Calibri"/>
                <w:color w:val="auto"/>
                <w:szCs w:val="22"/>
                <w:highlight w:val="none"/>
              </w:rPr>
              <w:t>式理财产品审计服务报价为x元/次</w:t>
            </w:r>
            <w:r>
              <w:rPr>
                <w:rFonts w:hint="eastAsia" w:ascii="宋体"/>
                <w:color w:val="auto"/>
                <w:szCs w:val="22"/>
                <w:highlight w:val="none"/>
              </w:rPr>
              <w:t>·</w:t>
            </w:r>
            <w:r>
              <w:rPr>
                <w:rFonts w:hint="eastAsia" w:ascii="Calibri" w:hAnsi="Calibri"/>
                <w:color w:val="auto"/>
                <w:szCs w:val="22"/>
                <w:highlight w:val="none"/>
              </w:rPr>
              <w:t>只</w:t>
            </w:r>
            <w:r>
              <w:rPr>
                <w:rFonts w:ascii="Calibri" w:hAnsi="Calibri"/>
                <w:color w:val="auto"/>
                <w:szCs w:val="22"/>
                <w:highlight w:val="none"/>
              </w:rPr>
              <w:t>，</w:t>
            </w:r>
            <w:r>
              <w:rPr>
                <w:rFonts w:hint="eastAsia" w:ascii="Calibri" w:hAnsi="Calibri"/>
                <w:color w:val="auto"/>
                <w:szCs w:val="22"/>
                <w:highlight w:val="none"/>
                <w:lang w:val="en-US" w:eastAsia="zh-CN"/>
              </w:rPr>
              <w:t>满分</w:t>
            </w:r>
            <w:r>
              <w:rPr>
                <w:rFonts w:ascii="Calibri" w:hAnsi="Calibri"/>
                <w:color w:val="auto"/>
                <w:szCs w:val="22"/>
                <w:highlight w:val="none"/>
              </w:rPr>
              <w:t>2分</w:t>
            </w:r>
            <w:r>
              <w:rPr>
                <w:rFonts w:hint="eastAsia" w:ascii="Calibri" w:hAnsi="Calibri"/>
                <w:color w:val="auto"/>
                <w:szCs w:val="22"/>
                <w:highlight w:val="none"/>
                <w:lang w:eastAsia="zh-CN"/>
              </w:rPr>
              <w:t>；</w:t>
            </w:r>
          </w:p>
          <w:p>
            <w:pPr>
              <w:rPr>
                <w:rFonts w:hint="eastAsia" w:ascii="Calibri" w:hAnsi="Calibri"/>
                <w:color w:val="auto"/>
                <w:szCs w:val="22"/>
                <w:highlight w:val="none"/>
                <w:lang w:eastAsia="zh-CN"/>
              </w:rPr>
            </w:pPr>
            <w:r>
              <w:rPr>
                <w:rFonts w:ascii="Calibri" w:hAnsi="Calibri"/>
                <w:color w:val="auto"/>
                <w:szCs w:val="22"/>
                <w:highlight w:val="none"/>
              </w:rPr>
              <w:t>实际募集规模超过1</w:t>
            </w:r>
            <w:r>
              <w:rPr>
                <w:rFonts w:hint="eastAsia" w:ascii="Calibri" w:hAnsi="Calibri"/>
                <w:color w:val="auto"/>
                <w:szCs w:val="22"/>
                <w:highlight w:val="none"/>
              </w:rPr>
              <w:t>亿元（</w:t>
            </w:r>
            <w:r>
              <w:rPr>
                <w:rFonts w:ascii="Calibri" w:hAnsi="Calibri"/>
                <w:color w:val="auto"/>
                <w:szCs w:val="22"/>
                <w:highlight w:val="none"/>
              </w:rPr>
              <w:t>不</w:t>
            </w:r>
            <w:r>
              <w:rPr>
                <w:rFonts w:hint="eastAsia" w:ascii="Calibri" w:hAnsi="Calibri"/>
                <w:color w:val="auto"/>
                <w:szCs w:val="22"/>
                <w:highlight w:val="none"/>
              </w:rPr>
              <w:t>含）的</w:t>
            </w:r>
            <w:r>
              <w:rPr>
                <w:rFonts w:ascii="Calibri" w:hAnsi="Calibri"/>
                <w:color w:val="auto"/>
                <w:szCs w:val="22"/>
                <w:highlight w:val="none"/>
              </w:rPr>
              <w:t>封闭</w:t>
            </w:r>
            <w:r>
              <w:rPr>
                <w:rFonts w:hint="eastAsia" w:ascii="Calibri" w:hAnsi="Calibri"/>
                <w:color w:val="auto"/>
                <w:szCs w:val="22"/>
                <w:highlight w:val="none"/>
              </w:rPr>
              <w:t>式理财产品审计服务报价为x元/次</w:t>
            </w:r>
            <w:r>
              <w:rPr>
                <w:rFonts w:hint="eastAsia" w:ascii="宋体"/>
                <w:color w:val="auto"/>
                <w:szCs w:val="22"/>
                <w:highlight w:val="none"/>
              </w:rPr>
              <w:t>·</w:t>
            </w:r>
            <w:r>
              <w:rPr>
                <w:rFonts w:hint="eastAsia" w:ascii="Calibri" w:hAnsi="Calibri"/>
                <w:color w:val="auto"/>
                <w:szCs w:val="22"/>
                <w:highlight w:val="none"/>
              </w:rPr>
              <w:t>只</w:t>
            </w:r>
            <w:r>
              <w:rPr>
                <w:rFonts w:ascii="Calibri" w:hAnsi="Calibri"/>
                <w:color w:val="auto"/>
                <w:szCs w:val="22"/>
                <w:highlight w:val="none"/>
              </w:rPr>
              <w:t>，</w:t>
            </w:r>
            <w:r>
              <w:rPr>
                <w:rFonts w:hint="eastAsia" w:ascii="Calibri" w:hAnsi="Calibri"/>
                <w:color w:val="auto"/>
                <w:szCs w:val="22"/>
                <w:highlight w:val="none"/>
                <w:lang w:val="en-US" w:eastAsia="zh-CN"/>
              </w:rPr>
              <w:t>满分</w:t>
            </w:r>
            <w:r>
              <w:rPr>
                <w:rFonts w:ascii="Calibri" w:hAnsi="Calibri"/>
                <w:color w:val="auto"/>
                <w:szCs w:val="22"/>
                <w:highlight w:val="none"/>
              </w:rPr>
              <w:t>3分</w:t>
            </w:r>
            <w:r>
              <w:rPr>
                <w:rFonts w:hint="eastAsia" w:ascii="Calibri" w:hAnsi="Calibri"/>
                <w:color w:val="auto"/>
                <w:szCs w:val="22"/>
                <w:highlight w:val="none"/>
                <w:lang w:eastAsia="zh-CN"/>
              </w:rPr>
              <w:t>。</w:t>
            </w:r>
          </w:p>
          <w:p>
            <w:pPr>
              <w:rPr>
                <w:rFonts w:hint="eastAsia" w:ascii="Calibri" w:hAnsi="Calibri" w:eastAsia="宋体"/>
                <w:color w:val="auto"/>
                <w:szCs w:val="22"/>
                <w:highlight w:val="none"/>
                <w:lang w:val="en-US" w:eastAsia="zh-CN"/>
              </w:rPr>
            </w:pPr>
            <w:r>
              <w:rPr>
                <w:rFonts w:hint="eastAsia" w:ascii="Calibri" w:hAnsi="Calibri" w:eastAsia="宋体"/>
                <w:color w:val="auto"/>
                <w:szCs w:val="22"/>
                <w:highlight w:val="none"/>
                <w:lang w:val="en-US" w:eastAsia="zh-CN"/>
              </w:rPr>
              <w:t>各产品均采用低价优先法计算出评审基准价，其价格分为满分，投标报价得分=（评审基准价/投标报价）*该档次分值。</w:t>
            </w:r>
          </w:p>
          <w:p>
            <w:pPr>
              <w:rPr>
                <w:rFonts w:ascii="Calibri" w:hAnsi="Calibri"/>
                <w:color w:val="auto"/>
                <w:szCs w:val="22"/>
                <w:highlight w:val="none"/>
              </w:rPr>
            </w:pPr>
            <w:r>
              <w:rPr>
                <w:rFonts w:hint="eastAsia" w:ascii="Calibri" w:hAnsi="Calibri"/>
                <w:color w:val="auto"/>
                <w:szCs w:val="22"/>
                <w:highlight w:val="none"/>
              </w:rPr>
              <w:t>（在响应文件进行报价，将在服务合同条款中进行约定。）</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ascii="Calibri" w:hAnsi="Calibri"/>
                <w:color w:val="auto"/>
                <w:szCs w:val="22"/>
                <w:highlight w:val="none"/>
              </w:rPr>
              <w:t>综合评价</w:t>
            </w:r>
          </w:p>
          <w:p>
            <w:pPr>
              <w:jc w:val="center"/>
              <w:rPr>
                <w:rFonts w:ascii="Calibri" w:hAnsi="Calibri"/>
                <w:color w:val="auto"/>
                <w:szCs w:val="22"/>
                <w:highlight w:val="none"/>
              </w:rPr>
            </w:pPr>
            <w:r>
              <w:rPr>
                <w:rFonts w:hint="eastAsia" w:ascii="Calibri" w:hAnsi="Calibri"/>
                <w:color w:val="auto"/>
                <w:szCs w:val="22"/>
                <w:highlight w:val="none"/>
              </w:rPr>
              <w:t>（</w:t>
            </w:r>
            <w:r>
              <w:rPr>
                <w:rFonts w:ascii="Calibri" w:hAnsi="Calibri"/>
                <w:color w:val="auto"/>
                <w:szCs w:val="22"/>
                <w:highlight w:val="none"/>
              </w:rPr>
              <w:t>6</w:t>
            </w:r>
            <w:r>
              <w:rPr>
                <w:rFonts w:hint="eastAsia" w:ascii="Calibri" w:hAnsi="Calibri"/>
                <w:color w:val="auto"/>
                <w:szCs w:val="22"/>
                <w:highlight w:val="none"/>
              </w:rPr>
              <w:t>分）</w:t>
            </w:r>
          </w:p>
        </w:tc>
        <w:tc>
          <w:tcPr>
            <w:tcW w:w="14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ind w:left="0" w:firstLine="0" w:firstLineChars="0"/>
              <w:rPr>
                <w:rFonts w:ascii="Calibri" w:hAnsi="Calibri"/>
                <w:color w:val="auto"/>
                <w:szCs w:val="22"/>
                <w:highlight w:val="none"/>
              </w:rPr>
            </w:pPr>
            <w:r>
              <w:rPr>
                <w:rFonts w:hint="eastAsia" w:ascii="Calibri" w:hAnsi="Calibri"/>
                <w:color w:val="auto"/>
                <w:szCs w:val="22"/>
                <w:highlight w:val="none"/>
              </w:rPr>
              <w:t>1.增值服务</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pPr>
              <w:rPr>
                <w:rFonts w:ascii="Calibri" w:hAnsi="Calibri"/>
                <w:color w:val="auto"/>
                <w:szCs w:val="22"/>
                <w:highlight w:val="none"/>
              </w:rPr>
            </w:pPr>
            <w:r>
              <w:rPr>
                <w:rFonts w:hint="eastAsia" w:ascii="Calibri" w:hAnsi="Calibri"/>
                <w:color w:val="auto"/>
                <w:szCs w:val="22"/>
                <w:highlight w:val="none"/>
              </w:rPr>
              <w:t>提供增值服务情况。</w:t>
            </w:r>
          </w:p>
          <w:p>
            <w:pPr>
              <w:rPr>
                <w:rFonts w:ascii="Calibri" w:hAnsi="Calibri"/>
                <w:color w:val="auto"/>
                <w:szCs w:val="22"/>
                <w:highlight w:val="none"/>
              </w:rPr>
            </w:pPr>
            <w:r>
              <w:rPr>
                <w:rFonts w:hint="eastAsia" w:ascii="Calibri" w:hAnsi="Calibri"/>
                <w:color w:val="auto"/>
                <w:szCs w:val="22"/>
                <w:highlight w:val="none"/>
              </w:rPr>
              <w:t>评分说明：</w:t>
            </w:r>
          </w:p>
          <w:p>
            <w:pPr>
              <w:rPr>
                <w:rFonts w:ascii="Calibri" w:hAnsi="Calibri"/>
                <w:color w:val="auto"/>
                <w:szCs w:val="22"/>
                <w:highlight w:val="none"/>
              </w:rPr>
            </w:pPr>
            <w:r>
              <w:rPr>
                <w:rFonts w:hint="eastAsia" w:ascii="Calibri" w:hAnsi="Calibri"/>
                <w:color w:val="auto"/>
                <w:szCs w:val="22"/>
                <w:highlight w:val="none"/>
              </w:rPr>
              <w:t>（1）免费提供管理建议书服务的加</w:t>
            </w:r>
            <w:r>
              <w:rPr>
                <w:rFonts w:ascii="Calibri" w:hAnsi="Calibri"/>
                <w:color w:val="auto"/>
                <w:szCs w:val="22"/>
                <w:highlight w:val="none"/>
              </w:rPr>
              <w:t>2</w:t>
            </w:r>
            <w:r>
              <w:rPr>
                <w:rFonts w:hint="eastAsia" w:ascii="Calibri" w:hAnsi="Calibri"/>
                <w:color w:val="auto"/>
                <w:szCs w:val="22"/>
                <w:highlight w:val="none"/>
              </w:rPr>
              <w:t>分；</w:t>
            </w:r>
          </w:p>
          <w:p>
            <w:pPr>
              <w:rPr>
                <w:rFonts w:ascii="Calibri" w:hAnsi="Calibri"/>
                <w:color w:val="auto"/>
                <w:szCs w:val="22"/>
                <w:highlight w:val="none"/>
              </w:rPr>
            </w:pPr>
            <w:r>
              <w:rPr>
                <w:rFonts w:hint="eastAsia" w:ascii="Calibri" w:hAnsi="Calibri"/>
                <w:color w:val="auto"/>
                <w:szCs w:val="22"/>
                <w:highlight w:val="none"/>
              </w:rPr>
              <w:t>（2）免费提供业务咨询和政策解读服务的加2分；</w:t>
            </w:r>
          </w:p>
          <w:p>
            <w:pPr>
              <w:rPr>
                <w:rFonts w:ascii="Calibri" w:hAnsi="Calibri"/>
                <w:color w:val="auto"/>
                <w:szCs w:val="22"/>
                <w:highlight w:val="none"/>
              </w:rPr>
            </w:pPr>
            <w:r>
              <w:rPr>
                <w:rFonts w:hint="eastAsia" w:ascii="Calibri" w:hAnsi="Calibri"/>
                <w:color w:val="auto"/>
                <w:szCs w:val="22"/>
                <w:highlight w:val="none"/>
              </w:rPr>
              <w:t>（3）免费提供不少于</w:t>
            </w:r>
            <w:r>
              <w:rPr>
                <w:rFonts w:ascii="Calibri" w:hAnsi="Calibri"/>
                <w:color w:val="auto"/>
                <w:szCs w:val="22"/>
                <w:highlight w:val="none"/>
              </w:rPr>
              <w:t>1</w:t>
            </w:r>
            <w:r>
              <w:rPr>
                <w:rFonts w:hint="eastAsia" w:ascii="Calibri" w:hAnsi="Calibri"/>
                <w:color w:val="auto"/>
                <w:szCs w:val="22"/>
                <w:highlight w:val="none"/>
              </w:rPr>
              <w:t>次/年业务培训的加2分；</w:t>
            </w:r>
          </w:p>
          <w:p>
            <w:pPr>
              <w:rPr>
                <w:rFonts w:ascii="Calibri" w:hAnsi="Calibri"/>
                <w:color w:val="auto"/>
                <w:szCs w:val="22"/>
                <w:highlight w:val="none"/>
              </w:rPr>
            </w:pPr>
            <w:r>
              <w:rPr>
                <w:rFonts w:hint="eastAsia" w:ascii="Calibri" w:hAnsi="Calibri"/>
                <w:color w:val="auto"/>
                <w:szCs w:val="22"/>
                <w:highlight w:val="none"/>
              </w:rPr>
              <w:t>（在响应文件进行承诺，将在服务合同条款中进行约定。）</w:t>
            </w:r>
          </w:p>
        </w:tc>
        <w:tc>
          <w:tcPr>
            <w:tcW w:w="144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jc w:val="center"/>
              <w:rPr>
                <w:rFonts w:ascii="Calibri" w:hAnsi="Calibri"/>
                <w:color w:val="auto"/>
                <w:szCs w:val="22"/>
                <w:highlight w:val="none"/>
              </w:rPr>
            </w:pPr>
            <w:r>
              <w:rPr>
                <w:rFonts w:hint="eastAsia" w:ascii="Calibri" w:hAnsi="Calibri"/>
                <w:color w:val="auto"/>
                <w:szCs w:val="22"/>
                <w:highlight w:val="none"/>
              </w:rPr>
              <w:t>6</w:t>
            </w:r>
          </w:p>
        </w:tc>
      </w:tr>
    </w:tbl>
    <w:p>
      <w:pPr>
        <w:pStyle w:val="4"/>
        <w:bidi w:val="0"/>
        <w:rPr>
          <w:color w:val="auto"/>
          <w:highlight w:val="none"/>
          <w:lang w:val="en-US" w:eastAsia="zh-CN"/>
        </w:rPr>
      </w:pPr>
      <w:r>
        <w:rPr>
          <w:rFonts w:hint="eastAsia" w:ascii="宋体" w:cs="宋体"/>
          <w:color w:val="auto"/>
          <w:sz w:val="21"/>
          <w:szCs w:val="21"/>
          <w:highlight w:val="none"/>
        </w:rPr>
        <w:t>备注：全文中“至今”指“至</w:t>
      </w:r>
      <w:r>
        <w:rPr>
          <w:rFonts w:hint="eastAsia" w:ascii="宋体" w:cs="宋体"/>
          <w:color w:val="auto"/>
          <w:sz w:val="21"/>
          <w:szCs w:val="21"/>
          <w:highlight w:val="none"/>
          <w:lang w:val="en-US" w:eastAsia="zh-CN"/>
        </w:rPr>
        <w:t>比选</w:t>
      </w:r>
      <w:r>
        <w:rPr>
          <w:rFonts w:hint="eastAsia" w:ascii="宋体" w:cs="宋体"/>
          <w:color w:val="auto"/>
          <w:sz w:val="21"/>
          <w:szCs w:val="21"/>
          <w:highlight w:val="none"/>
        </w:rPr>
        <w:t>文件发出之日”；“近三年”指自20</w:t>
      </w:r>
      <w:r>
        <w:rPr>
          <w:rFonts w:ascii="宋体" w:cs="宋体"/>
          <w:color w:val="auto"/>
          <w:sz w:val="21"/>
          <w:szCs w:val="21"/>
          <w:highlight w:val="none"/>
        </w:rPr>
        <w:t>21</w:t>
      </w:r>
      <w:r>
        <w:rPr>
          <w:rFonts w:hint="eastAsia" w:ascii="宋体" w:cs="宋体"/>
          <w:color w:val="auto"/>
          <w:sz w:val="21"/>
          <w:szCs w:val="21"/>
          <w:highlight w:val="none"/>
        </w:rPr>
        <w:t>年1月1日至</w:t>
      </w:r>
      <w:r>
        <w:rPr>
          <w:rFonts w:hint="eastAsia" w:ascii="宋体" w:cs="宋体"/>
          <w:color w:val="auto"/>
          <w:sz w:val="21"/>
          <w:szCs w:val="21"/>
          <w:highlight w:val="none"/>
          <w:lang w:val="en-US" w:eastAsia="zh-CN"/>
        </w:rPr>
        <w:t>比选</w:t>
      </w:r>
      <w:r>
        <w:rPr>
          <w:rFonts w:hint="eastAsia" w:ascii="宋体" w:cs="宋体"/>
          <w:color w:val="auto"/>
          <w:sz w:val="21"/>
          <w:szCs w:val="21"/>
          <w:highlight w:val="none"/>
        </w:rPr>
        <w:t>文件发出之日。</w:t>
      </w:r>
      <w:r>
        <w:rPr>
          <w:rFonts w:ascii="宋体" w:cs="宋体"/>
          <w:snapToGrid w:val="0"/>
          <w:color w:val="auto"/>
          <w:sz w:val="21"/>
          <w:szCs w:val="21"/>
          <w:highlight w:val="none"/>
        </w:rPr>
        <w:br w:type="page"/>
      </w:r>
      <w:bookmarkStart w:id="118" w:name="_Toc18283"/>
      <w:bookmarkStart w:id="119" w:name="_Toc28684"/>
      <w:bookmarkStart w:id="120" w:name="_Toc27234"/>
      <w:r>
        <w:rPr>
          <w:rFonts w:hint="eastAsia"/>
          <w:color w:val="auto"/>
          <w:highlight w:val="none"/>
          <w:lang w:val="en-US" w:eastAsia="zh-CN"/>
        </w:rPr>
        <w:t>1. 评审方法</w:t>
      </w:r>
      <w:bookmarkEnd w:id="116"/>
      <w:bookmarkEnd w:id="117"/>
      <w:bookmarkEnd w:id="118"/>
      <w:bookmarkEnd w:id="119"/>
      <w:bookmarkEnd w:id="120"/>
    </w:p>
    <w:p>
      <w:pPr>
        <w:bidi w:val="0"/>
        <w:rPr>
          <w:color w:val="auto"/>
          <w:highlight w:val="none"/>
        </w:rPr>
      </w:pPr>
      <w:bookmarkStart w:id="121" w:name="_Toc277082619"/>
      <w:bookmarkStart w:id="122" w:name="_Toc377067339"/>
      <w:bookmarkStart w:id="123" w:name="_Toc330569206"/>
      <w:bookmarkStart w:id="124" w:name="_Toc377115419"/>
      <w:bookmarkStart w:id="125" w:name="_Toc440022827"/>
      <w:bookmarkStart w:id="126" w:name="_Toc200513199"/>
      <w:bookmarkStart w:id="127" w:name="_Toc376114120"/>
      <w:bookmarkStart w:id="128" w:name="_Toc224103385"/>
      <w:bookmarkStart w:id="129" w:name="_Toc287620752"/>
      <w:bookmarkStart w:id="130" w:name="_Toc287607813"/>
      <w:bookmarkStart w:id="131" w:name="_Toc407195379"/>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pPr>
        <w:pStyle w:val="4"/>
        <w:bidi w:val="0"/>
        <w:rPr>
          <w:color w:val="auto"/>
          <w:highlight w:val="none"/>
          <w:lang w:val="en-US" w:eastAsia="zh-CN"/>
        </w:rPr>
      </w:pPr>
      <w:bookmarkStart w:id="132" w:name="_Toc27931"/>
      <w:bookmarkStart w:id="133" w:name="_Toc31615"/>
      <w:bookmarkStart w:id="134" w:name="_Toc5950"/>
      <w:bookmarkStart w:id="135" w:name="_Toc2274"/>
      <w:bookmarkStart w:id="136" w:name="_Toc16716"/>
      <w:bookmarkStart w:id="137" w:name="_Toc444155968"/>
      <w:bookmarkStart w:id="138" w:name="_Toc765"/>
      <w:bookmarkStart w:id="139" w:name="_Toc23969"/>
      <w:bookmarkStart w:id="140" w:name="_Toc27406"/>
      <w:r>
        <w:rPr>
          <w:rFonts w:hint="eastAsia"/>
          <w:color w:val="auto"/>
          <w:highlight w:val="none"/>
          <w:lang w:val="en-US" w:eastAsia="zh-CN"/>
        </w:rPr>
        <w:t>2. 评审标准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5"/>
        <w:bidi w:val="0"/>
        <w:rPr>
          <w:color w:val="auto"/>
          <w:highlight w:val="none"/>
          <w:lang w:val="en-US" w:eastAsia="zh-CN"/>
        </w:rPr>
      </w:pPr>
      <w:bookmarkStart w:id="141" w:name="_Toc7584"/>
      <w:bookmarkStart w:id="142" w:name="_Toc200513200"/>
      <w:bookmarkStart w:id="143" w:name="_Toc330569207"/>
      <w:bookmarkStart w:id="144" w:name="_Toc440022828"/>
      <w:bookmarkStart w:id="145" w:name="_Toc287607814"/>
      <w:bookmarkStart w:id="146" w:name="_Toc10533"/>
      <w:bookmarkStart w:id="147" w:name="_Toc407195380"/>
      <w:bookmarkStart w:id="148" w:name="_Toc1358"/>
      <w:bookmarkStart w:id="149" w:name="_Toc377067340"/>
      <w:bookmarkStart w:id="150" w:name="_Toc277082620"/>
      <w:bookmarkStart w:id="151" w:name="_Toc11839"/>
      <w:bookmarkStart w:id="152" w:name="_Toc377115420"/>
      <w:bookmarkStart w:id="153" w:name="_Toc23425"/>
      <w:bookmarkStart w:id="154" w:name="_Toc224103386"/>
      <w:bookmarkStart w:id="155" w:name="_Toc21593"/>
      <w:bookmarkStart w:id="156" w:name="_Toc444155969"/>
      <w:bookmarkStart w:id="157" w:name="_Toc376114121"/>
      <w:bookmarkStart w:id="158" w:name="_Toc16537"/>
      <w:bookmarkStart w:id="159" w:name="_Toc287620753"/>
      <w:r>
        <w:rPr>
          <w:rFonts w:hint="eastAsia"/>
          <w:color w:val="auto"/>
          <w:highlight w:val="none"/>
          <w:lang w:val="en-US" w:eastAsia="zh-CN"/>
        </w:rPr>
        <w:t>2.1 初步评审标准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pPr>
        <w:bidi w:val="0"/>
        <w:rPr>
          <w:color w:val="auto"/>
          <w:highlight w:val="none"/>
        </w:rPr>
      </w:pPr>
      <w:r>
        <w:rPr>
          <w:rFonts w:hint="eastAsia"/>
          <w:color w:val="auto"/>
          <w:highlight w:val="none"/>
        </w:rPr>
        <w:t>2.1.3 响应性评审标准：见评审办法前附表。</w:t>
      </w:r>
    </w:p>
    <w:p>
      <w:pPr>
        <w:pStyle w:val="5"/>
        <w:bidi w:val="0"/>
        <w:rPr>
          <w:color w:val="auto"/>
          <w:highlight w:val="none"/>
          <w:lang w:val="en-US" w:eastAsia="zh-CN"/>
        </w:rPr>
      </w:pPr>
      <w:bookmarkStart w:id="160" w:name="_Toc287620754"/>
      <w:bookmarkStart w:id="161" w:name="_Toc23296"/>
      <w:bookmarkStart w:id="162" w:name="_Toc2340"/>
      <w:bookmarkStart w:id="163" w:name="_Toc376114122"/>
      <w:bookmarkStart w:id="164" w:name="_Toc1387"/>
      <w:bookmarkStart w:id="165" w:name="_Toc377115421"/>
      <w:bookmarkStart w:id="166" w:name="_Toc377067341"/>
      <w:bookmarkStart w:id="167" w:name="_Toc444155970"/>
      <w:bookmarkStart w:id="168" w:name="_Toc224103387"/>
      <w:bookmarkStart w:id="169" w:name="_Toc287607815"/>
      <w:bookmarkStart w:id="170" w:name="_Toc20840"/>
      <w:bookmarkStart w:id="171" w:name="_Toc330569208"/>
      <w:bookmarkStart w:id="172" w:name="_Toc277082621"/>
      <w:bookmarkStart w:id="173" w:name="_Toc6503"/>
      <w:bookmarkStart w:id="174" w:name="_Toc9090"/>
      <w:bookmarkStart w:id="175" w:name="_Toc200513201"/>
      <w:bookmarkStart w:id="176" w:name="_Toc440022829"/>
      <w:bookmarkStart w:id="177" w:name="_Toc407195381"/>
      <w:bookmarkStart w:id="178" w:name="_Toc25129"/>
      <w:r>
        <w:rPr>
          <w:rFonts w:hint="eastAsia"/>
          <w:color w:val="auto"/>
          <w:highlight w:val="none"/>
          <w:lang w:val="en-US" w:eastAsia="zh-CN"/>
        </w:rPr>
        <w:t>2.2 分值构成与评分标准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bidi w:val="0"/>
        <w:rPr>
          <w:color w:val="auto"/>
          <w:highlight w:val="none"/>
        </w:rPr>
      </w:pPr>
      <w:r>
        <w:rPr>
          <w:rFonts w:hint="eastAsia"/>
          <w:color w:val="auto"/>
          <w:highlight w:val="none"/>
        </w:rPr>
        <w:t xml:space="preserve">2.2.1 分值构成：见评审办法前附表。 </w:t>
      </w:r>
    </w:p>
    <w:p>
      <w:pPr>
        <w:bidi w:val="0"/>
        <w:rPr>
          <w:color w:val="auto"/>
          <w:highlight w:val="none"/>
        </w:rPr>
      </w:pPr>
      <w:r>
        <w:rPr>
          <w:rFonts w:hint="eastAsia"/>
          <w:color w:val="auto"/>
          <w:highlight w:val="none"/>
        </w:rPr>
        <w:t>2.2.2 评审基准价计算方法：见评审办法前附表。</w:t>
      </w:r>
    </w:p>
    <w:p>
      <w:pPr>
        <w:bidi w:val="0"/>
        <w:rPr>
          <w:color w:val="auto"/>
          <w:highlight w:val="none"/>
        </w:rPr>
      </w:pPr>
      <w:r>
        <w:rPr>
          <w:rFonts w:hint="eastAsia"/>
          <w:color w:val="auto"/>
          <w:highlight w:val="none"/>
        </w:rPr>
        <w:t>2.2.3 评分标准：</w:t>
      </w:r>
    </w:p>
    <w:p>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pPr>
        <w:bidi w:val="0"/>
        <w:rPr>
          <w:color w:val="auto"/>
          <w:highlight w:val="none"/>
        </w:rPr>
      </w:pPr>
      <w:r>
        <w:rPr>
          <w:rFonts w:hint="eastAsia"/>
          <w:color w:val="auto"/>
          <w:highlight w:val="none"/>
        </w:rPr>
        <w:t>（2）商务部分评分标准：见评审办法前附表；</w:t>
      </w:r>
    </w:p>
    <w:p>
      <w:pPr>
        <w:pStyle w:val="4"/>
        <w:bidi w:val="0"/>
        <w:rPr>
          <w:color w:val="auto"/>
          <w:highlight w:val="none"/>
          <w:lang w:val="en-US" w:eastAsia="zh-CN"/>
        </w:rPr>
      </w:pPr>
      <w:bookmarkStart w:id="179" w:name="_Toc8004"/>
      <w:bookmarkStart w:id="180" w:name="_Toc287607816"/>
      <w:bookmarkStart w:id="181" w:name="_Toc2982"/>
      <w:bookmarkStart w:id="182" w:name="_Toc377067342"/>
      <w:bookmarkStart w:id="183" w:name="_Toc440022830"/>
      <w:bookmarkStart w:id="184" w:name="_Toc23633"/>
      <w:bookmarkStart w:id="185" w:name="_Toc14353"/>
      <w:bookmarkStart w:id="186" w:name="_Toc9488"/>
      <w:bookmarkStart w:id="187" w:name="_Toc224103388"/>
      <w:bookmarkStart w:id="188" w:name="_Toc377115422"/>
      <w:bookmarkStart w:id="189" w:name="_Toc200513202"/>
      <w:bookmarkStart w:id="190" w:name="_Toc15132"/>
      <w:bookmarkStart w:id="191" w:name="_Toc287620755"/>
      <w:bookmarkStart w:id="192" w:name="_Toc407195382"/>
      <w:bookmarkStart w:id="193" w:name="_Toc277082622"/>
      <w:bookmarkStart w:id="194" w:name="_Toc330569209"/>
      <w:bookmarkStart w:id="195" w:name="_Toc5546"/>
      <w:bookmarkStart w:id="196" w:name="_Toc12538"/>
      <w:bookmarkStart w:id="197" w:name="_Toc376114123"/>
      <w:bookmarkStart w:id="198" w:name="_Toc444155971"/>
      <w:r>
        <w:rPr>
          <w:rFonts w:hint="eastAsia"/>
          <w:color w:val="auto"/>
          <w:highlight w:val="none"/>
          <w:lang w:val="en-US" w:eastAsia="zh-CN"/>
        </w:rPr>
        <w:t>3. 评审程序</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5"/>
        <w:bidi w:val="0"/>
        <w:rPr>
          <w:color w:val="auto"/>
          <w:highlight w:val="none"/>
          <w:lang w:val="en-US" w:eastAsia="zh-CN"/>
        </w:rPr>
      </w:pPr>
      <w:bookmarkStart w:id="199" w:name="_Toc287607817"/>
      <w:bookmarkStart w:id="200" w:name="_Toc6448"/>
      <w:bookmarkStart w:id="201" w:name="_Toc32002"/>
      <w:bookmarkStart w:id="202" w:name="_Toc224103389"/>
      <w:bookmarkStart w:id="203" w:name="_Toc5462"/>
      <w:bookmarkStart w:id="204" w:name="_Toc376114124"/>
      <w:bookmarkStart w:id="205" w:name="_Toc19840"/>
      <w:bookmarkStart w:id="206" w:name="_Toc22279"/>
      <w:bookmarkStart w:id="207" w:name="_Toc287620756"/>
      <w:bookmarkStart w:id="208" w:name="_Toc13851"/>
      <w:bookmarkStart w:id="209" w:name="_Toc440022831"/>
      <w:bookmarkStart w:id="210" w:name="_Toc330569210"/>
      <w:bookmarkStart w:id="211" w:name="_Toc277082623"/>
      <w:bookmarkStart w:id="212" w:name="_Toc200513203"/>
      <w:bookmarkStart w:id="213" w:name="_Toc444155972"/>
      <w:bookmarkStart w:id="214" w:name="_Toc407195383"/>
      <w:bookmarkStart w:id="215" w:name="_Toc377115423"/>
      <w:bookmarkStart w:id="216" w:name="_Toc377067343"/>
      <w:bookmarkStart w:id="217" w:name="_Toc9683"/>
      <w:r>
        <w:rPr>
          <w:rFonts w:hint="eastAsia"/>
          <w:color w:val="auto"/>
          <w:highlight w:val="none"/>
          <w:lang w:val="en-US" w:eastAsia="zh-CN"/>
        </w:rPr>
        <w:t>3.1 初步评审</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bidi w:val="0"/>
        <w:rPr>
          <w:color w:val="auto"/>
          <w:highlight w:val="none"/>
        </w:rPr>
      </w:pPr>
      <w:bookmarkStart w:id="218" w:name="_Toc373264792"/>
      <w:bookmarkStart w:id="219" w:name="_Toc332028970"/>
      <w:bookmarkStart w:id="220" w:name="_Toc377115424"/>
      <w:bookmarkStart w:id="221" w:name="_Toc330569211"/>
      <w:bookmarkStart w:id="222" w:name="_Toc331232467"/>
      <w:bookmarkStart w:id="223" w:name="_Toc334002333"/>
      <w:bookmarkStart w:id="224" w:name="_Toc373172234"/>
      <w:bookmarkStart w:id="225" w:name="_Toc332015984"/>
      <w:bookmarkStart w:id="226" w:name="_Toc444155973"/>
      <w:bookmarkStart w:id="227" w:name="_Toc332380970"/>
      <w:bookmarkStart w:id="228" w:name="_Toc356484119"/>
      <w:bookmarkStart w:id="229" w:name="_Toc407195384"/>
      <w:bookmarkStart w:id="230" w:name="_Toc331232649"/>
      <w:bookmarkStart w:id="231" w:name="_Toc354387014"/>
      <w:bookmarkStart w:id="232" w:name="_Toc440022832"/>
      <w:bookmarkStart w:id="233" w:name="_Toc376114125"/>
      <w:bookmarkStart w:id="234" w:name="_Toc377067344"/>
      <w:bookmarkStart w:id="235" w:name="_Toc356243677"/>
      <w:bookmarkStart w:id="236" w:name="_Toc27164"/>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pPr>
        <w:pStyle w:val="5"/>
        <w:bidi w:val="0"/>
        <w:rPr>
          <w:color w:val="auto"/>
          <w:highlight w:val="none"/>
          <w:lang w:val="en-US" w:eastAsia="zh-CN"/>
        </w:rPr>
      </w:pPr>
      <w:bookmarkStart w:id="237" w:name="_Toc224103390"/>
      <w:bookmarkStart w:id="238" w:name="_Toc200513204"/>
      <w:bookmarkStart w:id="239" w:name="_Toc7832"/>
      <w:bookmarkStart w:id="240" w:name="_Toc330569212"/>
      <w:bookmarkStart w:id="241" w:name="_Toc376114126"/>
      <w:bookmarkStart w:id="242" w:name="_Toc440022833"/>
      <w:bookmarkStart w:id="243" w:name="_Toc22246"/>
      <w:bookmarkStart w:id="244" w:name="_Toc29925"/>
      <w:bookmarkStart w:id="245" w:name="_Toc407195385"/>
      <w:bookmarkStart w:id="246" w:name="_Toc287620757"/>
      <w:bookmarkStart w:id="247" w:name="_Toc377067345"/>
      <w:bookmarkStart w:id="248" w:name="_Toc10847"/>
      <w:bookmarkStart w:id="249" w:name="_Toc377115425"/>
      <w:bookmarkStart w:id="250" w:name="_Toc22848"/>
      <w:bookmarkStart w:id="251" w:name="_Toc19604"/>
      <w:bookmarkStart w:id="252" w:name="_Toc277082624"/>
      <w:bookmarkStart w:id="253" w:name="_Toc11246"/>
      <w:bookmarkStart w:id="254" w:name="_Toc287607818"/>
      <w:bookmarkStart w:id="255" w:name="_Toc444155974"/>
      <w:r>
        <w:rPr>
          <w:rFonts w:hint="eastAsia"/>
          <w:color w:val="auto"/>
          <w:highlight w:val="none"/>
          <w:lang w:val="en-US" w:eastAsia="zh-CN"/>
        </w:rPr>
        <w:t>3.2 详细评审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pPr>
        <w:bidi w:val="0"/>
        <w:rPr>
          <w:color w:val="auto"/>
          <w:highlight w:val="none"/>
        </w:rPr>
      </w:pPr>
      <w:r>
        <w:rPr>
          <w:rFonts w:hint="eastAsia"/>
          <w:color w:val="auto"/>
          <w:highlight w:val="none"/>
        </w:rPr>
        <w:t>3.2.2 评分分值计算保留小数点后两位，小数点后第三位“四舍五入”。</w:t>
      </w:r>
    </w:p>
    <w:p>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p>
    <w:p>
      <w:pPr>
        <w:pStyle w:val="5"/>
        <w:bidi w:val="0"/>
        <w:rPr>
          <w:color w:val="auto"/>
          <w:highlight w:val="none"/>
          <w:lang w:val="en-US" w:eastAsia="zh-CN"/>
        </w:rPr>
      </w:pPr>
      <w:bookmarkStart w:id="256" w:name="_Toc444155975"/>
      <w:bookmarkStart w:id="257" w:name="_Toc7176"/>
      <w:bookmarkStart w:id="258" w:name="_Toc330569213"/>
      <w:bookmarkStart w:id="259" w:name="_Toc407195386"/>
      <w:bookmarkStart w:id="260" w:name="_Toc287607819"/>
      <w:bookmarkStart w:id="261" w:name="_Toc29261"/>
      <w:bookmarkStart w:id="262" w:name="_Toc377115426"/>
      <w:bookmarkStart w:id="263" w:name="_Toc1080"/>
      <w:bookmarkStart w:id="264" w:name="_Toc2542"/>
      <w:bookmarkStart w:id="265" w:name="_Toc376114127"/>
      <w:bookmarkStart w:id="266" w:name="_Toc277082625"/>
      <w:bookmarkStart w:id="267" w:name="_Toc200513205"/>
      <w:bookmarkStart w:id="268" w:name="_Toc377067346"/>
      <w:bookmarkStart w:id="269" w:name="_Toc32039"/>
      <w:bookmarkStart w:id="270" w:name="_Toc440022834"/>
      <w:bookmarkStart w:id="271" w:name="_Toc224103391"/>
      <w:bookmarkStart w:id="272" w:name="_Toc287620758"/>
      <w:bookmarkStart w:id="273" w:name="_Toc20948"/>
      <w:bookmarkStart w:id="274" w:name="_Toc18708"/>
      <w:r>
        <w:rPr>
          <w:rFonts w:hint="eastAsia"/>
          <w:color w:val="auto"/>
          <w:highlight w:val="none"/>
          <w:lang w:val="en-US" w:eastAsia="zh-CN"/>
        </w:rPr>
        <w:t>3.3 参选文件的澄清和补正</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pPr>
        <w:pStyle w:val="5"/>
        <w:bidi w:val="0"/>
        <w:rPr>
          <w:color w:val="auto"/>
          <w:highlight w:val="none"/>
          <w:lang w:val="en-US" w:eastAsia="zh-CN"/>
        </w:rPr>
      </w:pPr>
      <w:bookmarkStart w:id="275" w:name="_Toc377115427"/>
      <w:bookmarkStart w:id="276" w:name="_Toc287620759"/>
      <w:bookmarkStart w:id="277" w:name="_Toc287607820"/>
      <w:bookmarkStart w:id="278" w:name="_Toc31270"/>
      <w:bookmarkStart w:id="279" w:name="_Toc407195387"/>
      <w:bookmarkStart w:id="280" w:name="_Toc277082626"/>
      <w:bookmarkStart w:id="281" w:name="_Toc224103392"/>
      <w:bookmarkStart w:id="282" w:name="_Toc19054"/>
      <w:bookmarkStart w:id="283" w:name="_Toc377067347"/>
      <w:bookmarkStart w:id="284" w:name="_Toc14840"/>
      <w:bookmarkStart w:id="285" w:name="_Toc4814"/>
      <w:bookmarkStart w:id="286" w:name="_Toc6310"/>
      <w:bookmarkStart w:id="287" w:name="_Toc444155976"/>
      <w:bookmarkStart w:id="288" w:name="_Toc200513206"/>
      <w:bookmarkStart w:id="289" w:name="_Toc440022835"/>
      <w:bookmarkStart w:id="290" w:name="_Toc330569214"/>
      <w:bookmarkStart w:id="291" w:name="_Toc30672"/>
      <w:bookmarkStart w:id="292" w:name="_Toc376114128"/>
      <w:bookmarkStart w:id="293" w:name="_Toc21450"/>
      <w:r>
        <w:rPr>
          <w:rFonts w:hint="eastAsia"/>
          <w:color w:val="auto"/>
          <w:highlight w:val="none"/>
          <w:lang w:val="en-US" w:eastAsia="zh-CN"/>
        </w:rPr>
        <w:t>3.4 评审结果</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pPr>
        <w:rPr>
          <w:color w:val="auto"/>
          <w:highlight w:val="none"/>
        </w:rPr>
      </w:pPr>
      <w:r>
        <w:rPr>
          <w:rFonts w:hint="eastAsia"/>
          <w:color w:val="auto"/>
          <w:highlight w:val="none"/>
          <w:lang w:val="en-US" w:eastAsia="zh-CN"/>
        </w:rPr>
        <w:t>3.4.3 有效参选不足两个的，</w:t>
      </w:r>
      <w:r>
        <w:rPr>
          <w:rFonts w:hint="eastAsia" w:ascii="Cambria Math" w:hAns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hAnsi="Cambria Math" w:cs="Cambria Math"/>
          <w:snapToGrid/>
          <w:color w:val="auto"/>
          <w:kern w:val="2"/>
          <w:sz w:val="24"/>
          <w:szCs w:val="20"/>
          <w:highlight w:val="none"/>
        </w:rPr>
        <w:t>判定，</w:t>
      </w:r>
      <w:r>
        <w:rPr>
          <w:rFonts w:hint="eastAsia" w:ascii="Cambria Math" w:hAnsi="Cambria Math" w:cs="Cambria Math"/>
          <w:snapToGrid/>
          <w:color w:val="auto"/>
          <w:kern w:val="2"/>
          <w:sz w:val="24"/>
          <w:szCs w:val="20"/>
          <w:highlight w:val="none"/>
          <w:lang w:val="en-US" w:eastAsia="zh-CN"/>
        </w:rPr>
        <w:t>参选人</w:t>
      </w:r>
      <w:r>
        <w:rPr>
          <w:rFonts w:hint="eastAsia" w:ascii="Cambria Math" w:hAns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pPr>
        <w:pStyle w:val="5"/>
        <w:bidi w:val="0"/>
        <w:rPr>
          <w:rFonts w:hint="eastAsia"/>
          <w:color w:val="auto"/>
          <w:highlight w:val="none"/>
          <w:lang w:val="en-US" w:eastAsia="zh-CN"/>
        </w:rPr>
      </w:pPr>
      <w:r>
        <w:rPr>
          <w:rFonts w:hint="eastAsia"/>
          <w:color w:val="auto"/>
          <w:highlight w:val="none"/>
          <w:lang w:val="en-US" w:eastAsia="zh-CN"/>
        </w:rPr>
        <w:t>3.5 对评审委员会成员的纪律要求</w:t>
      </w:r>
    </w:p>
    <w:p>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5"/>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pPr>
        <w:bidi w:val="0"/>
        <w:rPr>
          <w:color w:val="auto"/>
          <w:highlight w:val="none"/>
        </w:rPr>
      </w:pPr>
    </w:p>
    <w:p>
      <w:pPr>
        <w:bidi w:val="0"/>
        <w:rPr>
          <w:rFonts w:hint="eastAsia"/>
          <w:color w:val="auto"/>
          <w:highlight w:val="none"/>
        </w:rPr>
      </w:pPr>
      <w:bookmarkStart w:id="294" w:name="_Toc150953074"/>
      <w:bookmarkStart w:id="295" w:name="_Toc303066034"/>
      <w:bookmarkStart w:id="296" w:name="_Toc89675170"/>
      <w:r>
        <w:rPr>
          <w:rFonts w:hint="eastAsia"/>
          <w:color w:val="auto"/>
          <w:highlight w:val="none"/>
        </w:rPr>
        <w:br w:type="page"/>
      </w:r>
    </w:p>
    <w:p>
      <w:pPr>
        <w:pStyle w:val="3"/>
        <w:bidi w:val="0"/>
        <w:rPr>
          <w:color w:val="auto"/>
          <w:highlight w:val="none"/>
        </w:rPr>
      </w:pPr>
      <w:bookmarkStart w:id="297" w:name="_Toc14460"/>
      <w:bookmarkStart w:id="298" w:name="_Toc6341"/>
      <w:bookmarkStart w:id="299" w:name="_Toc1526"/>
      <w:r>
        <w:rPr>
          <w:rFonts w:hint="eastAsia"/>
          <w:color w:val="auto"/>
          <w:highlight w:val="none"/>
        </w:rPr>
        <w:t>第</w:t>
      </w:r>
      <w:r>
        <w:rPr>
          <w:rFonts w:hint="eastAsia"/>
          <w:color w:val="auto"/>
          <w:highlight w:val="none"/>
          <w:lang w:val="en-US" w:eastAsia="zh-CN"/>
        </w:rPr>
        <w:t>五</w:t>
      </w:r>
      <w:r>
        <w:rPr>
          <w:rFonts w:hint="eastAsia"/>
          <w:color w:val="auto"/>
          <w:highlight w:val="none"/>
        </w:rPr>
        <w:t>章 合同</w:t>
      </w:r>
      <w:r>
        <w:rPr>
          <w:color w:val="auto"/>
          <w:highlight w:val="none"/>
        </w:rPr>
        <w:t>模板</w:t>
      </w:r>
      <w:bookmarkEnd w:id="294"/>
      <w:bookmarkEnd w:id="297"/>
      <w:bookmarkEnd w:id="298"/>
      <w:bookmarkEnd w:id="299"/>
    </w:p>
    <w:p>
      <w:pPr>
        <w:keepNext w:val="0"/>
        <w:keepLines w:val="0"/>
        <w:pageBreakBefore w:val="0"/>
        <w:widowControl w:val="0"/>
        <w:kinsoku/>
        <w:wordWrap/>
        <w:overflowPunct/>
        <w:topLinePunct w:val="0"/>
        <w:autoSpaceDE w:val="0"/>
        <w:autoSpaceDN w:val="0"/>
        <w:bidi w:val="0"/>
        <w:adjustRightInd/>
        <w:snapToGrid/>
        <w:ind w:left="0" w:right="0" w:firstLine="0" w:firstLineChars="0"/>
        <w:jc w:val="center"/>
        <w:textAlignment w:val="auto"/>
        <w:rPr>
          <w:color w:val="auto"/>
          <w:highlight w:val="none"/>
          <w:lang w:val="en-US" w:eastAsia="zh-CN"/>
        </w:rPr>
      </w:pPr>
      <w:r>
        <w:rPr>
          <w:rFonts w:hint="eastAsia"/>
          <w:color w:val="auto"/>
          <w:highlight w:val="none"/>
          <w:lang w:val="en-US" w:eastAsia="zh-CN"/>
        </w:rPr>
        <w:t>（本章节的合同条款及格式仅供参考，具体以合同签订时为准）</w:t>
      </w:r>
    </w:p>
    <w:p>
      <w:pPr>
        <w:spacing w:before="0" w:after="0" w:line="360" w:lineRule="auto"/>
        <w:ind w:firstLine="0" w:firstLineChars="0"/>
        <w:jc w:val="center"/>
        <w:rPr>
          <w:rFonts w:hint="eastAsia" w:ascii="宋体" w:eastAsia="宋体" w:cs="宋体"/>
          <w:b/>
          <w:color w:val="auto"/>
          <w:sz w:val="52"/>
          <w:szCs w:val="52"/>
          <w:highlight w:val="none"/>
        </w:rPr>
      </w:pPr>
      <w:r>
        <w:rPr>
          <w:rFonts w:hint="eastAsia" w:ascii="宋体" w:eastAsia="宋体" w:cs="宋体"/>
          <w:b/>
          <w:color w:val="auto"/>
          <w:sz w:val="52"/>
          <w:szCs w:val="52"/>
          <w:highlight w:val="none"/>
        </w:rPr>
        <w:t>重庆三峡银行</w:t>
      </w:r>
    </w:p>
    <w:p>
      <w:pPr>
        <w:spacing w:before="0" w:after="0" w:line="360" w:lineRule="auto"/>
        <w:ind w:firstLine="0" w:firstLineChars="0"/>
        <w:jc w:val="center"/>
        <w:rPr>
          <w:rFonts w:hint="eastAsia" w:ascii="宋体" w:eastAsia="宋体" w:cs="宋体"/>
          <w:b/>
          <w:bCs/>
          <w:color w:val="auto"/>
          <w:sz w:val="36"/>
          <w:szCs w:val="36"/>
          <w:highlight w:val="none"/>
        </w:rPr>
      </w:pPr>
      <w:r>
        <w:rPr>
          <w:rFonts w:ascii="宋体" w:eastAsia="宋体" w:cs="宋体"/>
          <w:b/>
          <w:color w:val="auto"/>
          <w:sz w:val="52"/>
          <w:szCs w:val="52"/>
          <w:highlight w:val="none"/>
        </w:rPr>
        <w:t>理财产品外部审计</w:t>
      </w:r>
      <w:r>
        <w:rPr>
          <w:rFonts w:hint="eastAsia" w:ascii="宋体" w:eastAsia="宋体" w:cs="宋体"/>
          <w:b/>
          <w:color w:val="auto"/>
          <w:sz w:val="52"/>
          <w:szCs w:val="52"/>
          <w:highlight w:val="none"/>
        </w:rPr>
        <w:t>项目</w:t>
      </w:r>
    </w:p>
    <w:p>
      <w:pPr>
        <w:spacing w:before="0" w:after="0" w:line="360" w:lineRule="auto"/>
        <w:ind w:firstLine="0" w:firstLineChars="0"/>
        <w:jc w:val="center"/>
        <w:rPr>
          <w:rFonts w:hint="eastAsia" w:ascii="宋体" w:eastAsia="宋体" w:cs="宋体"/>
          <w:color w:val="auto"/>
          <w:sz w:val="84"/>
          <w:szCs w:val="84"/>
          <w:highlight w:val="none"/>
        </w:rPr>
      </w:pPr>
    </w:p>
    <w:p>
      <w:pPr>
        <w:spacing w:before="0" w:after="0" w:line="360" w:lineRule="auto"/>
        <w:ind w:firstLine="0" w:firstLineChars="0"/>
        <w:jc w:val="center"/>
        <w:rPr>
          <w:rFonts w:hint="eastAsia" w:ascii="宋体" w:eastAsia="宋体" w:cs="宋体"/>
          <w:color w:val="auto"/>
          <w:sz w:val="84"/>
          <w:szCs w:val="84"/>
          <w:highlight w:val="none"/>
        </w:rPr>
      </w:pPr>
    </w:p>
    <w:p>
      <w:pPr>
        <w:spacing w:before="0" w:after="0" w:line="360" w:lineRule="auto"/>
        <w:ind w:firstLine="0" w:firstLineChars="0"/>
        <w:jc w:val="center"/>
        <w:rPr>
          <w:rFonts w:hint="eastAsia" w:ascii="宋体" w:eastAsia="宋体" w:cs="宋体"/>
          <w:b/>
          <w:bCs/>
          <w:color w:val="auto"/>
          <w:sz w:val="84"/>
          <w:szCs w:val="84"/>
          <w:highlight w:val="none"/>
        </w:rPr>
      </w:pPr>
      <w:r>
        <w:rPr>
          <w:rFonts w:hint="eastAsia" w:ascii="宋体" w:eastAsia="宋体" w:cs="宋体"/>
          <w:b/>
          <w:bCs/>
          <w:color w:val="auto"/>
          <w:sz w:val="84"/>
          <w:szCs w:val="84"/>
          <w:highlight w:val="none"/>
        </w:rPr>
        <w:t>合</w:t>
      </w:r>
    </w:p>
    <w:p>
      <w:pPr>
        <w:spacing w:before="0" w:after="0" w:line="360" w:lineRule="auto"/>
        <w:ind w:firstLine="0" w:firstLineChars="0"/>
        <w:jc w:val="center"/>
        <w:rPr>
          <w:rFonts w:hint="eastAsia" w:ascii="宋体" w:eastAsia="宋体" w:cs="宋体"/>
          <w:b/>
          <w:bCs/>
          <w:color w:val="auto"/>
          <w:sz w:val="84"/>
          <w:szCs w:val="84"/>
          <w:highlight w:val="none"/>
        </w:rPr>
      </w:pPr>
      <w:r>
        <w:rPr>
          <w:rFonts w:hint="eastAsia" w:ascii="宋体" w:eastAsia="宋体" w:cs="宋体"/>
          <w:b/>
          <w:bCs/>
          <w:color w:val="auto"/>
          <w:sz w:val="84"/>
          <w:szCs w:val="84"/>
          <w:highlight w:val="none"/>
        </w:rPr>
        <w:t>同</w:t>
      </w:r>
    </w:p>
    <w:p>
      <w:pPr>
        <w:spacing w:before="0" w:after="0" w:line="360" w:lineRule="auto"/>
        <w:ind w:firstLine="0" w:firstLineChars="0"/>
        <w:jc w:val="center"/>
        <w:rPr>
          <w:rFonts w:hint="eastAsia" w:ascii="宋体" w:eastAsia="宋体" w:cs="宋体"/>
          <w:color w:val="auto"/>
          <w:sz w:val="84"/>
          <w:szCs w:val="84"/>
          <w:highlight w:val="none"/>
        </w:rPr>
      </w:pPr>
      <w:r>
        <w:rPr>
          <w:rFonts w:hint="eastAsia" w:ascii="宋体" w:eastAsia="宋体" w:cs="宋体"/>
          <w:b/>
          <w:bCs/>
          <w:color w:val="auto"/>
          <w:sz w:val="84"/>
          <w:szCs w:val="84"/>
          <w:highlight w:val="none"/>
        </w:rPr>
        <w:t>书</w:t>
      </w:r>
    </w:p>
    <w:p>
      <w:pPr>
        <w:spacing w:before="0" w:after="0"/>
        <w:jc w:val="left"/>
        <w:rPr>
          <w:rFonts w:hint="eastAsia" w:ascii="宋体" w:eastAsia="宋体" w:cs="宋体"/>
          <w:color w:val="auto"/>
          <w:highlight w:val="none"/>
        </w:rPr>
      </w:pPr>
    </w:p>
    <w:p>
      <w:pPr>
        <w:keepNext w:val="0"/>
        <w:keepLines w:val="0"/>
        <w:pageBreakBefore w:val="0"/>
        <w:widowControl w:val="0"/>
        <w:kinsoku/>
        <w:wordWrap/>
        <w:overflowPunct/>
        <w:topLinePunct w:val="0"/>
        <w:autoSpaceDE w:val="0"/>
        <w:autoSpaceDN w:val="0"/>
        <w:bidi w:val="0"/>
        <w:adjustRightInd/>
        <w:snapToGrid/>
        <w:ind w:left="0" w:right="0" w:firstLine="480" w:firstLineChars="200"/>
        <w:jc w:val="both"/>
        <w:textAlignment w:val="auto"/>
        <w:rPr>
          <w:color w:val="auto"/>
          <w:highlight w:val="none"/>
          <w:lang w:val="en-US" w:eastAsia="zh-CN"/>
        </w:rPr>
      </w:pPr>
      <w:r>
        <w:rPr>
          <w:color w:val="auto"/>
          <w:highlight w:val="none"/>
          <w:lang w:val="en-US" w:eastAsia="zh-CN"/>
        </w:rPr>
        <w:br w:type="page"/>
      </w:r>
    </w:p>
    <w:p>
      <w:pPr>
        <w:keepNext w:val="0"/>
        <w:keepLines w:val="0"/>
        <w:pageBreakBefore w:val="0"/>
        <w:widowControl w:val="0"/>
        <w:kinsoku/>
        <w:wordWrap/>
        <w:overflowPunct/>
        <w:topLinePunct w:val="0"/>
        <w:autoSpaceDE w:val="0"/>
        <w:autoSpaceDN w:val="0"/>
        <w:bidi w:val="0"/>
        <w:adjustRightInd/>
        <w:snapToGrid/>
        <w:ind w:left="0" w:right="0" w:firstLine="0" w:firstLineChars="0"/>
        <w:jc w:val="both"/>
        <w:textAlignment w:val="auto"/>
        <w:rPr>
          <w:rFonts w:hint="eastAsia"/>
          <w:color w:val="auto"/>
          <w:highlight w:val="none"/>
          <w:lang w:val="en-US" w:eastAsia="zh-CN"/>
        </w:rPr>
      </w:pP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甲方： </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地址： </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联系人：</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联系电话：</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传真：</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邮政编码:</w:t>
      </w:r>
    </w:p>
    <w:p>
      <w:pPr>
        <w:ind w:firstLine="480" w:firstLineChars="200"/>
        <w:rPr>
          <w:rFonts w:hint="eastAsia" w:ascii="宋体" w:cs="宋体"/>
          <w:bCs/>
          <w:color w:val="auto"/>
          <w:szCs w:val="21"/>
          <w:highlight w:val="none"/>
          <w:shd w:val="clear" w:color="auto" w:fill="auto"/>
        </w:rPr>
      </w:pPr>
    </w:p>
    <w:p>
      <w:pPr>
        <w:ind w:firstLine="480" w:firstLineChars="200"/>
        <w:rPr>
          <w:rFonts w:hint="eastAsia" w:ascii="宋体" w:cs="宋体"/>
          <w:bCs/>
          <w:color w:val="auto"/>
          <w:szCs w:val="21"/>
          <w:highlight w:val="none"/>
          <w:shd w:val="clear" w:color="auto" w:fill="auto"/>
        </w:rPr>
      </w:pPr>
      <w:r>
        <w:rPr>
          <w:rFonts w:hint="eastAsia" w:ascii="宋体" w:cs="宋体"/>
          <w:color w:val="auto"/>
          <w:szCs w:val="21"/>
          <w:highlight w:val="none"/>
          <w:shd w:val="clear" w:color="auto" w:fill="auto"/>
        </w:rPr>
        <w:t>乙方：</w:t>
      </w:r>
    </w:p>
    <w:p>
      <w:pPr>
        <w:ind w:firstLine="480" w:firstLineChars="200"/>
        <w:rPr>
          <w:rFonts w:hint="eastAsia" w:ascii="宋体" w:cs="宋体"/>
          <w:bCs/>
          <w:color w:val="auto"/>
          <w:szCs w:val="21"/>
          <w:highlight w:val="none"/>
          <w:shd w:val="clear" w:color="auto" w:fill="auto"/>
        </w:rPr>
      </w:pPr>
      <w:r>
        <w:rPr>
          <w:rFonts w:hint="eastAsia" w:ascii="宋体" w:cs="宋体"/>
          <w:color w:val="auto"/>
          <w:szCs w:val="21"/>
          <w:highlight w:val="none"/>
          <w:shd w:val="clear" w:color="auto" w:fill="auto"/>
        </w:rPr>
        <w:t>地址：</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联系人：</w:t>
      </w:r>
    </w:p>
    <w:p>
      <w:pPr>
        <w:ind w:firstLine="480" w:firstLineChars="200"/>
        <w:rPr>
          <w:rFonts w:hint="eastAsia" w:ascii="宋体" w:cs="宋体"/>
          <w:bCs/>
          <w:color w:val="auto"/>
          <w:szCs w:val="21"/>
          <w:highlight w:val="none"/>
          <w:shd w:val="clear" w:color="auto" w:fill="auto"/>
        </w:rPr>
      </w:pPr>
      <w:r>
        <w:rPr>
          <w:rFonts w:hint="eastAsia" w:ascii="宋体" w:cs="宋体"/>
          <w:color w:val="auto"/>
          <w:szCs w:val="21"/>
          <w:highlight w:val="none"/>
          <w:shd w:val="clear" w:color="auto" w:fill="auto"/>
        </w:rPr>
        <w:t>联系电话：</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传真：</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邮政编码:</w:t>
      </w:r>
    </w:p>
    <w:p>
      <w:pPr>
        <w:ind w:firstLine="480" w:firstLineChars="200"/>
        <w:rPr>
          <w:rFonts w:hint="eastAsia" w:ascii="宋体" w:cs="宋体"/>
          <w:color w:val="auto"/>
          <w:szCs w:val="21"/>
          <w:highlight w:val="none"/>
          <w:shd w:val="clear" w:color="auto" w:fill="auto"/>
        </w:rPr>
      </w:pPr>
    </w:p>
    <w:p>
      <w:pPr>
        <w:ind w:firstLine="480" w:firstLineChars="200"/>
        <w:rPr>
          <w:rFonts w:hint="eastAsia" w:ascii="宋体" w:cs="宋体"/>
          <w:color w:val="auto"/>
          <w:szCs w:val="21"/>
          <w:highlight w:val="none"/>
          <w:shd w:val="clear" w:color="auto" w:fill="auto"/>
        </w:rPr>
      </w:pP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兹由甲方委托乙方对甲方作为管理人管理的公募理财产品进行审计，经双方协商，达成如下约定：</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一、审计范围及内容</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1、本约定书审计范围为甲方委托乙方审计的甲方作为管理人发行的公募理财产品。</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2、审计内容包括单只理财产品的年度审计与清算审计。年度审计与清算审计的主要对象为单只理财产品的定期财务报告，审计过程应包含风险控制、系统操作、对手询证、估值评价、资产收益确认评估、财务数据审计、管理建议等环节。</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二、甲方的责任</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1、按照本约定书约定及时支付审计服务费。</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2、按规定编制财务报告。</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3、按约定提供审计需要的真实有效的有关记录、文件和信息。</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4、为乙方现场工作人员提供必要的工作条件和协助。</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三、乙方的责任</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1、根据甲方提供的材料实施审计工作，发表审计意见。</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2、</w:t>
      </w:r>
      <w:r>
        <w:rPr>
          <w:rFonts w:ascii="宋体" w:cs="宋体"/>
          <w:color w:val="auto"/>
          <w:szCs w:val="21"/>
          <w:highlight w:val="none"/>
          <w:shd w:val="clear" w:color="auto" w:fill="auto"/>
        </w:rPr>
        <w:t>自合同生效后____日内</w:t>
      </w:r>
      <w:r>
        <w:rPr>
          <w:rFonts w:hint="eastAsia" w:ascii="宋体" w:cs="宋体"/>
          <w:color w:val="auto"/>
          <w:szCs w:val="21"/>
          <w:highlight w:val="none"/>
          <w:shd w:val="clear" w:color="auto" w:fill="auto"/>
        </w:rPr>
        <w:t>完成审计工作，出具审计报告，并提交给甲方。</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3、对在进行审计工作过程中知悉的甲方所有材料和信息予以保密，保密义务不因本合同终止而终止。</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四、审计费用</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1、本约定书所涉及的审计费用按单只理财产品计算，各类理财产品的收费标准为：</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□开放式理财产品</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年末存续规模不超过20亿元（含）的开放式理财产品审计服务报价为     元/次·只</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年末存续规模超过20亿元（不含）的开放式理财产品审计服务报价为     元/次·只</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□封闭式理财产品</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实际募集规模不超过1亿元（含）的封闭式理财产品审计服务报价为     元/次·只</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实际募集规模超过1亿元（不含）的封闭式理财产品审计服务报价为     元/次·只</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2、审计服务费用包含了为完成所要求服务的全部费用，应包含但不限于完成项目所需的人工费、交通费、办公设施费、第三方软件费、税费等所有费用。供应商提交我行的发票必须是一般纳税人增值税专用发票。</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3、计费数量以甲方在本约定的有效期内委托乙方进行审计服务并完成审计的产品数量及次数汇总结算</w:t>
      </w:r>
      <w:r>
        <w:rPr>
          <w:rFonts w:ascii="宋体" w:cs="宋体"/>
          <w:color w:val="auto"/>
          <w:szCs w:val="21"/>
          <w:highlight w:val="none"/>
          <w:shd w:val="clear" w:color="auto" w:fill="auto"/>
        </w:rPr>
        <w:t>。待乙方</w:t>
      </w:r>
      <w:r>
        <w:rPr>
          <w:rFonts w:hint="eastAsia" w:ascii="宋体" w:cs="宋体"/>
          <w:color w:val="auto"/>
          <w:szCs w:val="21"/>
          <w:highlight w:val="none"/>
          <w:shd w:val="clear" w:color="auto" w:fill="auto"/>
        </w:rPr>
        <w:t>完成审计工作，出具审计报告，并提交给甲方</w:t>
      </w:r>
      <w:r>
        <w:rPr>
          <w:rFonts w:ascii="宋体" w:cs="宋体"/>
          <w:color w:val="auto"/>
          <w:szCs w:val="21"/>
          <w:highlight w:val="none"/>
          <w:shd w:val="clear" w:color="auto" w:fill="auto"/>
        </w:rPr>
        <w:t>后，</w:t>
      </w:r>
      <w:r>
        <w:rPr>
          <w:rFonts w:hint="eastAsia" w:ascii="宋体" w:cs="宋体"/>
          <w:color w:val="auto"/>
          <w:szCs w:val="21"/>
          <w:highlight w:val="none"/>
          <w:shd w:val="clear" w:color="auto" w:fill="auto"/>
        </w:rPr>
        <w:t>乙方开具相应</w:t>
      </w:r>
      <w:r>
        <w:rPr>
          <w:rFonts w:ascii="宋体" w:cs="宋体"/>
          <w:color w:val="auto"/>
          <w:szCs w:val="21"/>
          <w:highlight w:val="none"/>
          <w:shd w:val="clear" w:color="auto" w:fill="auto"/>
        </w:rPr>
        <w:t>的增值税专用</w:t>
      </w:r>
      <w:r>
        <w:rPr>
          <w:rFonts w:hint="eastAsia" w:ascii="宋体" w:cs="宋体"/>
          <w:color w:val="auto"/>
          <w:szCs w:val="21"/>
          <w:highlight w:val="none"/>
          <w:shd w:val="clear" w:color="auto" w:fill="auto"/>
        </w:rPr>
        <w:t>发票，甲方在收到乙方发票后   个工作日内支付审计费用。</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4、付款方式为转账。收款账户信息：</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户名：</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账号：</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开户行：</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支付行号：</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五、审计报告的使用</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1、乙方向甲方出具的审计报告一式    份，仅供甲方用于                 ，不得用于其它目的。</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2、甲方可使用或对外公布乙方出具的盖章版审计报告。</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六、有效期限</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本约定书自签署之日起生效，审计服务期限为自本约定书签署之日起的一个自然年度。但乙方对甲方在本约定书约定的审计服务期限内委托的审计事项不受服务期限的影响。</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七、约定事项的变更</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如果出现不可预见的情况，影响审计工作如期完成，或需要提前出具审计报告，经甲、乙双方友好协商解决。</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八、终止条款</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九、适用法律和争议解决</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本约定书的所有方面均应适用中华人民共和国法律进行解释并受其约束。因本约定书引起的或与本约定书有关的任何纠纷或争议，双方协商确定采取以下第    种方式予以解决：</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（1）向      人民法院提起诉讼；</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（2）提交      仲裁委员会仲裁。</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十、其他有关事项的约定</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1、乙方人员在甲方现场工作期间，应严格遵守甲方的相关规章管理制度以及遵从银行业相关监督法规，特别是有关信息科技风险制度和流程。</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2、未经甲方书面同意，乙方不得分包、转包或变相转包。</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3、乙方不得以重庆三峡银行的名义开展其他活动。</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4、本约定书一式肆份，甲方、乙方各执贰份，具有同等法律效力。</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甲方：重庆三峡银行股份有限公司（公章）</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法定代表人（或授权代理人）：</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签署日期：    年  月  日</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乙方：                   （公章）</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法定代表人（或授权代理人）：</w:t>
      </w:r>
    </w:p>
    <w:p>
      <w:pPr>
        <w:ind w:firstLine="480" w:firstLineChars="200"/>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签署日期：    年  月  日</w:t>
      </w:r>
    </w:p>
    <w:p>
      <w:pPr>
        <w:ind w:firstLine="480" w:firstLineChars="200"/>
        <w:rPr>
          <w:rFonts w:hint="eastAsia"/>
          <w:color w:val="auto"/>
          <w:highlight w:val="none"/>
        </w:rPr>
      </w:pPr>
      <w:r>
        <w:rPr>
          <w:rFonts w:hint="eastAsia" w:ascii="宋体" w:cs="宋体"/>
          <w:color w:val="auto"/>
          <w:szCs w:val="21"/>
          <w:highlight w:val="none"/>
          <w:shd w:val="clear" w:color="auto" w:fill="auto"/>
        </w:rPr>
        <w:t>（特别说明：合同范本中的各项条款未经法律审查，也未与乙方进行磋商，正式签署合同时将对各项条款进行增减和调整。）</w:t>
      </w:r>
      <w:r>
        <w:rPr>
          <w:rFonts w:hint="eastAsia"/>
          <w:color w:val="auto"/>
          <w:highlight w:val="none"/>
        </w:rPr>
        <w:br w:type="page"/>
      </w:r>
    </w:p>
    <w:p>
      <w:pPr>
        <w:pStyle w:val="3"/>
        <w:bidi w:val="0"/>
        <w:rPr>
          <w:color w:val="auto"/>
          <w:highlight w:val="none"/>
        </w:rPr>
      </w:pPr>
      <w:bookmarkStart w:id="300" w:name="_Toc7021"/>
      <w:bookmarkStart w:id="301" w:name="_Toc283"/>
      <w:bookmarkStart w:id="302" w:name="_Toc32767"/>
      <w:r>
        <w:rPr>
          <w:rFonts w:hint="eastAsia"/>
          <w:color w:val="auto"/>
          <w:highlight w:val="none"/>
        </w:rPr>
        <w:t>第</w:t>
      </w:r>
      <w:r>
        <w:rPr>
          <w:rFonts w:hint="eastAsia"/>
          <w:color w:val="auto"/>
          <w:highlight w:val="none"/>
          <w:lang w:val="en-US" w:eastAsia="zh-CN"/>
        </w:rPr>
        <w:t>六</w:t>
      </w:r>
      <w:r>
        <w:rPr>
          <w:rFonts w:hint="eastAsia"/>
          <w:color w:val="auto"/>
          <w:highlight w:val="none"/>
        </w:rPr>
        <w:t>章 参选文件</w:t>
      </w:r>
      <w:bookmarkEnd w:id="295"/>
      <w:bookmarkEnd w:id="296"/>
      <w:bookmarkStart w:id="303" w:name="_Toc303066035"/>
      <w:r>
        <w:rPr>
          <w:rFonts w:hint="eastAsia"/>
          <w:color w:val="auto"/>
          <w:highlight w:val="none"/>
        </w:rPr>
        <w:t>格式</w:t>
      </w:r>
      <w:bookmarkEnd w:id="300"/>
      <w:bookmarkEnd w:id="301"/>
      <w:bookmarkEnd w:id="302"/>
    </w:p>
    <w:bookmarkEnd w:id="303"/>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highlight w:val="none"/>
          <w:u w:val="single"/>
        </w:rPr>
      </w:pPr>
    </w:p>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eastAsia="宋体"/>
          <w:color w:val="auto"/>
          <w:kern w:val="0"/>
          <w:sz w:val="44"/>
          <w:highlight w:val="none"/>
          <w:u w:val="single"/>
          <w:lang w:val="en-US" w:eastAsia="zh-CN"/>
        </w:rPr>
      </w:pPr>
      <w:r>
        <w:rPr>
          <w:rFonts w:ascii="Times New Roman" w:hAnsi="Times New Roman" w:cs="Times New Roman"/>
          <w:b/>
          <w:snapToGrid w:val="0"/>
          <w:color w:val="auto"/>
          <w:kern w:val="0"/>
          <w:sz w:val="48"/>
          <w:szCs w:val="84"/>
          <w:highlight w:val="none"/>
          <w:u w:val="single"/>
          <w:lang w:val="en-US" w:eastAsia="zh-CN"/>
        </w:rPr>
        <w:t>理财产品外部审计</w:t>
      </w:r>
      <w:r>
        <w:rPr>
          <w:rFonts w:hint="eastAsia" w:ascii="Times New Roman" w:hAnsi="Times New Roman" w:cs="Times New Roman"/>
          <w:b/>
          <w:snapToGrid w:val="0"/>
          <w:color w:val="auto"/>
          <w:kern w:val="0"/>
          <w:sz w:val="48"/>
          <w:szCs w:val="84"/>
          <w:highlight w:val="none"/>
          <w:u w:val="single"/>
          <w:lang w:val="en-US" w:eastAsia="zh-CN"/>
        </w:rPr>
        <w:t>项目</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84"/>
          <w:highlight w:val="none"/>
        </w:rPr>
      </w:pPr>
      <w:r>
        <w:rPr>
          <w:rFonts w:hint="eastAsia" w:ascii="宋体"/>
          <w:b/>
          <w:color w:val="auto"/>
          <w:kern w:val="0"/>
          <w:sz w:val="84"/>
          <w:highlight w:val="none"/>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color w:val="auto"/>
          <w:kern w:val="0"/>
          <w:sz w:val="16"/>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分支机构负责人其委托代理人：</w:t>
      </w:r>
      <w:r>
        <w:rPr>
          <w:rFonts w:hint="eastAsia"/>
          <w:color w:val="auto"/>
          <w:highlight w:val="none"/>
          <w:u w:val="single"/>
          <w:lang w:val="en-US" w:eastAsia="zh-CN"/>
        </w:rPr>
        <w:t xml:space="preserve">              </w:t>
      </w:r>
      <w:r>
        <w:rPr>
          <w:rFonts w:hint="eastAsia"/>
          <w:color w:val="auto"/>
          <w:highlight w:val="none"/>
        </w:rPr>
        <w:t>（签字）</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firstLine="0" w:firstLineChars="0"/>
        <w:jc w:val="center"/>
        <w:textAlignment w:val="auto"/>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br w:type="page"/>
      </w:r>
      <w:r>
        <w:rPr>
          <w:rFonts w:hint="eastAsia" w:ascii="宋体"/>
          <w:b/>
          <w:snapToGrid w:val="0"/>
          <w:color w:val="auto"/>
          <w:kern w:val="0"/>
          <w:sz w:val="36"/>
          <w:szCs w:val="28"/>
          <w:highlight w:val="none"/>
        </w:rPr>
        <w:t>目  录</w:t>
      </w:r>
    </w:p>
    <w:p>
      <w:pPr>
        <w:bidi w:val="0"/>
        <w:rPr>
          <w:color w:val="auto"/>
          <w:highlight w:val="none"/>
        </w:rPr>
      </w:pPr>
      <w:r>
        <w:rPr>
          <w:rFonts w:hint="eastAsia"/>
          <w:color w:val="auto"/>
          <w:highlight w:val="none"/>
          <w:lang w:val="en-US" w:eastAsia="zh-CN"/>
        </w:rPr>
        <w:t>一、</w:t>
      </w:r>
      <w:r>
        <w:rPr>
          <w:rFonts w:hint="eastAsia"/>
          <w:color w:val="auto"/>
          <w:highlight w:val="none"/>
        </w:rPr>
        <w:t>参选函</w:t>
      </w:r>
    </w:p>
    <w:p>
      <w:pPr>
        <w:bidi w:val="0"/>
        <w:rPr>
          <w:color w:val="auto"/>
          <w:highlight w:val="none"/>
        </w:rPr>
      </w:pPr>
      <w:r>
        <w:rPr>
          <w:rFonts w:hint="eastAsia"/>
          <w:color w:val="auto"/>
          <w:highlight w:val="none"/>
          <w:lang w:val="en-US" w:eastAsia="zh-CN"/>
        </w:rPr>
        <w:t>二、</w:t>
      </w:r>
      <w:r>
        <w:rPr>
          <w:rFonts w:hint="eastAsia"/>
          <w:color w:val="auto"/>
          <w:highlight w:val="none"/>
        </w:rPr>
        <w:t>报价明细表</w:t>
      </w:r>
    </w:p>
    <w:p>
      <w:pPr>
        <w:bidi w:val="0"/>
        <w:ind w:left="1200" w:hanging="720" w:firstLineChars="0"/>
        <w:rPr>
          <w:color w:val="auto"/>
          <w:highlight w:val="none"/>
        </w:rPr>
      </w:pPr>
      <w:r>
        <w:rPr>
          <w:rFonts w:ascii="Cambria Math" w:hAnsi="Cambria Math" w:eastAsia="宋体" w:cs="Cambria Math"/>
          <w:color w:val="auto"/>
          <w:kern w:val="2"/>
          <w:sz w:val="24"/>
          <w:szCs w:val="20"/>
          <w:highlight w:val="none"/>
          <w:lang w:val="en-US" w:eastAsia="zh-CN" w:bidi="ar-SA"/>
        </w:rPr>
        <w:t>（一）</w:t>
      </w:r>
      <w:r>
        <w:rPr>
          <w:rFonts w:hint="eastAsia"/>
          <w:color w:val="auto"/>
          <w:highlight w:val="none"/>
          <w:lang w:val="en-US" w:eastAsia="zh-CN"/>
        </w:rPr>
        <w:t>第一档次</w:t>
      </w:r>
      <w:r>
        <w:rPr>
          <w:color w:val="auto"/>
          <w:highlight w:val="none"/>
        </w:rPr>
        <w:t>理财产品报价明细</w:t>
      </w:r>
    </w:p>
    <w:p>
      <w:pPr>
        <w:bidi w:val="0"/>
        <w:ind w:left="1200" w:hanging="720" w:firstLineChars="0"/>
        <w:rPr>
          <w:color w:val="auto"/>
          <w:highlight w:val="none"/>
        </w:rPr>
      </w:pPr>
      <w:r>
        <w:rPr>
          <w:rFonts w:ascii="Cambria Math" w:hAnsi="Cambria Math" w:eastAsia="宋体" w:cs="Cambria Math"/>
          <w:color w:val="auto"/>
          <w:kern w:val="2"/>
          <w:sz w:val="24"/>
          <w:szCs w:val="20"/>
          <w:highlight w:val="none"/>
          <w:lang w:val="en-US" w:eastAsia="zh-CN" w:bidi="ar-SA"/>
        </w:rPr>
        <w:t>（二）</w:t>
      </w:r>
      <w:r>
        <w:rPr>
          <w:rFonts w:hint="eastAsia"/>
          <w:color w:val="auto"/>
          <w:highlight w:val="none"/>
          <w:lang w:val="en-US" w:eastAsia="zh-CN"/>
        </w:rPr>
        <w:t>第二档次</w:t>
      </w:r>
      <w:r>
        <w:rPr>
          <w:color w:val="auto"/>
          <w:highlight w:val="none"/>
        </w:rPr>
        <w:t>理财产品报价明细</w:t>
      </w:r>
    </w:p>
    <w:p>
      <w:pPr>
        <w:bidi w:val="0"/>
        <w:rPr>
          <w:color w:val="auto"/>
          <w:highlight w:val="none"/>
          <w:lang w:val="en-US" w:eastAsia="zh-CN"/>
        </w:rPr>
      </w:pPr>
      <w:r>
        <w:rPr>
          <w:rFonts w:hint="eastAsia"/>
          <w:color w:val="auto"/>
          <w:highlight w:val="none"/>
          <w:lang w:val="en-US" w:eastAsia="zh-CN"/>
        </w:rPr>
        <w:t>三、资格性文件</w:t>
      </w:r>
    </w:p>
    <w:p>
      <w:pPr>
        <w:bidi w:val="0"/>
        <w:rPr>
          <w:color w:val="auto"/>
          <w:highlight w:val="none"/>
        </w:rPr>
      </w:pPr>
      <w:r>
        <w:rPr>
          <w:color w:val="auto"/>
          <w:highlight w:val="none"/>
          <w:lang w:eastAsia="zh-CN"/>
        </w:rPr>
        <w:t>（</w:t>
      </w:r>
      <w:r>
        <w:rPr>
          <w:color w:val="auto"/>
          <w:highlight w:val="none"/>
          <w:lang w:val="en-US" w:eastAsia="zh-CN"/>
        </w:rPr>
        <w:t>一</w:t>
      </w:r>
      <w:r>
        <w:rPr>
          <w:color w:val="auto"/>
          <w:highlight w:val="none"/>
          <w:lang w:eastAsia="zh-CN"/>
        </w:rPr>
        <w:t>）</w:t>
      </w:r>
      <w:r>
        <w:rPr>
          <w:color w:val="auto"/>
          <w:highlight w:val="none"/>
        </w:rPr>
        <w:t>参选人基本情况介绍，资质证明等</w:t>
      </w:r>
    </w:p>
    <w:p>
      <w:pPr>
        <w:bidi w:val="0"/>
        <w:rPr>
          <w:color w:val="auto"/>
          <w:highlight w:val="none"/>
        </w:rPr>
      </w:pPr>
      <w:r>
        <w:rPr>
          <w:color w:val="auto"/>
          <w:highlight w:val="none"/>
          <w:lang w:eastAsia="zh-CN"/>
        </w:rPr>
        <w:t>（</w:t>
      </w:r>
      <w:r>
        <w:rPr>
          <w:color w:val="auto"/>
          <w:highlight w:val="none"/>
          <w:lang w:val="en-US" w:eastAsia="zh-CN"/>
        </w:rPr>
        <w:t>二</w:t>
      </w:r>
      <w:r>
        <w:rPr>
          <w:color w:val="auto"/>
          <w:highlight w:val="none"/>
          <w:lang w:eastAsia="zh-CN"/>
        </w:rPr>
        <w:t>）</w:t>
      </w:r>
      <w:r>
        <w:rPr>
          <w:color w:val="auto"/>
          <w:highlight w:val="none"/>
        </w:rPr>
        <w:t>法定代表人身份证明及授权委托书</w:t>
      </w:r>
    </w:p>
    <w:p>
      <w:pPr>
        <w:bidi w:val="0"/>
        <w:rPr>
          <w:color w:val="auto"/>
          <w:highlight w:val="none"/>
        </w:rPr>
      </w:pPr>
      <w:r>
        <w:rPr>
          <w:rFonts w:hint="eastAsia"/>
          <w:color w:val="auto"/>
          <w:highlight w:val="none"/>
          <w:lang w:val="en-US" w:eastAsia="zh-CN"/>
        </w:rPr>
        <w:t>（三）</w:t>
      </w:r>
      <w:r>
        <w:rPr>
          <w:rFonts w:hint="eastAsia"/>
          <w:color w:val="auto"/>
          <w:highlight w:val="none"/>
        </w:rPr>
        <w:t>书面声明</w:t>
      </w:r>
    </w:p>
    <w:p>
      <w:pPr>
        <w:bidi w:val="0"/>
        <w:rPr>
          <w:color w:val="auto"/>
          <w:highlight w:val="none"/>
        </w:rPr>
      </w:pPr>
      <w:r>
        <w:rPr>
          <w:color w:val="auto"/>
          <w:highlight w:val="none"/>
        </w:rPr>
        <w:t>（</w:t>
      </w:r>
      <w:r>
        <w:rPr>
          <w:rFonts w:hint="eastAsia"/>
          <w:color w:val="auto"/>
          <w:highlight w:val="none"/>
          <w:lang w:val="en-US" w:eastAsia="zh-CN"/>
        </w:rPr>
        <w:t>四</w:t>
      </w:r>
      <w:r>
        <w:rPr>
          <w:color w:val="auto"/>
          <w:highlight w:val="none"/>
        </w:rPr>
        <w:t>）中国执行信息公开网截图</w:t>
      </w:r>
    </w:p>
    <w:p>
      <w:pPr>
        <w:bidi w:val="0"/>
        <w:rPr>
          <w:color w:val="auto"/>
          <w:highlight w:val="none"/>
          <w:lang w:val="en-US" w:eastAsia="zh-CN"/>
        </w:rPr>
      </w:pPr>
      <w:r>
        <w:rPr>
          <w:rFonts w:hint="eastAsia"/>
          <w:color w:val="auto"/>
          <w:highlight w:val="none"/>
          <w:lang w:val="zh-CN"/>
        </w:rPr>
        <w:t>（</w:t>
      </w:r>
      <w:r>
        <w:rPr>
          <w:rFonts w:hint="eastAsia"/>
          <w:color w:val="auto"/>
          <w:highlight w:val="none"/>
          <w:lang w:val="en-US" w:eastAsia="zh-CN"/>
        </w:rPr>
        <w:t>五</w:t>
      </w:r>
      <w:r>
        <w:rPr>
          <w:rFonts w:hint="eastAsia"/>
          <w:color w:val="auto"/>
          <w:highlight w:val="none"/>
          <w:lang w:val="zh-CN"/>
        </w:rPr>
        <w:t>）项目案例</w:t>
      </w:r>
      <w:r>
        <w:rPr>
          <w:rFonts w:hint="eastAsia"/>
          <w:color w:val="auto"/>
          <w:highlight w:val="none"/>
          <w:lang w:val="en-US" w:eastAsia="zh-CN"/>
        </w:rPr>
        <w:t>和业绩证明文件复印件</w:t>
      </w:r>
    </w:p>
    <w:p>
      <w:pPr>
        <w:bidi w:val="0"/>
        <w:rPr>
          <w:rFonts w:hint="eastAsia"/>
          <w:color w:val="auto"/>
          <w:highlight w:val="none"/>
          <w:lang w:val="en-US" w:eastAsia="zh-CN"/>
        </w:rPr>
      </w:pPr>
      <w:r>
        <w:rPr>
          <w:rFonts w:hint="eastAsia"/>
          <w:color w:val="auto"/>
          <w:highlight w:val="none"/>
          <w:lang w:val="en-US" w:eastAsia="zh-CN"/>
        </w:rPr>
        <w:t>四、响应性文件</w:t>
      </w:r>
    </w:p>
    <w:p>
      <w:pPr>
        <w:bidi w:val="0"/>
        <w:rPr>
          <w:rFonts w:hint="eastAsia"/>
          <w:color w:val="auto"/>
          <w:highlight w:val="none"/>
          <w:lang w:val="en-US" w:eastAsia="zh-CN"/>
        </w:rPr>
      </w:pPr>
      <w:r>
        <w:rPr>
          <w:rFonts w:hint="eastAsia"/>
          <w:color w:val="auto"/>
          <w:highlight w:val="none"/>
          <w:lang w:val="en-US" w:eastAsia="zh-CN"/>
        </w:rPr>
        <w:t>（一）响应承诺函</w:t>
      </w:r>
    </w:p>
    <w:p>
      <w:pPr>
        <w:bidi w:val="0"/>
        <w:rPr>
          <w:rFonts w:hint="eastAsia"/>
          <w:color w:val="auto"/>
          <w:highlight w:val="none"/>
          <w:lang w:val="en-US" w:eastAsia="zh-CN"/>
        </w:rPr>
      </w:pPr>
      <w:r>
        <w:rPr>
          <w:rFonts w:hint="eastAsia"/>
          <w:color w:val="auto"/>
          <w:highlight w:val="none"/>
          <w:lang w:val="en-US" w:eastAsia="zh-CN"/>
        </w:rPr>
        <w:t>（二）服务连续性预案</w:t>
      </w:r>
    </w:p>
    <w:p>
      <w:pPr>
        <w:bidi w:val="0"/>
        <w:rPr>
          <w:rFonts w:hint="eastAsia"/>
          <w:color w:val="auto"/>
          <w:highlight w:val="none"/>
          <w:lang w:val="en-US" w:eastAsia="zh-CN"/>
        </w:rPr>
      </w:pPr>
      <w:r>
        <w:rPr>
          <w:rFonts w:hint="eastAsia"/>
          <w:color w:val="auto"/>
          <w:highlight w:val="none"/>
          <w:lang w:val="en-US" w:eastAsia="zh-CN"/>
        </w:rPr>
        <w:t>（三）项目实施方案</w:t>
      </w:r>
    </w:p>
    <w:p>
      <w:pPr>
        <w:bidi w:val="0"/>
        <w:rPr>
          <w:color w:val="auto"/>
          <w:highlight w:val="none"/>
        </w:rPr>
      </w:pPr>
      <w:r>
        <w:rPr>
          <w:rFonts w:hint="eastAsia"/>
          <w:color w:val="auto"/>
          <w:highlight w:val="none"/>
          <w:lang w:val="en-US" w:eastAsia="zh-CN"/>
        </w:rPr>
        <w:t>五、</w:t>
      </w:r>
      <w:r>
        <w:rPr>
          <w:rFonts w:hint="eastAsia"/>
          <w:color w:val="auto"/>
          <w:highlight w:val="none"/>
        </w:rPr>
        <w:t>参选保证金</w:t>
      </w:r>
    </w:p>
    <w:p>
      <w:pPr>
        <w:rPr>
          <w:rFonts w:hint="eastAsia"/>
          <w:color w:val="auto"/>
          <w:highlight w:val="none"/>
        </w:rPr>
      </w:pPr>
      <w:r>
        <w:rPr>
          <w:rFonts w:hint="eastAsia"/>
          <w:color w:val="auto"/>
          <w:highlight w:val="none"/>
          <w:lang w:val="en-US" w:eastAsia="zh-CN"/>
        </w:rPr>
        <w:t>六、职业记录相关资料</w:t>
      </w:r>
    </w:p>
    <w:p>
      <w:pPr>
        <w:bidi w:val="0"/>
        <w:rPr>
          <w:rFonts w:hint="eastAsia"/>
          <w:color w:val="auto"/>
          <w:highlight w:val="none"/>
        </w:rPr>
      </w:pPr>
      <w:r>
        <w:rPr>
          <w:color w:val="auto"/>
          <w:highlight w:val="none"/>
          <w:lang w:val="en-US" w:eastAsia="zh-CN"/>
        </w:rPr>
        <w:t>七</w:t>
      </w:r>
      <w:r>
        <w:rPr>
          <w:rFonts w:hint="eastAsia"/>
          <w:color w:val="auto"/>
          <w:highlight w:val="none"/>
          <w:lang w:val="en-US" w:eastAsia="zh-CN"/>
        </w:rPr>
        <w:t>、</w:t>
      </w:r>
      <w:r>
        <w:rPr>
          <w:rFonts w:hint="eastAsia" w:ascii="Cambria Math" w:hAnsi="Cambria Math"/>
          <w:color w:val="auto"/>
          <w:szCs w:val="20"/>
          <w:highlight w:val="none"/>
        </w:rPr>
        <w:t>人员素质</w:t>
      </w:r>
      <w:r>
        <w:rPr>
          <w:rFonts w:hint="eastAsia"/>
          <w:color w:val="auto"/>
          <w:highlight w:val="none"/>
          <w:lang w:val="en-US" w:eastAsia="zh-CN"/>
        </w:rPr>
        <w:t>相关资料</w:t>
      </w:r>
    </w:p>
    <w:p>
      <w:pPr>
        <w:bidi w:val="0"/>
        <w:rPr>
          <w:rFonts w:hint="eastAsia"/>
          <w:color w:val="auto"/>
          <w:highlight w:val="none"/>
          <w:lang w:val="en-US" w:eastAsia="zh-CN"/>
        </w:rPr>
      </w:pPr>
      <w:r>
        <w:rPr>
          <w:color w:val="auto"/>
          <w:highlight w:val="none"/>
          <w:lang w:val="en-US" w:eastAsia="zh-CN"/>
        </w:rPr>
        <w:t>八</w:t>
      </w:r>
      <w:r>
        <w:rPr>
          <w:rFonts w:hint="eastAsia"/>
          <w:color w:val="auto"/>
          <w:highlight w:val="none"/>
          <w:lang w:val="en-US" w:eastAsia="zh-CN"/>
        </w:rPr>
        <w:t>、</w:t>
      </w:r>
      <w:r>
        <w:rPr>
          <w:rFonts w:hint="eastAsia" w:ascii="Cambria Math" w:hAnsi="Cambria Math"/>
          <w:color w:val="auto"/>
          <w:szCs w:val="20"/>
          <w:highlight w:val="none"/>
        </w:rPr>
        <w:t>项目主要负责人情况</w:t>
      </w:r>
      <w:r>
        <w:rPr>
          <w:rFonts w:hint="eastAsia"/>
          <w:color w:val="auto"/>
          <w:highlight w:val="none"/>
          <w:lang w:val="en-US" w:eastAsia="zh-CN"/>
        </w:rPr>
        <w:t>相关资料</w:t>
      </w:r>
    </w:p>
    <w:p>
      <w:pPr>
        <w:rPr>
          <w:rFonts w:hint="eastAsia"/>
          <w:color w:val="auto"/>
          <w:highlight w:val="none"/>
          <w:lang w:val="en-US" w:eastAsia="zh-CN"/>
        </w:rPr>
      </w:pPr>
      <w:r>
        <w:rPr>
          <w:rFonts w:hint="eastAsia"/>
          <w:color w:val="auto"/>
          <w:szCs w:val="20"/>
          <w:highlight w:val="none"/>
          <w:lang w:val="en-US" w:eastAsia="zh-CN"/>
        </w:rPr>
        <w:t>九、</w:t>
      </w:r>
      <w:r>
        <w:rPr>
          <w:rFonts w:hint="eastAsia" w:ascii="Cambria Math" w:hAnsi="Cambria Math"/>
          <w:color w:val="auto"/>
          <w:szCs w:val="20"/>
          <w:highlight w:val="none"/>
        </w:rPr>
        <w:t>核心成员情况</w:t>
      </w:r>
      <w:r>
        <w:rPr>
          <w:rFonts w:hint="eastAsia"/>
          <w:color w:val="auto"/>
          <w:highlight w:val="none"/>
          <w:lang w:val="en-US" w:eastAsia="zh-CN"/>
        </w:rPr>
        <w:t>相关资料</w:t>
      </w:r>
    </w:p>
    <w:p>
      <w:pPr>
        <w:rPr>
          <w:rFonts w:hint="eastAsia"/>
          <w:color w:val="auto"/>
          <w:highlight w:val="none"/>
          <w:lang w:val="en-US" w:eastAsia="zh-CN"/>
        </w:rPr>
      </w:pPr>
      <w:r>
        <w:rPr>
          <w:rFonts w:hint="eastAsia"/>
          <w:color w:val="auto"/>
          <w:szCs w:val="20"/>
          <w:highlight w:val="none"/>
          <w:lang w:val="en-US" w:eastAsia="zh-CN"/>
        </w:rPr>
        <w:t>十、</w:t>
      </w:r>
      <w:r>
        <w:rPr>
          <w:rFonts w:hint="eastAsia" w:ascii="Cambria Math" w:hAnsi="Cambria Math"/>
          <w:color w:val="auto"/>
          <w:szCs w:val="20"/>
          <w:highlight w:val="none"/>
        </w:rPr>
        <w:t>现场非核心成员情况</w:t>
      </w:r>
      <w:r>
        <w:rPr>
          <w:rFonts w:hint="eastAsia"/>
          <w:color w:val="auto"/>
          <w:highlight w:val="none"/>
          <w:lang w:val="en-US" w:eastAsia="zh-CN"/>
        </w:rPr>
        <w:t>相关资料</w:t>
      </w:r>
    </w:p>
    <w:p>
      <w:pPr>
        <w:rPr>
          <w:rFonts w:hint="eastAsia" w:ascii="Cambria Math" w:hAnsi="Cambria Math"/>
          <w:color w:val="auto"/>
          <w:szCs w:val="20"/>
          <w:highlight w:val="none"/>
        </w:rPr>
      </w:pPr>
      <w:r>
        <w:rPr>
          <w:rFonts w:hint="eastAsia"/>
          <w:color w:val="auto"/>
          <w:szCs w:val="20"/>
          <w:highlight w:val="none"/>
          <w:lang w:val="en-US" w:eastAsia="zh-CN"/>
        </w:rPr>
        <w:t>十一、</w:t>
      </w:r>
      <w:r>
        <w:rPr>
          <w:rFonts w:hint="eastAsia" w:ascii="Cambria Math" w:hAnsi="Cambria Math"/>
          <w:color w:val="auto"/>
          <w:szCs w:val="20"/>
          <w:highlight w:val="none"/>
          <w:lang w:val="en-US" w:eastAsia="zh-CN"/>
        </w:rPr>
        <w:t>审计服务</w:t>
      </w:r>
      <w:r>
        <w:rPr>
          <w:rFonts w:hint="eastAsia" w:ascii="Cambria Math" w:hAnsi="Cambria Math"/>
          <w:color w:val="auto"/>
          <w:szCs w:val="20"/>
          <w:highlight w:val="none"/>
        </w:rPr>
        <w:t>工作方案</w:t>
      </w:r>
    </w:p>
    <w:p>
      <w:pPr>
        <w:rPr>
          <w:rFonts w:hint="eastAsia"/>
          <w:color w:val="auto"/>
          <w:highlight w:val="none"/>
          <w:lang w:val="en-US" w:eastAsia="zh-CN"/>
        </w:rPr>
      </w:pPr>
      <w:r>
        <w:rPr>
          <w:rFonts w:hint="eastAsia"/>
          <w:color w:val="auto"/>
          <w:szCs w:val="20"/>
          <w:highlight w:val="none"/>
          <w:lang w:val="en-US" w:eastAsia="zh-CN"/>
        </w:rPr>
        <w:t>十二、</w:t>
      </w:r>
      <w:r>
        <w:rPr>
          <w:rFonts w:hint="eastAsia" w:ascii="Cambria Math" w:hAnsi="Cambria Math"/>
          <w:color w:val="auto"/>
          <w:szCs w:val="20"/>
          <w:highlight w:val="none"/>
        </w:rPr>
        <w:t>行业业务经验</w:t>
      </w:r>
      <w:r>
        <w:rPr>
          <w:rFonts w:hint="eastAsia"/>
          <w:color w:val="auto"/>
          <w:highlight w:val="none"/>
          <w:lang w:val="en-US" w:eastAsia="zh-CN"/>
        </w:rPr>
        <w:t>相关资料</w:t>
      </w:r>
    </w:p>
    <w:p>
      <w:pPr>
        <w:rPr>
          <w:color w:val="auto"/>
          <w:highlight w:val="none"/>
          <w:lang w:val="en-US" w:eastAsia="zh-CN"/>
        </w:rPr>
      </w:pPr>
      <w:r>
        <w:rPr>
          <w:rFonts w:hint="eastAsia"/>
          <w:color w:val="auto"/>
          <w:szCs w:val="20"/>
          <w:highlight w:val="none"/>
          <w:lang w:val="en-US" w:eastAsia="zh-CN"/>
        </w:rPr>
        <w:t>十三、</w:t>
      </w:r>
      <w:r>
        <w:rPr>
          <w:rFonts w:hint="eastAsia" w:ascii="Cambria Math" w:hAnsi="Cambria Math"/>
          <w:color w:val="auto"/>
          <w:szCs w:val="20"/>
          <w:highlight w:val="none"/>
        </w:rPr>
        <w:t>专业业务经验</w:t>
      </w:r>
      <w:r>
        <w:rPr>
          <w:rFonts w:hint="eastAsia"/>
          <w:color w:val="auto"/>
          <w:highlight w:val="none"/>
          <w:lang w:val="en-US" w:eastAsia="zh-CN"/>
        </w:rPr>
        <w:t>相关资料</w:t>
      </w:r>
    </w:p>
    <w:p>
      <w:pPr>
        <w:bidi w:val="0"/>
        <w:rPr>
          <w:rFonts w:hint="eastAsia"/>
          <w:color w:val="auto"/>
          <w:highlight w:val="none"/>
          <w:lang w:val="en-US" w:eastAsia="zh-CN"/>
        </w:rPr>
      </w:pPr>
      <w:r>
        <w:rPr>
          <w:rFonts w:hint="eastAsia"/>
          <w:color w:val="auto"/>
          <w:highlight w:val="none"/>
          <w:lang w:val="en-US" w:eastAsia="zh-CN"/>
        </w:rPr>
        <w:t>十四、其他（如有）</w:t>
      </w:r>
    </w:p>
    <w:p>
      <w:pPr>
        <w:snapToGrid/>
        <w:spacing w:line="360" w:lineRule="auto"/>
        <w:rPr>
          <w:rFonts w:hint="eastAsia" w:ascii="宋体" w:eastAsia="宋体" w:cs="宋体"/>
          <w:color w:val="auto"/>
          <w:highlight w:val="none"/>
        </w:rPr>
      </w:pPr>
    </w:p>
    <w:p>
      <w:pPr>
        <w:snapToGrid/>
        <w:spacing w:line="360" w:lineRule="auto"/>
        <w:rPr>
          <w:rFonts w:hint="eastAsia" w:ascii="宋体" w:eastAsia="宋体" w:cs="宋体"/>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1"/>
        <w:rPr>
          <w:rStyle w:val="21"/>
          <w:color w:val="auto"/>
          <w:highlight w:val="none"/>
        </w:rPr>
      </w:pPr>
      <w:r>
        <w:rPr>
          <w:rFonts w:hint="eastAsia" w:ascii="宋体" w:eastAsia="宋体" w:cs="宋体"/>
          <w:color w:val="auto"/>
          <w:highlight w:val="none"/>
        </w:rPr>
        <w:br w:type="page"/>
      </w:r>
      <w:r>
        <w:rPr>
          <w:rStyle w:val="21"/>
          <w:rFonts w:hint="eastAsia"/>
          <w:color w:val="auto"/>
          <w:highlight w:val="none"/>
          <w:lang w:val="en-US" w:eastAsia="zh-CN"/>
        </w:rPr>
        <w:t>一、</w:t>
      </w:r>
      <w:r>
        <w:rPr>
          <w:rStyle w:val="21"/>
          <w:rFonts w:hint="eastAsia"/>
          <w:color w:val="auto"/>
          <w:highlight w:val="none"/>
        </w:rPr>
        <w:t>参选函</w:t>
      </w:r>
    </w:p>
    <w:p>
      <w:pPr>
        <w:tabs>
          <w:tab w:val="left" w:pos="6300"/>
        </w:tabs>
        <w:snapToGrid w:val="0"/>
        <w:spacing w:line="360" w:lineRule="auto"/>
        <w:ind w:right="-34" w:rightChars="-14"/>
        <w:rPr>
          <w:rFonts w:ascii="宋体"/>
          <w:snapToGrid w:val="0"/>
          <w:color w:val="auto"/>
          <w:kern w:val="0"/>
          <w:sz w:val="24"/>
          <w:szCs w:val="24"/>
          <w:highlight w:val="none"/>
          <w:u w:val="single"/>
        </w:rPr>
      </w:pP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u w:val="single"/>
        </w:rPr>
        <w:t>重庆三峡银行股份有限公司</w:t>
      </w:r>
      <w:r>
        <w:rPr>
          <w:rFonts w:hint="eastAsia" w:ascii="宋体"/>
          <w:snapToGrid w:val="0"/>
          <w:color w:val="auto"/>
          <w:kern w:val="0"/>
          <w:sz w:val="24"/>
          <w:szCs w:val="24"/>
          <w:highlight w:val="none"/>
        </w:rPr>
        <w:t>：</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我方收到</w:t>
      </w:r>
      <w:r>
        <w:rPr>
          <w:rFonts w:hint="eastAsia" w:ascii="宋体"/>
          <w:snapToGrid w:val="0"/>
          <w:color w:val="auto"/>
          <w:kern w:val="0"/>
          <w:sz w:val="24"/>
          <w:szCs w:val="24"/>
          <w:highlight w:val="none"/>
          <w:u w:val="none"/>
        </w:rPr>
        <w:t>___________________</w:t>
      </w:r>
      <w:r>
        <w:rPr>
          <w:rFonts w:hint="eastAsia" w:ascii="宋体"/>
          <w:snapToGrid w:val="0"/>
          <w:color w:val="auto"/>
          <w:kern w:val="0"/>
          <w:sz w:val="24"/>
          <w:szCs w:val="24"/>
          <w:highlight w:val="none"/>
        </w:rPr>
        <w:t>比选文件，经详细研究，决定参加该比选项目的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w:t>
      </w:r>
    </w:p>
    <w:p>
      <w:pPr>
        <w:tabs>
          <w:tab w:val="left" w:pos="6300"/>
        </w:tabs>
        <w:autoSpaceDE w:val="0"/>
        <w:autoSpaceDN w:val="0"/>
        <w:snapToGrid w:val="0"/>
        <w:spacing w:line="360" w:lineRule="auto"/>
        <w:ind w:left="0" w:right="-34" w:rightChars="-14" w:firstLine="573" w:firstLineChars="0"/>
        <w:rPr>
          <w:rFonts w:hint="eastAsia" w:ascii="宋体"/>
          <w:snapToGrid w:val="0"/>
          <w:color w:val="auto"/>
          <w:kern w:val="0"/>
          <w:sz w:val="24"/>
          <w:szCs w:val="24"/>
          <w:highlight w:val="none"/>
          <w:u w:val="single"/>
        </w:rPr>
      </w:pPr>
      <w:r>
        <w:rPr>
          <w:rFonts w:hint="eastAsia" w:ascii="宋体" w:eastAsia="宋体" w:cs="Cambria Math"/>
          <w:snapToGrid w:val="0"/>
          <w:color w:val="auto"/>
          <w:kern w:val="0"/>
          <w:sz w:val="24"/>
          <w:szCs w:val="24"/>
          <w:highlight w:val="none"/>
          <w:lang w:val="en-US" w:eastAsia="zh-CN" w:bidi="ar-SA"/>
        </w:rPr>
        <w:t>1、</w:t>
      </w:r>
      <w:r>
        <w:rPr>
          <w:rFonts w:hint="eastAsia" w:ascii="宋体"/>
          <w:snapToGrid w:val="0"/>
          <w:color w:val="auto"/>
          <w:kern w:val="0"/>
          <w:sz w:val="24"/>
          <w:szCs w:val="24"/>
          <w:highlight w:val="none"/>
        </w:rPr>
        <w:t>愿意按照比选文件中的一切要求，以人民币小写：</w:t>
      </w:r>
      <w:r>
        <w:rPr>
          <w:rFonts w:hint="eastAsia" w:ascii="宋体"/>
          <w:snapToGrid w:val="0"/>
          <w:color w:val="auto"/>
          <w:kern w:val="0"/>
          <w:sz w:val="24"/>
          <w:szCs w:val="24"/>
          <w:highlight w:val="none"/>
          <w:u w:val="single"/>
          <w:lang w:val="en-US" w:eastAsia="zh-CN"/>
        </w:rPr>
        <w:t xml:space="preserve">          </w:t>
      </w:r>
      <w:r>
        <w:rPr>
          <w:rFonts w:hint="eastAsia" w:ascii="宋体"/>
          <w:snapToGrid w:val="0"/>
          <w:color w:val="auto"/>
          <w:kern w:val="0"/>
          <w:sz w:val="24"/>
          <w:szCs w:val="24"/>
          <w:highlight w:val="none"/>
        </w:rPr>
        <w:t>，人民币大写：</w:t>
      </w:r>
      <w:r>
        <w:rPr>
          <w:rFonts w:hint="eastAsia" w:ascii="宋体"/>
          <w:snapToGrid w:val="0"/>
          <w:color w:val="auto"/>
          <w:kern w:val="0"/>
          <w:sz w:val="24"/>
          <w:szCs w:val="24"/>
          <w:highlight w:val="none"/>
          <w:u w:val="single"/>
          <w:lang w:val="en-US" w:eastAsia="zh-CN"/>
        </w:rPr>
        <w:t xml:space="preserve">          </w:t>
      </w:r>
      <w:r>
        <w:rPr>
          <w:rFonts w:hint="eastAsia" w:ascii="宋体"/>
          <w:snapToGrid w:val="0"/>
          <w:color w:val="auto"/>
          <w:kern w:val="0"/>
          <w:sz w:val="24"/>
          <w:szCs w:val="24"/>
          <w:highlight w:val="none"/>
        </w:rPr>
        <w:t>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总价</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lang w:val="en-US" w:eastAsia="zh-CN"/>
        </w:rPr>
        <w:t>含税</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承担和完成本项目。</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2、我方现提交的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文件为：</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文件正本一份，副本一份，电子文件一份。</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3、如果我方</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文件被接受，我方将履行比选文件中规定的各项要求，按相关法律法规和合同约定条款承担我方的责任。</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4、我方愿意提供比选文件中要求的所有资料，并对其真实性负责。</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5、我方理解最低价格不是中选的唯一条件。</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6、</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有效期为</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截止日期后90天内。</w:t>
      </w:r>
    </w:p>
    <w:p>
      <w:pPr>
        <w:tabs>
          <w:tab w:val="left" w:pos="6300"/>
        </w:tabs>
        <w:autoSpaceDE w:val="0"/>
        <w:autoSpaceDN w:val="0"/>
        <w:snapToGrid w:val="0"/>
        <w:spacing w:line="360" w:lineRule="auto"/>
        <w:ind w:left="0" w:right="-34" w:rightChars="-14" w:firstLine="573" w:firstLineChars="0"/>
        <w:rPr>
          <w:rFonts w:hint="eastAsia" w:ascii="宋体"/>
          <w:snapToGrid w:val="0"/>
          <w:color w:val="auto"/>
          <w:kern w:val="0"/>
          <w:sz w:val="24"/>
          <w:szCs w:val="24"/>
          <w:highlight w:val="none"/>
        </w:rPr>
      </w:pPr>
      <w:r>
        <w:rPr>
          <w:rFonts w:hint="eastAsia" w:ascii="宋体" w:cs="Cambria Math"/>
          <w:snapToGrid w:val="0"/>
          <w:color w:val="auto"/>
          <w:kern w:val="0"/>
          <w:sz w:val="24"/>
          <w:szCs w:val="24"/>
          <w:highlight w:val="none"/>
          <w:lang w:val="en-US" w:eastAsia="zh-CN" w:bidi="ar-SA"/>
        </w:rPr>
        <w:t>7</w:t>
      </w:r>
      <w:r>
        <w:rPr>
          <w:rFonts w:hint="eastAsia" w:ascii="宋体" w:eastAsia="宋体" w:cs="Cambria Math"/>
          <w:snapToGrid w:val="0"/>
          <w:color w:val="auto"/>
          <w:kern w:val="0"/>
          <w:sz w:val="24"/>
          <w:szCs w:val="24"/>
          <w:highlight w:val="none"/>
          <w:lang w:val="en-US" w:eastAsia="zh-CN" w:bidi="ar-SA"/>
        </w:rPr>
        <w:t>、</w:t>
      </w:r>
      <w:r>
        <w:rPr>
          <w:rFonts w:hint="eastAsia" w:ascii="宋体" w:cs="Cambria Math"/>
          <w:snapToGrid w:val="0"/>
          <w:color w:val="auto"/>
          <w:kern w:val="0"/>
          <w:sz w:val="24"/>
          <w:szCs w:val="24"/>
          <w:highlight w:val="none"/>
          <w:lang w:val="en-US" w:eastAsia="zh-CN" w:bidi="ar-SA"/>
        </w:rPr>
        <w:t>若我方中选，</w:t>
      </w:r>
      <w:r>
        <w:rPr>
          <w:rFonts w:hint="eastAsia" w:ascii="宋体"/>
          <w:snapToGrid w:val="0"/>
          <w:color w:val="auto"/>
          <w:kern w:val="0"/>
          <w:sz w:val="24"/>
          <w:szCs w:val="24"/>
          <w:highlight w:val="none"/>
          <w:lang w:eastAsia="zh-CN"/>
        </w:rPr>
        <w:t>我</w:t>
      </w:r>
      <w:r>
        <w:rPr>
          <w:rFonts w:hint="eastAsia" w:ascii="宋体"/>
          <w:snapToGrid w:val="0"/>
          <w:color w:val="auto"/>
          <w:kern w:val="0"/>
          <w:sz w:val="24"/>
          <w:szCs w:val="24"/>
          <w:highlight w:val="none"/>
          <w:lang w:val="en-US" w:eastAsia="zh-CN"/>
        </w:rPr>
        <w:t>方</w:t>
      </w:r>
      <w:r>
        <w:rPr>
          <w:rFonts w:hint="eastAsia" w:ascii="宋体"/>
          <w:snapToGrid w:val="0"/>
          <w:color w:val="auto"/>
          <w:kern w:val="0"/>
          <w:sz w:val="24"/>
          <w:szCs w:val="24"/>
          <w:highlight w:val="none"/>
        </w:rPr>
        <w:t>开具</w:t>
      </w:r>
      <w:r>
        <w:rPr>
          <w:rFonts w:hint="eastAsia" w:ascii="宋体"/>
          <w:snapToGrid w:val="0"/>
          <w:color w:val="auto"/>
          <w:kern w:val="0"/>
          <w:sz w:val="24"/>
          <w:szCs w:val="24"/>
          <w:highlight w:val="none"/>
          <w:lang w:val="en-US" w:eastAsia="zh-CN"/>
        </w:rPr>
        <w:t>税</w:t>
      </w:r>
      <w:r>
        <w:rPr>
          <w:rFonts w:hint="eastAsia" w:ascii="宋体"/>
          <w:snapToGrid w:val="0"/>
          <w:color w:val="auto"/>
          <w:kern w:val="0"/>
          <w:sz w:val="24"/>
          <w:szCs w:val="24"/>
          <w:highlight w:val="none"/>
        </w:rPr>
        <w:t>率为______%的增值税专用发票</w:t>
      </w:r>
      <w:r>
        <w:rPr>
          <w:rFonts w:hint="eastAsia" w:ascii="宋体"/>
          <w:snapToGrid w:val="0"/>
          <w:color w:val="auto"/>
          <w:kern w:val="0"/>
          <w:sz w:val="24"/>
          <w:szCs w:val="24"/>
          <w:highlight w:val="none"/>
          <w:lang w:eastAsia="zh-CN"/>
        </w:rPr>
        <w:t>；</w:t>
      </w:r>
    </w:p>
    <w:p>
      <w:pPr>
        <w:tabs>
          <w:tab w:val="left" w:pos="6300"/>
        </w:tabs>
        <w:snapToGrid w:val="0"/>
        <w:spacing w:line="360" w:lineRule="auto"/>
        <w:ind w:right="-34" w:rightChars="-14"/>
        <w:rPr>
          <w:rFonts w:ascii="宋体"/>
          <w:snapToGrid w:val="0"/>
          <w:color w:val="auto"/>
          <w:kern w:val="0"/>
          <w:sz w:val="24"/>
          <w:szCs w:val="24"/>
          <w:highlight w:val="none"/>
        </w:rPr>
      </w:pP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人（公章）：</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 xml:space="preserve">地址：  </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电话：                           传真：</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 xml:space="preserve">网址：                         </w:t>
      </w:r>
    </w:p>
    <w:p>
      <w:pPr>
        <w:tabs>
          <w:tab w:val="left" w:pos="6300"/>
        </w:tabs>
        <w:snapToGrid w:val="0"/>
        <w:spacing w:line="360" w:lineRule="auto"/>
        <w:ind w:right="-34" w:rightChars="-14" w:firstLine="6540" w:firstLineChars="2725"/>
        <w:rPr>
          <w:rFonts w:ascii="宋体"/>
          <w:snapToGrid w:val="0"/>
          <w:color w:val="auto"/>
          <w:kern w:val="0"/>
          <w:sz w:val="24"/>
          <w:szCs w:val="24"/>
          <w:highlight w:val="none"/>
        </w:rPr>
      </w:pPr>
    </w:p>
    <w:p>
      <w:pPr>
        <w:tabs>
          <w:tab w:val="left" w:pos="6300"/>
        </w:tabs>
        <w:snapToGrid w:val="0"/>
        <w:spacing w:line="360" w:lineRule="auto"/>
        <w:ind w:right="-34" w:rightChars="-14" w:firstLine="5400" w:firstLineChars="2250"/>
        <w:rPr>
          <w:rFonts w:ascii="宋体"/>
          <w:snapToGrid w:val="0"/>
          <w:color w:val="auto"/>
          <w:kern w:val="0"/>
          <w:sz w:val="24"/>
          <w:szCs w:val="24"/>
          <w:highlight w:val="none"/>
        </w:rPr>
      </w:pPr>
      <w:r>
        <w:rPr>
          <w:rFonts w:hint="eastAsia" w:ascii="宋体"/>
          <w:snapToGrid w:val="0"/>
          <w:color w:val="auto"/>
          <w:kern w:val="0"/>
          <w:sz w:val="24"/>
          <w:szCs w:val="24"/>
          <w:highlight w:val="none"/>
        </w:rPr>
        <w:t>年     月     日</w:t>
      </w:r>
    </w:p>
    <w:p>
      <w:pPr>
        <w:widowControl/>
        <w:spacing w:line="360" w:lineRule="auto"/>
        <w:jc w:val="left"/>
        <w:rPr>
          <w:rFonts w:ascii="宋体"/>
          <w:snapToGrid w:val="0"/>
          <w:color w:val="auto"/>
          <w:kern w:val="0"/>
          <w:sz w:val="24"/>
          <w:szCs w:val="24"/>
          <w:highlight w:val="none"/>
        </w:rPr>
      </w:pPr>
    </w:p>
    <w:p>
      <w:pPr>
        <w:tabs>
          <w:tab w:val="left" w:pos="6300"/>
        </w:tabs>
        <w:snapToGrid w:val="0"/>
        <w:spacing w:line="360" w:lineRule="auto"/>
        <w:rPr>
          <w:rFonts w:ascii="宋体"/>
          <w:snapToGrid w:val="0"/>
          <w:color w:val="auto"/>
          <w:kern w:val="0"/>
          <w:sz w:val="24"/>
          <w:szCs w:val="24"/>
          <w:highlight w:val="none"/>
        </w:rPr>
      </w:pPr>
    </w:p>
    <w:p>
      <w:pPr>
        <w:widowControl/>
        <w:spacing w:line="360" w:lineRule="auto"/>
        <w:jc w:val="left"/>
        <w:rPr>
          <w:rFonts w:ascii="宋体"/>
          <w:snapToGrid w:val="0"/>
          <w:color w:val="auto"/>
          <w:kern w:val="0"/>
          <w:sz w:val="24"/>
          <w:szCs w:val="24"/>
          <w:highlight w:val="none"/>
        </w:rPr>
      </w:pPr>
    </w:p>
    <w:p>
      <w:pPr>
        <w:widowControl/>
        <w:spacing w:line="360" w:lineRule="auto"/>
        <w:jc w:val="left"/>
        <w:rPr>
          <w:rFonts w:ascii="宋体"/>
          <w:snapToGrid w:val="0"/>
          <w:color w:val="auto"/>
          <w:kern w:val="0"/>
          <w:sz w:val="24"/>
          <w:szCs w:val="24"/>
          <w:highlight w:val="none"/>
        </w:rPr>
      </w:pPr>
    </w:p>
    <w:p>
      <w:pPr>
        <w:widowControl/>
        <w:spacing w:line="360" w:lineRule="auto"/>
        <w:jc w:val="left"/>
        <w:rPr>
          <w:rFonts w:ascii="宋体"/>
          <w:snapToGrid w:val="0"/>
          <w:color w:val="auto"/>
          <w:kern w:val="0"/>
          <w:sz w:val="24"/>
          <w:szCs w:val="24"/>
          <w:highlight w:val="none"/>
        </w:rPr>
      </w:pPr>
    </w:p>
    <w:p>
      <w:pPr>
        <w:widowControl/>
        <w:spacing w:line="360" w:lineRule="auto"/>
        <w:jc w:val="left"/>
        <w:rPr>
          <w:rFonts w:ascii="宋体"/>
          <w:snapToGrid w:val="0"/>
          <w:color w:val="auto"/>
          <w:kern w:val="0"/>
          <w:sz w:val="24"/>
          <w:szCs w:val="24"/>
          <w:highlight w:val="none"/>
        </w:rPr>
      </w:pPr>
    </w:p>
    <w:p>
      <w:pPr>
        <w:spacing w:line="360" w:lineRule="auto"/>
        <w:ind w:firstLine="3317" w:firstLineChars="1180"/>
        <w:outlineLvl w:val="1"/>
        <w:rPr>
          <w:rStyle w:val="21"/>
          <w:color w:val="auto"/>
          <w:highlight w:val="none"/>
        </w:rPr>
      </w:pPr>
      <w:r>
        <w:rPr>
          <w:rStyle w:val="21"/>
          <w:color w:val="auto"/>
          <w:highlight w:val="none"/>
        </w:rPr>
        <w:t>二、报价明细表</w:t>
      </w:r>
    </w:p>
    <w:p>
      <w:pPr>
        <w:bidi w:val="0"/>
        <w:ind w:left="1200" w:hanging="720" w:firstLineChars="0"/>
        <w:jc w:val="center"/>
        <w:rPr>
          <w:color w:val="auto"/>
          <w:highlight w:val="none"/>
        </w:rPr>
      </w:pPr>
      <w:r>
        <w:rPr>
          <w:rFonts w:ascii="Cambria Math" w:hAnsi="Cambria Math" w:eastAsia="宋体" w:cs="Cambria Math"/>
          <w:color w:val="auto"/>
          <w:kern w:val="2"/>
          <w:sz w:val="24"/>
          <w:szCs w:val="20"/>
          <w:highlight w:val="none"/>
          <w:lang w:val="en-US" w:eastAsia="zh-CN" w:bidi="ar-SA"/>
        </w:rPr>
        <w:t>（</w:t>
      </w:r>
      <w:r>
        <w:rPr>
          <w:rFonts w:hint="eastAsia" w:cs="Cambria Math"/>
          <w:color w:val="auto"/>
          <w:kern w:val="2"/>
          <w:sz w:val="24"/>
          <w:szCs w:val="20"/>
          <w:highlight w:val="none"/>
          <w:lang w:val="en-US" w:eastAsia="zh-CN" w:bidi="ar-SA"/>
        </w:rPr>
        <w:t>一</w:t>
      </w:r>
      <w:r>
        <w:rPr>
          <w:rFonts w:ascii="Cambria Math" w:hAnsi="Cambria Math" w:eastAsia="宋体" w:cs="Cambria Math"/>
          <w:color w:val="auto"/>
          <w:kern w:val="2"/>
          <w:sz w:val="24"/>
          <w:szCs w:val="20"/>
          <w:highlight w:val="none"/>
          <w:lang w:val="en-US" w:eastAsia="zh-CN" w:bidi="ar-SA"/>
        </w:rPr>
        <w:t>）</w:t>
      </w:r>
      <w:r>
        <w:rPr>
          <w:rFonts w:hint="eastAsia"/>
          <w:color w:val="auto"/>
          <w:highlight w:val="none"/>
          <w:lang w:val="en-US" w:eastAsia="zh-CN"/>
        </w:rPr>
        <w:t>第一档次</w:t>
      </w:r>
      <w:r>
        <w:rPr>
          <w:color w:val="auto"/>
          <w:highlight w:val="none"/>
        </w:rPr>
        <w:t>理财产品报价明细</w:t>
      </w:r>
    </w:p>
    <w:p>
      <w:pPr>
        <w:rPr>
          <w:rFonts w:ascii="Calibri" w:hAnsi="Calibri"/>
          <w:color w:val="auto"/>
          <w:szCs w:val="22"/>
          <w:highlight w:val="none"/>
        </w:rPr>
      </w:pPr>
      <w:r>
        <w:rPr>
          <w:rFonts w:ascii="Calibri" w:hAnsi="Calibri"/>
          <w:color w:val="auto"/>
          <w:szCs w:val="22"/>
          <w:highlight w:val="none"/>
        </w:rPr>
        <w:t>年末存续规模不超过</w:t>
      </w:r>
      <w:r>
        <w:rPr>
          <w:rFonts w:hint="eastAsia" w:ascii="Calibri" w:hAnsi="Calibri"/>
          <w:color w:val="auto"/>
          <w:szCs w:val="22"/>
          <w:highlight w:val="none"/>
        </w:rPr>
        <w:t>20亿元（含）的开放式理财产品审计服务报价为</w:t>
      </w:r>
      <w:r>
        <w:rPr>
          <w:rFonts w:hint="eastAsia" w:ascii="Calibri" w:hAnsi="Calibri"/>
          <w:color w:val="auto"/>
          <w:szCs w:val="22"/>
          <w:highlight w:val="none"/>
          <w:u w:val="single"/>
          <w:lang w:val="en-US" w:eastAsia="zh-CN"/>
        </w:rPr>
        <w:t xml:space="preserve">    </w:t>
      </w:r>
      <w:r>
        <w:rPr>
          <w:rFonts w:hint="eastAsia" w:ascii="Calibri" w:hAnsi="Calibri"/>
          <w:color w:val="auto"/>
          <w:szCs w:val="22"/>
          <w:highlight w:val="none"/>
        </w:rPr>
        <w:t>元/次</w:t>
      </w:r>
      <w:r>
        <w:rPr>
          <w:rFonts w:hint="eastAsia" w:ascii="宋体"/>
          <w:color w:val="auto"/>
          <w:szCs w:val="22"/>
          <w:highlight w:val="none"/>
        </w:rPr>
        <w:t>·</w:t>
      </w:r>
      <w:r>
        <w:rPr>
          <w:rFonts w:hint="eastAsia" w:ascii="Calibri" w:hAnsi="Calibri"/>
          <w:color w:val="auto"/>
          <w:szCs w:val="22"/>
          <w:highlight w:val="none"/>
        </w:rPr>
        <w:t>只</w:t>
      </w:r>
    </w:p>
    <w:p>
      <w:pPr>
        <w:rPr>
          <w:rFonts w:ascii="Calibri" w:hAnsi="Calibri"/>
          <w:color w:val="auto"/>
          <w:szCs w:val="22"/>
          <w:highlight w:val="none"/>
        </w:rPr>
      </w:pPr>
      <w:r>
        <w:rPr>
          <w:rFonts w:ascii="Calibri" w:hAnsi="Calibri"/>
          <w:color w:val="auto"/>
          <w:szCs w:val="22"/>
          <w:highlight w:val="none"/>
        </w:rPr>
        <w:t>年末存续规模超过</w:t>
      </w:r>
      <w:r>
        <w:rPr>
          <w:rFonts w:hint="eastAsia" w:ascii="Calibri" w:hAnsi="Calibri"/>
          <w:color w:val="auto"/>
          <w:szCs w:val="22"/>
          <w:highlight w:val="none"/>
        </w:rPr>
        <w:t>20亿元（</w:t>
      </w:r>
      <w:r>
        <w:rPr>
          <w:rFonts w:ascii="Calibri" w:hAnsi="Calibri"/>
          <w:color w:val="auto"/>
          <w:szCs w:val="22"/>
          <w:highlight w:val="none"/>
        </w:rPr>
        <w:t>不</w:t>
      </w:r>
      <w:r>
        <w:rPr>
          <w:rFonts w:hint="eastAsia" w:ascii="Calibri" w:hAnsi="Calibri"/>
          <w:color w:val="auto"/>
          <w:szCs w:val="22"/>
          <w:highlight w:val="none"/>
        </w:rPr>
        <w:t>含）的开放式理财产品审计服务报价为</w:t>
      </w:r>
      <w:r>
        <w:rPr>
          <w:rFonts w:hint="eastAsia" w:ascii="Calibri" w:hAnsi="Calibri"/>
          <w:color w:val="auto"/>
          <w:szCs w:val="22"/>
          <w:highlight w:val="none"/>
          <w:u w:val="single"/>
          <w:lang w:val="en-US" w:eastAsia="zh-CN"/>
        </w:rPr>
        <w:t xml:space="preserve">    </w:t>
      </w:r>
      <w:r>
        <w:rPr>
          <w:rFonts w:hint="eastAsia" w:ascii="Calibri" w:hAnsi="Calibri"/>
          <w:color w:val="auto"/>
          <w:szCs w:val="22"/>
          <w:highlight w:val="none"/>
        </w:rPr>
        <w:t>元/次</w:t>
      </w:r>
      <w:r>
        <w:rPr>
          <w:rFonts w:hint="eastAsia" w:ascii="宋体"/>
          <w:color w:val="auto"/>
          <w:szCs w:val="22"/>
          <w:highlight w:val="none"/>
        </w:rPr>
        <w:t>·</w:t>
      </w:r>
      <w:r>
        <w:rPr>
          <w:rFonts w:hint="eastAsia" w:ascii="Calibri" w:hAnsi="Calibri"/>
          <w:color w:val="auto"/>
          <w:szCs w:val="22"/>
          <w:highlight w:val="none"/>
        </w:rPr>
        <w:t>只</w:t>
      </w:r>
    </w:p>
    <w:p>
      <w:pPr>
        <w:rPr>
          <w:rFonts w:ascii="Calibri" w:hAnsi="Calibri"/>
          <w:color w:val="auto"/>
          <w:szCs w:val="22"/>
          <w:highlight w:val="none"/>
        </w:rPr>
      </w:pPr>
      <w:r>
        <w:rPr>
          <w:rFonts w:ascii="Calibri" w:hAnsi="Calibri"/>
          <w:color w:val="auto"/>
          <w:szCs w:val="22"/>
          <w:highlight w:val="none"/>
        </w:rPr>
        <w:t>实际募集规模不超过1</w:t>
      </w:r>
      <w:r>
        <w:rPr>
          <w:rFonts w:hint="eastAsia" w:ascii="Calibri" w:hAnsi="Calibri"/>
          <w:color w:val="auto"/>
          <w:szCs w:val="22"/>
          <w:highlight w:val="none"/>
        </w:rPr>
        <w:t>亿元（含）的</w:t>
      </w:r>
      <w:r>
        <w:rPr>
          <w:rFonts w:ascii="Calibri" w:hAnsi="Calibri"/>
          <w:color w:val="auto"/>
          <w:szCs w:val="22"/>
          <w:highlight w:val="none"/>
        </w:rPr>
        <w:t>封闭</w:t>
      </w:r>
      <w:r>
        <w:rPr>
          <w:rFonts w:hint="eastAsia" w:ascii="Calibri" w:hAnsi="Calibri"/>
          <w:color w:val="auto"/>
          <w:szCs w:val="22"/>
          <w:highlight w:val="none"/>
        </w:rPr>
        <w:t>式理财产品审计服务报价为</w:t>
      </w:r>
      <w:r>
        <w:rPr>
          <w:rFonts w:hint="eastAsia" w:ascii="Calibri" w:hAnsi="Calibri"/>
          <w:color w:val="auto"/>
          <w:szCs w:val="22"/>
          <w:highlight w:val="none"/>
          <w:u w:val="single"/>
          <w:lang w:val="en-US" w:eastAsia="zh-CN"/>
        </w:rPr>
        <w:t xml:space="preserve">    </w:t>
      </w:r>
      <w:r>
        <w:rPr>
          <w:rFonts w:hint="eastAsia" w:ascii="Calibri" w:hAnsi="Calibri"/>
          <w:color w:val="auto"/>
          <w:szCs w:val="22"/>
          <w:highlight w:val="none"/>
        </w:rPr>
        <w:t>元/次</w:t>
      </w:r>
      <w:r>
        <w:rPr>
          <w:rFonts w:hint="eastAsia" w:ascii="宋体"/>
          <w:color w:val="auto"/>
          <w:szCs w:val="22"/>
          <w:highlight w:val="none"/>
        </w:rPr>
        <w:t>·</w:t>
      </w:r>
      <w:r>
        <w:rPr>
          <w:rFonts w:hint="eastAsia" w:ascii="Calibri" w:hAnsi="Calibri"/>
          <w:color w:val="auto"/>
          <w:szCs w:val="22"/>
          <w:highlight w:val="none"/>
        </w:rPr>
        <w:t>只</w:t>
      </w:r>
    </w:p>
    <w:p>
      <w:pPr>
        <w:rPr>
          <w:rFonts w:hint="eastAsia" w:ascii="Calibri" w:hAnsi="Calibri"/>
          <w:color w:val="auto"/>
          <w:szCs w:val="22"/>
          <w:highlight w:val="none"/>
        </w:rPr>
      </w:pPr>
      <w:r>
        <w:rPr>
          <w:rFonts w:ascii="Calibri" w:hAnsi="Calibri"/>
          <w:color w:val="auto"/>
          <w:szCs w:val="22"/>
          <w:highlight w:val="none"/>
        </w:rPr>
        <w:t>实际募集规模超过1</w:t>
      </w:r>
      <w:r>
        <w:rPr>
          <w:rFonts w:hint="eastAsia" w:ascii="Calibri" w:hAnsi="Calibri"/>
          <w:color w:val="auto"/>
          <w:szCs w:val="22"/>
          <w:highlight w:val="none"/>
        </w:rPr>
        <w:t>亿元（</w:t>
      </w:r>
      <w:r>
        <w:rPr>
          <w:rFonts w:ascii="Calibri" w:hAnsi="Calibri"/>
          <w:color w:val="auto"/>
          <w:szCs w:val="22"/>
          <w:highlight w:val="none"/>
        </w:rPr>
        <w:t>不</w:t>
      </w:r>
      <w:r>
        <w:rPr>
          <w:rFonts w:hint="eastAsia" w:ascii="Calibri" w:hAnsi="Calibri"/>
          <w:color w:val="auto"/>
          <w:szCs w:val="22"/>
          <w:highlight w:val="none"/>
        </w:rPr>
        <w:t>含）的</w:t>
      </w:r>
      <w:r>
        <w:rPr>
          <w:rFonts w:ascii="Calibri" w:hAnsi="Calibri"/>
          <w:color w:val="auto"/>
          <w:szCs w:val="22"/>
          <w:highlight w:val="none"/>
        </w:rPr>
        <w:t>封闭</w:t>
      </w:r>
      <w:r>
        <w:rPr>
          <w:rFonts w:hint="eastAsia" w:ascii="Calibri" w:hAnsi="Calibri"/>
          <w:color w:val="auto"/>
          <w:szCs w:val="22"/>
          <w:highlight w:val="none"/>
        </w:rPr>
        <w:t>式理财产品审计服务报价为</w:t>
      </w:r>
      <w:r>
        <w:rPr>
          <w:rFonts w:hint="eastAsia" w:ascii="Calibri" w:hAnsi="Calibri"/>
          <w:color w:val="auto"/>
          <w:szCs w:val="22"/>
          <w:highlight w:val="none"/>
          <w:u w:val="single"/>
          <w:lang w:val="en-US" w:eastAsia="zh-CN"/>
        </w:rPr>
        <w:t xml:space="preserve">    </w:t>
      </w:r>
      <w:r>
        <w:rPr>
          <w:rFonts w:hint="eastAsia" w:ascii="Calibri" w:hAnsi="Calibri"/>
          <w:color w:val="auto"/>
          <w:szCs w:val="22"/>
          <w:highlight w:val="none"/>
        </w:rPr>
        <w:t>元/次</w:t>
      </w:r>
      <w:r>
        <w:rPr>
          <w:rFonts w:hint="eastAsia" w:ascii="宋体"/>
          <w:color w:val="auto"/>
          <w:szCs w:val="22"/>
          <w:highlight w:val="none"/>
        </w:rPr>
        <w:t>·</w:t>
      </w:r>
      <w:r>
        <w:rPr>
          <w:rFonts w:hint="eastAsia" w:ascii="Calibri" w:hAnsi="Calibri"/>
          <w:color w:val="auto"/>
          <w:szCs w:val="22"/>
          <w:highlight w:val="none"/>
        </w:rPr>
        <w:t>只</w:t>
      </w:r>
    </w:p>
    <w:p>
      <w:pPr>
        <w:bidi w:val="0"/>
        <w:ind w:left="1200" w:hanging="720" w:firstLineChars="0"/>
        <w:jc w:val="center"/>
        <w:rPr>
          <w:color w:val="auto"/>
          <w:highlight w:val="none"/>
        </w:rPr>
      </w:pPr>
      <w:r>
        <w:rPr>
          <w:rFonts w:ascii="Cambria Math" w:hAnsi="Cambria Math" w:eastAsia="宋体" w:cs="Cambria Math"/>
          <w:color w:val="auto"/>
          <w:kern w:val="2"/>
          <w:sz w:val="24"/>
          <w:szCs w:val="20"/>
          <w:highlight w:val="none"/>
          <w:lang w:val="en-US" w:eastAsia="zh-CN" w:bidi="ar-SA"/>
        </w:rPr>
        <w:br w:type="page"/>
      </w:r>
      <w:r>
        <w:rPr>
          <w:rFonts w:ascii="Cambria Math" w:hAnsi="Cambria Math" w:eastAsia="宋体" w:cs="Cambria Math"/>
          <w:color w:val="auto"/>
          <w:kern w:val="2"/>
          <w:sz w:val="24"/>
          <w:szCs w:val="20"/>
          <w:highlight w:val="none"/>
          <w:lang w:val="en-US" w:eastAsia="zh-CN" w:bidi="ar-SA"/>
        </w:rPr>
        <w:t>（</w:t>
      </w:r>
      <w:r>
        <w:rPr>
          <w:rFonts w:hint="eastAsia" w:cs="Cambria Math"/>
          <w:color w:val="auto"/>
          <w:kern w:val="2"/>
          <w:sz w:val="24"/>
          <w:szCs w:val="20"/>
          <w:highlight w:val="none"/>
          <w:lang w:val="en-US" w:eastAsia="zh-CN" w:bidi="ar-SA"/>
        </w:rPr>
        <w:t>二</w:t>
      </w:r>
      <w:r>
        <w:rPr>
          <w:rFonts w:ascii="Cambria Math" w:hAnsi="Cambria Math" w:eastAsia="宋体" w:cs="Cambria Math"/>
          <w:color w:val="auto"/>
          <w:kern w:val="2"/>
          <w:sz w:val="24"/>
          <w:szCs w:val="20"/>
          <w:highlight w:val="none"/>
          <w:lang w:val="en-US" w:eastAsia="zh-CN" w:bidi="ar-SA"/>
        </w:rPr>
        <w:t>）</w:t>
      </w:r>
      <w:r>
        <w:rPr>
          <w:rFonts w:hint="eastAsia"/>
          <w:color w:val="auto"/>
          <w:highlight w:val="none"/>
          <w:lang w:val="en-US" w:eastAsia="zh-CN"/>
        </w:rPr>
        <w:t>第二档次</w:t>
      </w:r>
      <w:r>
        <w:rPr>
          <w:color w:val="auto"/>
          <w:highlight w:val="none"/>
        </w:rPr>
        <w:t>理财产品报价明细</w:t>
      </w:r>
    </w:p>
    <w:p>
      <w:pPr>
        <w:rPr>
          <w:rFonts w:ascii="Calibri" w:hAnsi="Calibri"/>
          <w:color w:val="auto"/>
          <w:szCs w:val="22"/>
          <w:highlight w:val="none"/>
        </w:rPr>
      </w:pPr>
      <w:r>
        <w:rPr>
          <w:rFonts w:ascii="Calibri" w:hAnsi="Calibri"/>
          <w:color w:val="auto"/>
          <w:szCs w:val="22"/>
          <w:highlight w:val="none"/>
        </w:rPr>
        <w:t>年末存续规模不超过</w:t>
      </w:r>
      <w:r>
        <w:rPr>
          <w:rFonts w:hint="eastAsia" w:ascii="Calibri" w:hAnsi="Calibri"/>
          <w:color w:val="auto"/>
          <w:szCs w:val="22"/>
          <w:highlight w:val="none"/>
        </w:rPr>
        <w:t>20亿元（含）的开放式理财产品审计服务报价为</w:t>
      </w:r>
      <w:r>
        <w:rPr>
          <w:rFonts w:hint="eastAsia" w:ascii="Calibri" w:hAnsi="Calibri"/>
          <w:color w:val="auto"/>
          <w:szCs w:val="22"/>
          <w:highlight w:val="none"/>
          <w:u w:val="single"/>
          <w:lang w:val="en-US" w:eastAsia="zh-CN"/>
        </w:rPr>
        <w:t xml:space="preserve">    </w:t>
      </w:r>
      <w:r>
        <w:rPr>
          <w:rFonts w:hint="eastAsia" w:ascii="Calibri" w:hAnsi="Calibri"/>
          <w:color w:val="auto"/>
          <w:szCs w:val="22"/>
          <w:highlight w:val="none"/>
        </w:rPr>
        <w:t>元/次</w:t>
      </w:r>
      <w:r>
        <w:rPr>
          <w:rFonts w:hint="eastAsia" w:ascii="宋体"/>
          <w:color w:val="auto"/>
          <w:szCs w:val="22"/>
          <w:highlight w:val="none"/>
        </w:rPr>
        <w:t>·</w:t>
      </w:r>
      <w:r>
        <w:rPr>
          <w:rFonts w:hint="eastAsia" w:ascii="Calibri" w:hAnsi="Calibri"/>
          <w:color w:val="auto"/>
          <w:szCs w:val="22"/>
          <w:highlight w:val="none"/>
        </w:rPr>
        <w:t>只</w:t>
      </w:r>
    </w:p>
    <w:p>
      <w:pPr>
        <w:rPr>
          <w:rFonts w:ascii="Calibri" w:hAnsi="Calibri"/>
          <w:color w:val="auto"/>
          <w:szCs w:val="22"/>
          <w:highlight w:val="none"/>
        </w:rPr>
      </w:pPr>
      <w:r>
        <w:rPr>
          <w:rFonts w:ascii="Calibri" w:hAnsi="Calibri"/>
          <w:color w:val="auto"/>
          <w:szCs w:val="22"/>
          <w:highlight w:val="none"/>
        </w:rPr>
        <w:t>年末存续规模超过</w:t>
      </w:r>
      <w:r>
        <w:rPr>
          <w:rFonts w:hint="eastAsia" w:ascii="Calibri" w:hAnsi="Calibri"/>
          <w:color w:val="auto"/>
          <w:szCs w:val="22"/>
          <w:highlight w:val="none"/>
        </w:rPr>
        <w:t>20亿元（</w:t>
      </w:r>
      <w:r>
        <w:rPr>
          <w:rFonts w:ascii="Calibri" w:hAnsi="Calibri"/>
          <w:color w:val="auto"/>
          <w:szCs w:val="22"/>
          <w:highlight w:val="none"/>
        </w:rPr>
        <w:t>不</w:t>
      </w:r>
      <w:r>
        <w:rPr>
          <w:rFonts w:hint="eastAsia" w:ascii="Calibri" w:hAnsi="Calibri"/>
          <w:color w:val="auto"/>
          <w:szCs w:val="22"/>
          <w:highlight w:val="none"/>
        </w:rPr>
        <w:t>含）的开放式理财产品审计服务报价为</w:t>
      </w:r>
      <w:r>
        <w:rPr>
          <w:rFonts w:hint="eastAsia" w:ascii="Calibri" w:hAnsi="Calibri"/>
          <w:color w:val="auto"/>
          <w:szCs w:val="22"/>
          <w:highlight w:val="none"/>
          <w:u w:val="single"/>
          <w:lang w:val="en-US" w:eastAsia="zh-CN"/>
        </w:rPr>
        <w:t xml:space="preserve">    </w:t>
      </w:r>
      <w:r>
        <w:rPr>
          <w:rFonts w:hint="eastAsia" w:ascii="Calibri" w:hAnsi="Calibri"/>
          <w:color w:val="auto"/>
          <w:szCs w:val="22"/>
          <w:highlight w:val="none"/>
        </w:rPr>
        <w:t>元/次</w:t>
      </w:r>
      <w:r>
        <w:rPr>
          <w:rFonts w:hint="eastAsia" w:ascii="宋体"/>
          <w:color w:val="auto"/>
          <w:szCs w:val="22"/>
          <w:highlight w:val="none"/>
        </w:rPr>
        <w:t>·</w:t>
      </w:r>
      <w:r>
        <w:rPr>
          <w:rFonts w:hint="eastAsia" w:ascii="Calibri" w:hAnsi="Calibri"/>
          <w:color w:val="auto"/>
          <w:szCs w:val="22"/>
          <w:highlight w:val="none"/>
        </w:rPr>
        <w:t>只</w:t>
      </w:r>
    </w:p>
    <w:p>
      <w:pPr>
        <w:rPr>
          <w:rFonts w:ascii="Calibri" w:hAnsi="Calibri"/>
          <w:color w:val="auto"/>
          <w:szCs w:val="22"/>
          <w:highlight w:val="none"/>
        </w:rPr>
      </w:pPr>
      <w:r>
        <w:rPr>
          <w:rFonts w:ascii="Calibri" w:hAnsi="Calibri"/>
          <w:color w:val="auto"/>
          <w:szCs w:val="22"/>
          <w:highlight w:val="none"/>
        </w:rPr>
        <w:t>实际募集规模不超过1</w:t>
      </w:r>
      <w:r>
        <w:rPr>
          <w:rFonts w:hint="eastAsia" w:ascii="Calibri" w:hAnsi="Calibri"/>
          <w:color w:val="auto"/>
          <w:szCs w:val="22"/>
          <w:highlight w:val="none"/>
        </w:rPr>
        <w:t>亿元（含）的</w:t>
      </w:r>
      <w:r>
        <w:rPr>
          <w:rFonts w:ascii="Calibri" w:hAnsi="Calibri"/>
          <w:color w:val="auto"/>
          <w:szCs w:val="22"/>
          <w:highlight w:val="none"/>
        </w:rPr>
        <w:t>封闭</w:t>
      </w:r>
      <w:r>
        <w:rPr>
          <w:rFonts w:hint="eastAsia" w:ascii="Calibri" w:hAnsi="Calibri"/>
          <w:color w:val="auto"/>
          <w:szCs w:val="22"/>
          <w:highlight w:val="none"/>
        </w:rPr>
        <w:t>式理财产品审计服务报价为</w:t>
      </w:r>
      <w:r>
        <w:rPr>
          <w:rFonts w:hint="eastAsia" w:ascii="Calibri" w:hAnsi="Calibri"/>
          <w:color w:val="auto"/>
          <w:szCs w:val="22"/>
          <w:highlight w:val="none"/>
          <w:u w:val="single"/>
          <w:lang w:val="en-US" w:eastAsia="zh-CN"/>
        </w:rPr>
        <w:t xml:space="preserve">    </w:t>
      </w:r>
      <w:r>
        <w:rPr>
          <w:rFonts w:hint="eastAsia" w:ascii="Calibri" w:hAnsi="Calibri"/>
          <w:color w:val="auto"/>
          <w:szCs w:val="22"/>
          <w:highlight w:val="none"/>
        </w:rPr>
        <w:t>元/次</w:t>
      </w:r>
      <w:r>
        <w:rPr>
          <w:rFonts w:hint="eastAsia" w:ascii="宋体"/>
          <w:color w:val="auto"/>
          <w:szCs w:val="22"/>
          <w:highlight w:val="none"/>
        </w:rPr>
        <w:t>·</w:t>
      </w:r>
      <w:r>
        <w:rPr>
          <w:rFonts w:hint="eastAsia" w:ascii="Calibri" w:hAnsi="Calibri"/>
          <w:color w:val="auto"/>
          <w:szCs w:val="22"/>
          <w:highlight w:val="none"/>
        </w:rPr>
        <w:t>只</w:t>
      </w:r>
    </w:p>
    <w:p>
      <w:pPr>
        <w:rPr>
          <w:rFonts w:ascii="Calibri" w:hAnsi="Calibri"/>
          <w:color w:val="auto"/>
          <w:szCs w:val="22"/>
          <w:highlight w:val="none"/>
        </w:rPr>
      </w:pPr>
      <w:r>
        <w:rPr>
          <w:rFonts w:ascii="Calibri" w:hAnsi="Calibri"/>
          <w:color w:val="auto"/>
          <w:szCs w:val="22"/>
          <w:highlight w:val="none"/>
        </w:rPr>
        <w:t>实际募集规模超过1</w:t>
      </w:r>
      <w:r>
        <w:rPr>
          <w:rFonts w:hint="eastAsia" w:ascii="Calibri" w:hAnsi="Calibri"/>
          <w:color w:val="auto"/>
          <w:szCs w:val="22"/>
          <w:highlight w:val="none"/>
        </w:rPr>
        <w:t>亿元（</w:t>
      </w:r>
      <w:r>
        <w:rPr>
          <w:rFonts w:ascii="Calibri" w:hAnsi="Calibri"/>
          <w:color w:val="auto"/>
          <w:szCs w:val="22"/>
          <w:highlight w:val="none"/>
        </w:rPr>
        <w:t>不</w:t>
      </w:r>
      <w:r>
        <w:rPr>
          <w:rFonts w:hint="eastAsia" w:ascii="Calibri" w:hAnsi="Calibri"/>
          <w:color w:val="auto"/>
          <w:szCs w:val="22"/>
          <w:highlight w:val="none"/>
        </w:rPr>
        <w:t>含）的</w:t>
      </w:r>
      <w:r>
        <w:rPr>
          <w:rFonts w:ascii="Calibri" w:hAnsi="Calibri"/>
          <w:color w:val="auto"/>
          <w:szCs w:val="22"/>
          <w:highlight w:val="none"/>
        </w:rPr>
        <w:t>封闭</w:t>
      </w:r>
      <w:r>
        <w:rPr>
          <w:rFonts w:hint="eastAsia" w:ascii="Calibri" w:hAnsi="Calibri"/>
          <w:color w:val="auto"/>
          <w:szCs w:val="22"/>
          <w:highlight w:val="none"/>
        </w:rPr>
        <w:t>式理财产品审计服务报价为</w:t>
      </w:r>
      <w:r>
        <w:rPr>
          <w:rFonts w:hint="eastAsia" w:ascii="Calibri" w:hAnsi="Calibri"/>
          <w:color w:val="auto"/>
          <w:szCs w:val="22"/>
          <w:highlight w:val="none"/>
          <w:u w:val="single"/>
          <w:lang w:val="en-US" w:eastAsia="zh-CN"/>
        </w:rPr>
        <w:t xml:space="preserve">    </w:t>
      </w:r>
      <w:r>
        <w:rPr>
          <w:rFonts w:hint="eastAsia" w:ascii="Calibri" w:hAnsi="Calibri"/>
          <w:color w:val="auto"/>
          <w:szCs w:val="22"/>
          <w:highlight w:val="none"/>
        </w:rPr>
        <w:t>元/次</w:t>
      </w:r>
      <w:r>
        <w:rPr>
          <w:rFonts w:hint="eastAsia" w:ascii="宋体"/>
          <w:color w:val="auto"/>
          <w:szCs w:val="22"/>
          <w:highlight w:val="none"/>
        </w:rPr>
        <w:t>·</w:t>
      </w:r>
      <w:r>
        <w:rPr>
          <w:rFonts w:hint="eastAsia" w:ascii="Calibri" w:hAnsi="Calibri"/>
          <w:color w:val="auto"/>
          <w:szCs w:val="22"/>
          <w:highlight w:val="none"/>
        </w:rPr>
        <w:t>只</w:t>
      </w:r>
    </w:p>
    <w:p>
      <w:pPr>
        <w:pStyle w:val="2"/>
        <w:rPr>
          <w:color w:val="auto"/>
          <w:highlight w:val="none"/>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p>
    <w:p>
      <w:pPr>
        <w:ind w:left="0" w:leftChars="0" w:firstLine="0" w:firstLineChars="0"/>
        <w:rPr>
          <w:rStyle w:val="20"/>
          <w:rFonts w:hint="eastAsia"/>
          <w:b/>
          <w:bCs/>
          <w:color w:val="auto"/>
          <w:highlight w:val="none"/>
          <w:lang w:val="en-US" w:eastAsia="zh-CN"/>
        </w:rPr>
      </w:pPr>
    </w:p>
    <w:p>
      <w:pPr>
        <w:pStyle w:val="22"/>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color w:val="auto"/>
          <w:highlight w:val="none"/>
          <w:lang w:val="en-US" w:eastAsia="zh-CN"/>
        </w:rPr>
      </w:pPr>
      <w:r>
        <w:rPr>
          <w:rFonts w:hint="eastAsia"/>
          <w:color w:val="auto"/>
          <w:highlight w:val="none"/>
          <w:lang w:val="en-US" w:eastAsia="zh-CN"/>
        </w:rPr>
        <w:br w:type="page"/>
      </w:r>
      <w:r>
        <w:rPr>
          <w:rFonts w:hint="eastAsia"/>
          <w:color w:val="auto"/>
          <w:highlight w:val="none"/>
          <w:lang w:val="en-US" w:eastAsia="zh-CN"/>
        </w:rPr>
        <w:t>三、资格性文件</w:t>
      </w:r>
    </w:p>
    <w:p>
      <w:pPr>
        <w:pStyle w:val="24"/>
        <w:bidi w:val="0"/>
        <w:rPr>
          <w:color w:val="auto"/>
          <w:highlight w:val="none"/>
        </w:rPr>
      </w:pPr>
      <w:r>
        <w:rPr>
          <w:color w:val="auto"/>
          <w:highlight w:val="none"/>
          <w:lang w:eastAsia="zh-CN"/>
        </w:rPr>
        <w:t>（</w:t>
      </w:r>
      <w:r>
        <w:rPr>
          <w:color w:val="auto"/>
          <w:highlight w:val="none"/>
          <w:lang w:val="en-US" w:eastAsia="zh-CN"/>
        </w:rPr>
        <w:t>一</w:t>
      </w:r>
      <w:r>
        <w:rPr>
          <w:color w:val="auto"/>
          <w:highlight w:val="none"/>
          <w:lang w:eastAsia="zh-CN"/>
        </w:rPr>
        <w:t>）</w:t>
      </w:r>
      <w:r>
        <w:rPr>
          <w:color w:val="auto"/>
          <w:highlight w:val="none"/>
        </w:rPr>
        <w:t>参选人基本情况介绍，资质证明等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法定代表人</w:t>
            </w:r>
            <w:r>
              <w:rPr>
                <w:rFonts w:hint="eastAsia" w:ascii="宋体"/>
                <w:color w:val="auto"/>
                <w:sz w:val="22"/>
                <w:szCs w:val="24"/>
                <w:highlight w:val="none"/>
                <w:lang w:val="en-US" w:eastAsia="zh-CN"/>
              </w:rPr>
              <w:t>/</w:t>
            </w:r>
            <w:r>
              <w:rPr>
                <w:rFonts w:hint="eastAsia" w:ascii="宋体"/>
                <w:color w:val="auto"/>
                <w:sz w:val="22"/>
                <w:szCs w:val="24"/>
                <w:highlight w:val="none"/>
              </w:rPr>
              <w:t>分支机构负责人</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4234" w:type="dxa"/>
            <w:gridSpan w:val="6"/>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bl>
    <w:p>
      <w:pPr>
        <w:widowControl/>
        <w:spacing w:line="360" w:lineRule="auto"/>
        <w:jc w:val="left"/>
        <w:rPr>
          <w:rFonts w:hint="eastAsia" w:ascii="宋体"/>
          <w:color w:val="auto"/>
          <w:sz w:val="20"/>
          <w:szCs w:val="21"/>
          <w:highlight w:val="none"/>
        </w:rPr>
        <w:sectPr>
          <w:footerReference r:id="rId7" w:type="default"/>
          <w:pgSz w:w="11906" w:h="16838"/>
          <w:pgMar w:top="1440" w:right="1800" w:bottom="1440" w:left="1800" w:header="851" w:footer="992" w:gutter="0"/>
          <w:pgNumType w:fmt="numberInDash" w:start="5"/>
          <w:cols w:space="720" w:num="1"/>
          <w:docGrid w:type="lines" w:linePitch="326" w:charSpace="0"/>
        </w:sectPr>
      </w:pPr>
      <w:r>
        <w:rPr>
          <w:rFonts w:hint="eastAsia" w:ascii="宋体"/>
          <w:color w:val="auto"/>
          <w:sz w:val="20"/>
          <w:szCs w:val="21"/>
          <w:highlight w:val="none"/>
        </w:rPr>
        <w:t>注：附营业执照（副本）、</w:t>
      </w:r>
      <w:r>
        <w:rPr>
          <w:rFonts w:hint="eastAsia" w:ascii="宋体"/>
          <w:color w:val="auto"/>
          <w:sz w:val="20"/>
          <w:szCs w:val="21"/>
          <w:highlight w:val="none"/>
          <w:lang w:val="en-US" w:eastAsia="zh-CN"/>
        </w:rPr>
        <w:t>总公司授权委托书、</w:t>
      </w:r>
      <w:r>
        <w:rPr>
          <w:rFonts w:hint="eastAsia" w:ascii="宋体"/>
          <w:color w:val="auto"/>
          <w:sz w:val="20"/>
          <w:szCs w:val="21"/>
          <w:highlight w:val="none"/>
        </w:rPr>
        <w:t>资质证明复印件等。</w:t>
      </w:r>
    </w:p>
    <w:p>
      <w:pPr>
        <w:pStyle w:val="24"/>
        <w:bidi w:val="0"/>
        <w:rPr>
          <w:color w:val="auto"/>
          <w:highlight w:val="none"/>
        </w:rPr>
      </w:pPr>
      <w:bookmarkStart w:id="304" w:name="_Toc478053903"/>
      <w:bookmarkStart w:id="305" w:name="_Toc472780356"/>
      <w:bookmarkStart w:id="306" w:name="_Toc378234584"/>
      <w:bookmarkStart w:id="307" w:name="_Toc478054435"/>
      <w:bookmarkStart w:id="308" w:name="_Toc378234770"/>
      <w:r>
        <w:rPr>
          <w:color w:val="auto"/>
          <w:highlight w:val="none"/>
          <w:lang w:eastAsia="zh-CN"/>
        </w:rPr>
        <w:t>（</w:t>
      </w:r>
      <w:r>
        <w:rPr>
          <w:color w:val="auto"/>
          <w:highlight w:val="none"/>
          <w:lang w:val="en-US" w:eastAsia="zh-CN"/>
        </w:rPr>
        <w:t>二</w:t>
      </w:r>
      <w:r>
        <w:rPr>
          <w:color w:val="auto"/>
          <w:highlight w:val="none"/>
          <w:lang w:eastAsia="zh-CN"/>
        </w:rPr>
        <w:t>）</w:t>
      </w:r>
      <w:r>
        <w:rPr>
          <w:color w:val="auto"/>
          <w:highlight w:val="none"/>
        </w:rPr>
        <w:t>法定代表人</w:t>
      </w:r>
      <w:r>
        <w:rPr>
          <w:rFonts w:hint="eastAsia" w:ascii="宋体"/>
          <w:snapToGrid w:val="0"/>
          <w:color w:val="auto"/>
          <w:kern w:val="0"/>
          <w:sz w:val="24"/>
          <w:highlight w:val="none"/>
          <w:lang w:val="en-US" w:eastAsia="zh-CN"/>
        </w:rPr>
        <w:t>/</w:t>
      </w:r>
      <w:r>
        <w:rPr>
          <w:rFonts w:hint="eastAsia"/>
          <w:color w:val="auto"/>
          <w:highlight w:val="none"/>
          <w:lang w:val="en-US" w:eastAsia="zh-CN"/>
        </w:rPr>
        <w:t>分支机构负责人</w:t>
      </w:r>
      <w:r>
        <w:rPr>
          <w:color w:val="auto"/>
          <w:highlight w:val="none"/>
        </w:rPr>
        <w:t>身份证明及授权委托书</w:t>
      </w:r>
      <w:bookmarkEnd w:id="304"/>
      <w:bookmarkEnd w:id="305"/>
      <w:bookmarkEnd w:id="306"/>
      <w:bookmarkEnd w:id="307"/>
      <w:bookmarkEnd w:id="308"/>
    </w:p>
    <w:p>
      <w:pPr>
        <w:pStyle w:val="25"/>
        <w:bidi w:val="0"/>
        <w:rPr>
          <w:color w:val="auto"/>
          <w:highlight w:val="none"/>
        </w:rPr>
      </w:pPr>
      <w:r>
        <w:rPr>
          <w:rFonts w:hint="eastAsia"/>
          <w:color w:val="auto"/>
          <w:highlight w:val="none"/>
        </w:rPr>
        <w:t>法定代表人</w:t>
      </w:r>
      <w:r>
        <w:rPr>
          <w:rFonts w:hint="eastAsia"/>
          <w:color w:val="auto"/>
          <w:highlight w:val="none"/>
          <w:lang w:val="en-US" w:eastAsia="zh-CN"/>
        </w:rPr>
        <w:t>/分支机构负责人</w:t>
      </w:r>
      <w:r>
        <w:rPr>
          <w:rFonts w:hint="eastAsia"/>
          <w:color w:val="auto"/>
          <w:highlight w:val="none"/>
        </w:rPr>
        <w:t>身份证明书</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项目名称：</w:t>
      </w:r>
      <w:r>
        <w:rPr>
          <w:rFonts w:hint="eastAsia" w:ascii="宋体"/>
          <w:snapToGrid w:val="0"/>
          <w:color w:val="auto"/>
          <w:kern w:val="0"/>
          <w:sz w:val="24"/>
          <w:highlight w:val="none"/>
          <w:u w:val="single"/>
        </w:rPr>
        <w:t>____________________</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致：</w:t>
      </w:r>
      <w:r>
        <w:rPr>
          <w:rFonts w:hint="eastAsia" w:ascii="宋体"/>
          <w:snapToGrid w:val="0"/>
          <w:color w:val="auto"/>
          <w:kern w:val="0"/>
          <w:sz w:val="24"/>
          <w:highlight w:val="none"/>
          <w:u w:val="single"/>
        </w:rPr>
        <w:t xml:space="preserve"> 重庆三峡银行股份有限公司  </w:t>
      </w:r>
      <w:r>
        <w:rPr>
          <w:rFonts w:hint="eastAsia" w:ascii="宋体"/>
          <w:snapToGrid w:val="0"/>
          <w:color w:val="auto"/>
          <w:kern w:val="0"/>
          <w:sz w:val="24"/>
          <w:highlight w:val="none"/>
        </w:rPr>
        <w:t>：</w:t>
      </w:r>
    </w:p>
    <w:p>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人法定代表人</w:t>
      </w:r>
      <w:r>
        <w:rPr>
          <w:rFonts w:hint="eastAsia"/>
          <w:color w:val="auto"/>
          <w:highlight w:val="none"/>
          <w:lang w:val="en-US" w:eastAsia="zh-CN"/>
        </w:rPr>
        <w:t>/分支机构负责人</w:t>
      </w:r>
      <w:r>
        <w:rPr>
          <w:rFonts w:hint="eastAsia" w:ascii="宋体"/>
          <w:snapToGrid w:val="0"/>
          <w:color w:val="auto"/>
          <w:kern w:val="0"/>
          <w:sz w:val="24"/>
          <w:highlight w:val="none"/>
        </w:rPr>
        <w:t>姓名）在</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（参选人名称）任</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（职务名称）职务，是（参</w:t>
      </w:r>
      <w:r>
        <w:rPr>
          <w:rFonts w:hint="eastAsia" w:ascii="宋体" w:cs="Cambria"/>
          <w:snapToGrid w:val="0"/>
          <w:color w:val="auto"/>
          <w:kern w:val="0"/>
          <w:sz w:val="24"/>
          <w:szCs w:val="24"/>
          <w:highlight w:val="none"/>
        </w:rPr>
        <w:t>选</w:t>
      </w:r>
      <w:r>
        <w:rPr>
          <w:rFonts w:hint="eastAsia" w:ascii="宋体"/>
          <w:snapToGrid w:val="0"/>
          <w:color w:val="auto"/>
          <w:kern w:val="0"/>
          <w:sz w:val="24"/>
          <w:highlight w:val="none"/>
        </w:rPr>
        <w:t>人名称）</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的法定代表人</w:t>
      </w:r>
      <w:r>
        <w:rPr>
          <w:rFonts w:hint="eastAsia" w:ascii="宋体"/>
          <w:snapToGrid w:val="0"/>
          <w:color w:val="auto"/>
          <w:kern w:val="0"/>
          <w:sz w:val="24"/>
          <w:highlight w:val="none"/>
          <w:lang w:val="en-US" w:eastAsia="zh-CN"/>
        </w:rPr>
        <w:t>/</w:t>
      </w:r>
      <w:r>
        <w:rPr>
          <w:rFonts w:hint="eastAsia"/>
          <w:color w:val="auto"/>
          <w:highlight w:val="none"/>
          <w:lang w:val="en-US" w:eastAsia="zh-CN"/>
        </w:rPr>
        <w:t>分支机构负责人</w:t>
      </w:r>
      <w:r>
        <w:rPr>
          <w:rFonts w:hint="eastAsia" w:ascii="宋体"/>
          <w:snapToGrid w:val="0"/>
          <w:color w:val="auto"/>
          <w:kern w:val="0"/>
          <w:sz w:val="24"/>
          <w:highlight w:val="none"/>
        </w:rPr>
        <w:t>。</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特此证明。</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ind w:firstLine="6000" w:firstLineChars="2500"/>
        <w:rPr>
          <w:rFonts w:hint="eastAsia" w:ascii="宋体" w:eastAsia="宋体"/>
          <w:snapToGrid w:val="0"/>
          <w:color w:val="auto"/>
          <w:kern w:val="0"/>
          <w:sz w:val="24"/>
          <w:highlight w:val="none"/>
          <w:lang w:val="en-US" w:eastAsia="zh-CN"/>
        </w:rPr>
      </w:pPr>
      <w:r>
        <w:rPr>
          <w:rFonts w:hint="eastAsia" w:ascii="宋体"/>
          <w:snapToGrid w:val="0"/>
          <w:color w:val="auto"/>
          <w:kern w:val="0"/>
          <w:sz w:val="24"/>
          <w:highlight w:val="none"/>
          <w:lang w:val="en-US" w:eastAsia="zh-CN"/>
        </w:rPr>
        <w:t>参选人：</w:t>
      </w:r>
    </w:p>
    <w:p>
      <w:pPr>
        <w:tabs>
          <w:tab w:val="left" w:pos="6300"/>
        </w:tabs>
        <w:snapToGrid w:val="0"/>
        <w:spacing w:line="360" w:lineRule="auto"/>
        <w:ind w:firstLine="5760" w:firstLineChars="2400"/>
        <w:rPr>
          <w:rFonts w:ascii="宋体"/>
          <w:snapToGrid w:val="0"/>
          <w:color w:val="auto"/>
          <w:kern w:val="0"/>
          <w:sz w:val="24"/>
          <w:highlight w:val="none"/>
        </w:rPr>
      </w:pP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人公章）</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 xml:space="preserve">                                             年   月   日</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（附：法定代表人</w:t>
      </w:r>
      <w:r>
        <w:rPr>
          <w:rFonts w:hint="eastAsia"/>
          <w:color w:val="auto"/>
          <w:highlight w:val="none"/>
          <w:lang w:val="en-US" w:eastAsia="zh-CN"/>
        </w:rPr>
        <w:t>/分支机构负责人</w:t>
      </w:r>
      <w:r>
        <w:rPr>
          <w:rFonts w:hint="eastAsia" w:ascii="宋体"/>
          <w:snapToGrid w:val="0"/>
          <w:color w:val="auto"/>
          <w:kern w:val="0"/>
          <w:sz w:val="24"/>
          <w:highlight w:val="none"/>
        </w:rPr>
        <w:t>身份证正反面复印件）</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p>
    <w:p>
      <w:pPr>
        <w:jc w:val="center"/>
        <w:rPr>
          <w:rStyle w:val="26"/>
          <w:color w:val="auto"/>
          <w:highlight w:val="none"/>
        </w:rPr>
      </w:pPr>
      <w:r>
        <w:rPr>
          <w:rFonts w:hint="eastAsia"/>
          <w:snapToGrid w:val="0"/>
          <w:color w:val="auto"/>
          <w:kern w:val="0"/>
          <w:highlight w:val="none"/>
        </w:rPr>
        <w:br w:type="column"/>
      </w:r>
      <w:r>
        <w:rPr>
          <w:rStyle w:val="26"/>
          <w:rFonts w:hint="eastAsia"/>
          <w:color w:val="auto"/>
          <w:highlight w:val="none"/>
        </w:rPr>
        <w:t>法定代表人</w:t>
      </w:r>
      <w:r>
        <w:rPr>
          <w:rFonts w:hint="eastAsia"/>
          <w:b/>
          <w:bCs/>
          <w:snapToGrid w:val="0"/>
          <w:color w:val="auto"/>
          <w:highlight w:val="none"/>
          <w:lang w:eastAsia="zh-CN"/>
        </w:rPr>
        <w:t>（</w:t>
      </w:r>
      <w:r>
        <w:rPr>
          <w:rFonts w:hint="eastAsia"/>
          <w:b/>
          <w:bCs/>
          <w:snapToGrid w:val="0"/>
          <w:color w:val="auto"/>
          <w:highlight w:val="none"/>
          <w:lang w:val="en-US" w:eastAsia="zh-CN"/>
        </w:rPr>
        <w:t>分支机构负责人</w:t>
      </w:r>
      <w:r>
        <w:rPr>
          <w:rFonts w:hint="eastAsia"/>
          <w:b/>
          <w:bCs/>
          <w:snapToGrid w:val="0"/>
          <w:color w:val="auto"/>
          <w:highlight w:val="none"/>
          <w:lang w:eastAsia="zh-CN"/>
        </w:rPr>
        <w:t>）</w:t>
      </w:r>
      <w:r>
        <w:rPr>
          <w:rStyle w:val="26"/>
          <w:rFonts w:hint="eastAsia"/>
          <w:color w:val="auto"/>
          <w:highlight w:val="none"/>
        </w:rPr>
        <w:t>授权委托书</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szCs w:val="28"/>
          <w:highlight w:val="none"/>
        </w:rPr>
        <w:t>项目名称</w:t>
      </w:r>
      <w:r>
        <w:rPr>
          <w:rFonts w:hint="eastAsia" w:ascii="宋体"/>
          <w:snapToGrid w:val="0"/>
          <w:color w:val="auto"/>
          <w:kern w:val="0"/>
          <w:sz w:val="24"/>
          <w:highlight w:val="none"/>
        </w:rPr>
        <w:t>：</w:t>
      </w:r>
      <w:r>
        <w:rPr>
          <w:rFonts w:hint="eastAsia" w:ascii="宋体"/>
          <w:snapToGrid w:val="0"/>
          <w:color w:val="auto"/>
          <w:kern w:val="0"/>
          <w:sz w:val="24"/>
          <w:szCs w:val="24"/>
          <w:highlight w:val="none"/>
          <w:u w:val="single"/>
        </w:rPr>
        <w:t>___________________</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highlight w:val="none"/>
        </w:rPr>
        <w:t>致：</w:t>
      </w:r>
      <w:r>
        <w:rPr>
          <w:rFonts w:hint="eastAsia" w:ascii="宋体"/>
          <w:snapToGrid w:val="0"/>
          <w:color w:val="auto"/>
          <w:kern w:val="0"/>
          <w:sz w:val="24"/>
          <w:highlight w:val="none"/>
          <w:u w:val="single"/>
        </w:rPr>
        <w:t>重庆三峡银行股份有限公司</w:t>
      </w:r>
      <w:r>
        <w:rPr>
          <w:rFonts w:hint="eastAsia" w:ascii="宋体"/>
          <w:snapToGrid w:val="0"/>
          <w:color w:val="auto"/>
          <w:kern w:val="0"/>
          <w:sz w:val="24"/>
          <w:highlight w:val="none"/>
        </w:rPr>
        <w:t>：</w:t>
      </w:r>
    </w:p>
    <w:p>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人法定代表人</w:t>
      </w:r>
      <w:r>
        <w:rPr>
          <w:rFonts w:hint="eastAsia"/>
          <w:color w:val="auto"/>
          <w:highlight w:val="none"/>
          <w:lang w:val="en-US" w:eastAsia="zh-CN"/>
        </w:rPr>
        <w:t>/分支机构负责人</w:t>
      </w:r>
      <w:r>
        <w:rPr>
          <w:rFonts w:hint="eastAsia" w:ascii="宋体"/>
          <w:snapToGrid w:val="0"/>
          <w:color w:val="auto"/>
          <w:kern w:val="0"/>
          <w:sz w:val="24"/>
          <w:highlight w:val="none"/>
        </w:rPr>
        <w:t>名称）是</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人名称）的法定代表人</w:t>
      </w:r>
      <w:r>
        <w:rPr>
          <w:rFonts w:hint="eastAsia"/>
          <w:color w:val="auto"/>
          <w:highlight w:val="none"/>
          <w:lang w:eastAsia="zh-CN"/>
        </w:rPr>
        <w:t>（分支机构负责人）</w:t>
      </w:r>
      <w:r>
        <w:rPr>
          <w:rFonts w:hint="eastAsia" w:ascii="宋体"/>
          <w:snapToGrid w:val="0"/>
          <w:color w:val="auto"/>
          <w:kern w:val="0"/>
          <w:sz w:val="24"/>
          <w:highlight w:val="none"/>
        </w:rPr>
        <w:t>，特授权</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（被授权人姓名及身份证代码）代表我单位全权办理上述项目的</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、谈判、签约等具体工作，并签署全部有关文件、协议及合同。</w:t>
      </w:r>
    </w:p>
    <w:p>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highlight w:val="none"/>
        </w:rPr>
        <w:t>我单位对被授权人的签字负全部责任。</w:t>
      </w:r>
    </w:p>
    <w:p>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rPr>
          <w:rFonts w:ascii="宋体"/>
          <w:snapToGrid w:val="0"/>
          <w:color w:val="auto"/>
          <w:kern w:val="0"/>
          <w:sz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highlight w:val="none"/>
                <w:vertAlign w:val="baseline"/>
              </w:rPr>
            </w:pPr>
            <w:r>
              <w:rPr>
                <w:rFonts w:hint="eastAsia" w:ascii="宋体"/>
                <w:snapToGrid w:val="0"/>
                <w:color w:val="auto"/>
                <w:kern w:val="0"/>
                <w:sz w:val="24"/>
                <w:highlight w:val="none"/>
              </w:rPr>
              <w:t>被授权人</w:t>
            </w:r>
          </w:p>
        </w:tc>
        <w:tc>
          <w:tcPr>
            <w:tcW w:w="4261" w:type="dxa"/>
            <w:tcBorders>
              <w:top w:val="nil"/>
              <w:left w:val="nil"/>
              <w:bottom w:val="nil"/>
              <w:right w:val="nil"/>
            </w:tcBorders>
            <w:noWra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highlight w:val="none"/>
                <w:vertAlign w:val="baseline"/>
              </w:rPr>
            </w:pP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人法定代表人</w:t>
            </w:r>
            <w:r>
              <w:rPr>
                <w:rFonts w:hint="eastAsia"/>
                <w:color w:val="auto"/>
                <w:highlight w:val="none"/>
                <w:lang w:val="en-US" w:eastAsia="zh-CN"/>
              </w:rPr>
              <w:t>/分支机构负责人</w:t>
            </w:r>
            <w:r>
              <w:rPr>
                <w:rFonts w:hint="eastAsia" w:ascii="宋体"/>
                <w:snapToGrid w:val="0"/>
                <w:color w:val="auto"/>
                <w:kern w:val="0"/>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highlight w:val="none"/>
                <w:vertAlign w:val="baseline"/>
              </w:rPr>
            </w:pPr>
            <w:r>
              <w:rPr>
                <w:rFonts w:hint="eastAsia" w:ascii="宋体"/>
                <w:snapToGrid w:val="0"/>
                <w:color w:val="auto"/>
                <w:kern w:val="0"/>
                <w:sz w:val="24"/>
                <w:szCs w:val="28"/>
                <w:highlight w:val="none"/>
              </w:rPr>
              <w:t>（签字或盖章）</w:t>
            </w:r>
          </w:p>
        </w:tc>
        <w:tc>
          <w:tcPr>
            <w:tcW w:w="4261" w:type="dxa"/>
            <w:tcBorders>
              <w:top w:val="nil"/>
              <w:left w:val="nil"/>
              <w:bottom w:val="nil"/>
              <w:right w:val="nil"/>
            </w:tcBorders>
            <w:noWrap/>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highlight w:val="none"/>
                <w:vertAlign w:val="baseline"/>
              </w:rPr>
            </w:pPr>
            <w:r>
              <w:rPr>
                <w:rFonts w:hint="eastAsia" w:ascii="宋体"/>
                <w:snapToGrid w:val="0"/>
                <w:color w:val="auto"/>
                <w:kern w:val="0"/>
                <w:sz w:val="24"/>
                <w:szCs w:val="28"/>
                <w:highlight w:val="none"/>
              </w:rPr>
              <w:t>（签字或盖章）</w:t>
            </w:r>
          </w:p>
        </w:tc>
      </w:tr>
    </w:tbl>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szCs w:val="28"/>
          <w:highlight w:val="none"/>
        </w:rPr>
      </w:pP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（附：被授权人身份证正反面复印件）</w:t>
      </w: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rPr>
          <w:rFonts w:ascii="宋体"/>
          <w:snapToGrid w:val="0"/>
          <w:color w:val="auto"/>
          <w:kern w:val="0"/>
          <w:sz w:val="24"/>
          <w:highlight w:val="none"/>
        </w:rPr>
      </w:pPr>
    </w:p>
    <w:p>
      <w:pPr>
        <w:tabs>
          <w:tab w:val="left" w:pos="6300"/>
        </w:tabs>
        <w:snapToGrid w:val="0"/>
        <w:spacing w:line="360" w:lineRule="auto"/>
        <w:ind w:right="480"/>
        <w:jc w:val="right"/>
        <w:rPr>
          <w:rFonts w:ascii="宋体"/>
          <w:snapToGrid w:val="0"/>
          <w:color w:val="auto"/>
          <w:kern w:val="0"/>
          <w:sz w:val="24"/>
          <w:highlight w:val="none"/>
        </w:rPr>
      </w:pP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人公章）</w:t>
      </w:r>
    </w:p>
    <w:p>
      <w:pPr>
        <w:tabs>
          <w:tab w:val="left" w:pos="6300"/>
        </w:tabs>
        <w:snapToGrid w:val="0"/>
        <w:spacing w:line="360" w:lineRule="auto"/>
        <w:ind w:right="480"/>
        <w:jc w:val="right"/>
        <w:rPr>
          <w:rFonts w:hint="eastAsia" w:ascii="宋体"/>
          <w:snapToGrid w:val="0"/>
          <w:color w:val="auto"/>
          <w:kern w:val="0"/>
          <w:sz w:val="24"/>
          <w:highlight w:val="none"/>
        </w:rPr>
      </w:pPr>
      <w:r>
        <w:rPr>
          <w:rFonts w:hint="eastAsia" w:ascii="宋体"/>
          <w:snapToGrid w:val="0"/>
          <w:color w:val="auto"/>
          <w:kern w:val="0"/>
          <w:sz w:val="24"/>
          <w:highlight w:val="none"/>
        </w:rPr>
        <w:t>年   月   日</w:t>
      </w:r>
    </w:p>
    <w:p>
      <w:pPr>
        <w:tabs>
          <w:tab w:val="left" w:pos="6300"/>
        </w:tabs>
        <w:snapToGrid w:val="0"/>
        <w:spacing w:line="360" w:lineRule="auto"/>
        <w:ind w:firstLine="480" w:firstLineChars="200"/>
        <w:rPr>
          <w:rFonts w:hint="eastAsia" w:ascii="宋体"/>
          <w:snapToGrid w:val="0"/>
          <w:color w:val="auto"/>
          <w:kern w:val="0"/>
          <w:sz w:val="24"/>
          <w:highlight w:val="none"/>
        </w:rPr>
      </w:pPr>
    </w:p>
    <w:p>
      <w:pPr>
        <w:tabs>
          <w:tab w:val="left" w:pos="6300"/>
        </w:tabs>
        <w:snapToGrid w:val="0"/>
        <w:spacing w:line="360" w:lineRule="auto"/>
        <w:ind w:firstLine="480" w:firstLineChars="200"/>
        <w:rPr>
          <w:rFonts w:hint="eastAsia" w:ascii="宋体"/>
          <w:snapToGrid w:val="0"/>
          <w:color w:val="auto"/>
          <w:kern w:val="0"/>
          <w:sz w:val="24"/>
          <w:highlight w:val="none"/>
        </w:rPr>
      </w:pPr>
      <w:r>
        <w:rPr>
          <w:rFonts w:hint="eastAsia" w:ascii="宋体"/>
          <w:snapToGrid w:val="0"/>
          <w:color w:val="auto"/>
          <w:kern w:val="0"/>
          <w:sz w:val="24"/>
          <w:highlight w:val="none"/>
          <w:lang w:val="en-US" w:eastAsia="zh-CN"/>
        </w:rPr>
        <w:t>注：</w:t>
      </w:r>
      <w:r>
        <w:rPr>
          <w:rFonts w:hint="eastAsia" w:ascii="宋体"/>
          <w:snapToGrid w:val="0"/>
          <w:color w:val="auto"/>
          <w:kern w:val="0"/>
          <w:sz w:val="24"/>
          <w:highlight w:val="none"/>
        </w:rPr>
        <w:t>1.若为法定代表人（分支机构负责人）办理并签署</w:t>
      </w:r>
      <w:r>
        <w:rPr>
          <w:rFonts w:hint="eastAsia" w:ascii="宋体"/>
          <w:snapToGrid w:val="0"/>
          <w:color w:val="auto"/>
          <w:kern w:val="0"/>
          <w:sz w:val="24"/>
          <w:highlight w:val="none"/>
          <w:lang w:val="en-US" w:eastAsia="zh-CN"/>
        </w:rPr>
        <w:t>参选</w:t>
      </w:r>
      <w:r>
        <w:rPr>
          <w:rFonts w:hint="eastAsia" w:ascii="宋体"/>
          <w:snapToGrid w:val="0"/>
          <w:color w:val="auto"/>
          <w:kern w:val="0"/>
          <w:sz w:val="24"/>
          <w:highlight w:val="none"/>
        </w:rPr>
        <w:t>文件的，不提供此文件。</w:t>
      </w:r>
    </w:p>
    <w:p>
      <w:pPr>
        <w:tabs>
          <w:tab w:val="left" w:pos="6300"/>
        </w:tabs>
        <w:snapToGrid w:val="0"/>
        <w:spacing w:line="360" w:lineRule="auto"/>
        <w:ind w:firstLine="480" w:firstLineChars="200"/>
        <w:rPr>
          <w:rFonts w:hint="eastAsia" w:ascii="宋体"/>
          <w:snapToGrid w:val="0"/>
          <w:color w:val="auto"/>
          <w:kern w:val="0"/>
          <w:sz w:val="24"/>
          <w:highlight w:val="none"/>
        </w:rPr>
      </w:pPr>
      <w:r>
        <w:rPr>
          <w:rFonts w:hint="eastAsia" w:ascii="宋体"/>
          <w:snapToGrid w:val="0"/>
          <w:color w:val="auto"/>
          <w:kern w:val="0"/>
          <w:sz w:val="24"/>
          <w:highlight w:val="none"/>
        </w:rPr>
        <w:t>2.若为联合体</w:t>
      </w:r>
      <w:r>
        <w:rPr>
          <w:rFonts w:hint="eastAsia" w:ascii="宋体"/>
          <w:snapToGrid w:val="0"/>
          <w:color w:val="auto"/>
          <w:kern w:val="0"/>
          <w:sz w:val="24"/>
          <w:highlight w:val="none"/>
          <w:lang w:val="en-US" w:eastAsia="zh-CN"/>
        </w:rPr>
        <w:t>参选</w:t>
      </w:r>
      <w:r>
        <w:rPr>
          <w:rFonts w:hint="eastAsia" w:ascii="宋体"/>
          <w:snapToGrid w:val="0"/>
          <w:color w:val="auto"/>
          <w:kern w:val="0"/>
          <w:sz w:val="24"/>
          <w:highlight w:val="none"/>
        </w:rPr>
        <w:t>的，法定代表人授权委托书由联合体主办方（主体）出具。</w:t>
      </w:r>
    </w:p>
    <w:p>
      <w:pPr>
        <w:bidi w:val="0"/>
        <w:rPr>
          <w:rFonts w:hint="eastAsia"/>
          <w:color w:val="auto"/>
          <w:highlight w:val="none"/>
        </w:rPr>
      </w:pPr>
    </w:p>
    <w:p>
      <w:pPr>
        <w:bidi w:val="0"/>
        <w:rPr>
          <w:color w:val="auto"/>
          <w:highlight w:val="none"/>
        </w:rPr>
        <w:sectPr>
          <w:pgSz w:w="11906" w:h="16838"/>
          <w:pgMar w:top="1440" w:right="1800" w:bottom="1440" w:left="1800" w:header="851" w:footer="992" w:gutter="0"/>
          <w:pgNumType w:fmt="numberInDash"/>
          <w:cols w:space="720" w:num="1"/>
          <w:docGrid w:type="lines" w:linePitch="326" w:charSpace="0"/>
        </w:sectPr>
      </w:pPr>
    </w:p>
    <w:p>
      <w:pPr>
        <w:pStyle w:val="24"/>
        <w:bidi w:val="0"/>
        <w:rPr>
          <w:color w:val="auto"/>
          <w:highlight w:val="none"/>
        </w:rPr>
      </w:pPr>
      <w:r>
        <w:rPr>
          <w:rFonts w:hint="eastAsia"/>
          <w:color w:val="auto"/>
          <w:highlight w:val="none"/>
          <w:lang w:val="en-US" w:eastAsia="zh-CN"/>
        </w:rPr>
        <w:t>（三）</w:t>
      </w:r>
      <w:r>
        <w:rPr>
          <w:rFonts w:hint="eastAsia"/>
          <w:color w:val="auto"/>
          <w:highlight w:val="none"/>
        </w:rPr>
        <w:t>书面声明</w:t>
      </w:r>
    </w:p>
    <w:p>
      <w:pPr>
        <w:tabs>
          <w:tab w:val="left" w:pos="6300"/>
        </w:tabs>
        <w:snapToGrid w:val="0"/>
        <w:spacing w:line="360" w:lineRule="auto"/>
        <w:rPr>
          <w:rFonts w:ascii="宋体"/>
          <w:color w:val="auto"/>
          <w:sz w:val="24"/>
          <w:highlight w:val="none"/>
        </w:rPr>
      </w:pPr>
    </w:p>
    <w:p>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ascii="宋体"/>
          <w:snapToGrid w:val="0"/>
          <w:color w:val="auto"/>
          <w:kern w:val="0"/>
          <w:sz w:val="24"/>
          <w:szCs w:val="24"/>
          <w:highlight w:val="none"/>
          <w:u w:val="single"/>
        </w:rPr>
        <w:t>__________________</w:t>
      </w:r>
    </w:p>
    <w:p>
      <w:pPr>
        <w:tabs>
          <w:tab w:val="left" w:pos="6300"/>
        </w:tabs>
        <w:snapToGrid w:val="0"/>
        <w:spacing w:line="360" w:lineRule="auto"/>
        <w:rPr>
          <w:rFonts w:ascii="宋体"/>
          <w:color w:val="auto"/>
          <w:sz w:val="24"/>
          <w:highlight w:val="none"/>
        </w:rPr>
      </w:pPr>
    </w:p>
    <w:p>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参选</w:t>
      </w:r>
      <w:r>
        <w:rPr>
          <w:rFonts w:hint="eastAsia" w:ascii="宋体"/>
          <w:color w:val="auto"/>
          <w:sz w:val="24"/>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color w:val="auto"/>
          <w:kern w:val="0"/>
          <w:sz w:val="24"/>
          <w:szCs w:val="24"/>
          <w:highlight w:val="none"/>
        </w:rPr>
        <w:t>参选</w:t>
      </w:r>
      <w:r>
        <w:rPr>
          <w:rFonts w:hint="eastAsia" w:ascii="宋体"/>
          <w:color w:val="auto"/>
          <w:sz w:val="24"/>
          <w:highlight w:val="none"/>
        </w:rPr>
        <w:t>人资格条件</w:t>
      </w:r>
      <w:r>
        <w:rPr>
          <w:rFonts w:hint="eastAsia" w:ascii="宋体"/>
          <w:color w:val="auto"/>
          <w:sz w:val="24"/>
          <w:highlight w:val="none"/>
          <w:lang w:eastAsia="zh-CN"/>
        </w:rPr>
        <w:t>；</w:t>
      </w:r>
      <w:r>
        <w:rPr>
          <w:rFonts w:hint="eastAsia" w:ascii="宋体" w:cs="Cambria"/>
          <w:color w:val="auto"/>
          <w:sz w:val="24"/>
          <w:szCs w:val="24"/>
          <w:highlight w:val="none"/>
          <w:lang w:val="en-US" w:eastAsia="zh-CN"/>
        </w:rPr>
        <w:t>我公司本次如若中选，中选后不会对项目进行</w:t>
      </w:r>
      <w:r>
        <w:rPr>
          <w:rFonts w:hint="eastAsia" w:ascii="宋体" w:eastAsia="宋体" w:cs="Cambria"/>
          <w:color w:val="auto"/>
          <w:sz w:val="24"/>
          <w:szCs w:val="24"/>
          <w:highlight w:val="none"/>
          <w:lang w:val="en-US" w:eastAsia="zh-CN"/>
        </w:rPr>
        <w:t>转包</w:t>
      </w:r>
      <w:r>
        <w:rPr>
          <w:rFonts w:hint="eastAsia" w:ascii="宋体"/>
          <w:color w:val="auto"/>
          <w:sz w:val="24"/>
          <w:highlight w:val="none"/>
        </w:rPr>
        <w:t>。我方对以上声明负全部法律责任。</w:t>
      </w:r>
    </w:p>
    <w:p>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特此声明。</w:t>
      </w:r>
    </w:p>
    <w:p>
      <w:pPr>
        <w:tabs>
          <w:tab w:val="left" w:pos="6300"/>
        </w:tabs>
        <w:snapToGrid w:val="0"/>
        <w:spacing w:line="360" w:lineRule="auto"/>
        <w:rPr>
          <w:rFonts w:ascii="宋体"/>
          <w:color w:val="auto"/>
          <w:sz w:val="24"/>
          <w:highlight w:val="none"/>
        </w:rPr>
      </w:pPr>
    </w:p>
    <w:p>
      <w:pPr>
        <w:tabs>
          <w:tab w:val="left" w:pos="6300"/>
        </w:tabs>
        <w:snapToGrid w:val="0"/>
        <w:spacing w:line="360" w:lineRule="auto"/>
        <w:rPr>
          <w:rFonts w:ascii="宋体"/>
          <w:color w:val="auto"/>
          <w:sz w:val="24"/>
          <w:highlight w:val="none"/>
        </w:rPr>
      </w:pPr>
    </w:p>
    <w:p>
      <w:pPr>
        <w:tabs>
          <w:tab w:val="left" w:pos="6300"/>
        </w:tabs>
        <w:snapToGrid w:val="0"/>
        <w:spacing w:line="360" w:lineRule="auto"/>
        <w:rPr>
          <w:rFonts w:ascii="宋体"/>
          <w:color w:val="auto"/>
          <w:sz w:val="24"/>
          <w:highlight w:val="none"/>
        </w:rPr>
      </w:pPr>
    </w:p>
    <w:p>
      <w:pPr>
        <w:tabs>
          <w:tab w:val="left" w:pos="6300"/>
        </w:tabs>
        <w:snapToGrid w:val="0"/>
        <w:spacing w:line="360" w:lineRule="auto"/>
        <w:ind w:right="424"/>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参选</w:t>
      </w:r>
      <w:r>
        <w:rPr>
          <w:rFonts w:hint="eastAsia" w:ascii="宋体"/>
          <w:color w:val="auto"/>
          <w:sz w:val="24"/>
          <w:highlight w:val="none"/>
        </w:rPr>
        <w:t>人公章）</w:t>
      </w:r>
    </w:p>
    <w:p>
      <w:pPr>
        <w:tabs>
          <w:tab w:val="left" w:pos="6300"/>
        </w:tabs>
        <w:snapToGrid w:val="0"/>
        <w:spacing w:line="360" w:lineRule="auto"/>
        <w:ind w:right="480"/>
        <w:jc w:val="right"/>
        <w:rPr>
          <w:rFonts w:ascii="宋体"/>
          <w:color w:val="auto"/>
          <w:sz w:val="24"/>
          <w:highlight w:val="none"/>
        </w:rPr>
      </w:pPr>
      <w:r>
        <w:rPr>
          <w:rFonts w:hint="eastAsia" w:ascii="宋体"/>
          <w:color w:val="auto"/>
          <w:sz w:val="24"/>
          <w:highlight w:val="none"/>
        </w:rPr>
        <w:t>年   月   日</w:t>
      </w:r>
    </w:p>
    <w:p>
      <w:pPr>
        <w:spacing w:line="360" w:lineRule="auto"/>
        <w:jc w:val="left"/>
        <w:rPr>
          <w:rFonts w:ascii="宋体" w:cs="等线 Light"/>
          <w:snapToGrid w:val="0"/>
          <w:color w:val="auto"/>
          <w:kern w:val="0"/>
          <w:sz w:val="24"/>
          <w:szCs w:val="24"/>
          <w:highlight w:val="none"/>
        </w:rPr>
      </w:pPr>
    </w:p>
    <w:p>
      <w:pPr>
        <w:spacing w:line="360" w:lineRule="auto"/>
        <w:jc w:val="left"/>
        <w:rPr>
          <w:rFonts w:ascii="宋体" w:cs="等线 Light"/>
          <w:snapToGrid w:val="0"/>
          <w:color w:val="auto"/>
          <w:kern w:val="0"/>
          <w:sz w:val="24"/>
          <w:szCs w:val="24"/>
          <w:highlight w:val="none"/>
        </w:rPr>
      </w:pPr>
    </w:p>
    <w:p>
      <w:pPr>
        <w:spacing w:line="360" w:lineRule="auto"/>
        <w:jc w:val="left"/>
        <w:rPr>
          <w:rFonts w:ascii="宋体" w:cs="等线 Light"/>
          <w:snapToGrid w:val="0"/>
          <w:color w:val="auto"/>
          <w:kern w:val="0"/>
          <w:sz w:val="24"/>
          <w:szCs w:val="24"/>
          <w:highlight w:val="none"/>
        </w:rPr>
      </w:pPr>
    </w:p>
    <w:p>
      <w:pPr>
        <w:spacing w:line="360" w:lineRule="auto"/>
        <w:jc w:val="left"/>
        <w:rPr>
          <w:rFonts w:ascii="宋体" w:cs="等线 Light"/>
          <w:snapToGrid w:val="0"/>
          <w:color w:val="auto"/>
          <w:kern w:val="0"/>
          <w:sz w:val="24"/>
          <w:szCs w:val="24"/>
          <w:highlight w:val="none"/>
        </w:rPr>
      </w:pPr>
    </w:p>
    <w:p>
      <w:pPr>
        <w:spacing w:line="360" w:lineRule="auto"/>
        <w:jc w:val="left"/>
        <w:rPr>
          <w:rFonts w:ascii="宋体" w:cs="等线 Light"/>
          <w:snapToGrid w:val="0"/>
          <w:color w:val="auto"/>
          <w:kern w:val="0"/>
          <w:sz w:val="24"/>
          <w:szCs w:val="24"/>
          <w:highlight w:val="none"/>
        </w:rPr>
      </w:pPr>
    </w:p>
    <w:p>
      <w:pPr>
        <w:spacing w:line="360" w:lineRule="auto"/>
        <w:jc w:val="left"/>
        <w:rPr>
          <w:rFonts w:ascii="宋体" w:cs="等线 Light"/>
          <w:snapToGrid w:val="0"/>
          <w:color w:val="auto"/>
          <w:kern w:val="0"/>
          <w:sz w:val="24"/>
          <w:szCs w:val="24"/>
          <w:highlight w:val="none"/>
        </w:rPr>
      </w:pPr>
    </w:p>
    <w:p>
      <w:pPr>
        <w:spacing w:line="360" w:lineRule="auto"/>
        <w:jc w:val="left"/>
        <w:rPr>
          <w:rFonts w:ascii="宋体" w:cs="等线 Light"/>
          <w:snapToGrid w:val="0"/>
          <w:color w:val="auto"/>
          <w:kern w:val="0"/>
          <w:sz w:val="24"/>
          <w:szCs w:val="24"/>
          <w:highlight w:val="none"/>
        </w:rPr>
      </w:pPr>
    </w:p>
    <w:p>
      <w:pPr>
        <w:ind w:left="0" w:leftChars="0" w:firstLine="0" w:firstLineChars="0"/>
        <w:rPr>
          <w:rFonts w:hint="eastAsia"/>
          <w:b/>
          <w:bCs/>
          <w:color w:val="auto"/>
          <w:highlight w:val="none"/>
        </w:rPr>
      </w:pPr>
    </w:p>
    <w:p>
      <w:pPr>
        <w:pStyle w:val="24"/>
        <w:bidi w:val="0"/>
        <w:rPr>
          <w:color w:val="auto"/>
          <w:highlight w:val="none"/>
        </w:rPr>
      </w:pPr>
      <w:r>
        <w:rPr>
          <w:color w:val="auto"/>
          <w:highlight w:val="none"/>
        </w:rPr>
        <w:br w:type="page"/>
      </w:r>
      <w:r>
        <w:rPr>
          <w:color w:val="auto"/>
          <w:highlight w:val="none"/>
        </w:rPr>
        <w:t>（</w:t>
      </w:r>
      <w:r>
        <w:rPr>
          <w:rFonts w:hint="eastAsia"/>
          <w:color w:val="auto"/>
          <w:highlight w:val="none"/>
          <w:lang w:val="en-US" w:eastAsia="zh-CN"/>
        </w:rPr>
        <w:t>四</w:t>
      </w:r>
      <w:r>
        <w:rPr>
          <w:color w:val="auto"/>
          <w:highlight w:val="none"/>
        </w:rPr>
        <w:t>）中国执行信息公开网截图</w:t>
      </w: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eastAsia="宋体"/>
          <w:color w:val="auto"/>
          <w:highlight w:val="none"/>
          <w:lang w:val="en-US" w:eastAsia="zh-CN"/>
        </w:rPr>
      </w:pPr>
      <w:r>
        <w:rPr>
          <w:rFonts w:hint="eastAsia"/>
          <w:color w:val="auto"/>
          <w:highlight w:val="none"/>
        </w:rPr>
        <w:br w:type="page"/>
      </w:r>
      <w:r>
        <w:rPr>
          <w:rFonts w:hint="eastAsia"/>
          <w:color w:val="auto"/>
          <w:highlight w:val="none"/>
          <w:lang w:val="zh-CN"/>
        </w:rPr>
        <w:t>（</w:t>
      </w:r>
      <w:r>
        <w:rPr>
          <w:rFonts w:hint="eastAsia"/>
          <w:color w:val="auto"/>
          <w:highlight w:val="none"/>
          <w:lang w:val="en-US" w:eastAsia="zh-CN"/>
        </w:rPr>
        <w:t>五</w:t>
      </w:r>
      <w:r>
        <w:rPr>
          <w:rFonts w:hint="eastAsia"/>
          <w:color w:val="auto"/>
          <w:highlight w:val="none"/>
          <w:lang w:val="zh-CN"/>
        </w:rPr>
        <w:t>）项目案例</w:t>
      </w:r>
      <w:r>
        <w:rPr>
          <w:rFonts w:hint="eastAsia"/>
          <w:color w:val="auto"/>
          <w:highlight w:val="none"/>
          <w:lang w:val="en-US" w:eastAsia="zh-CN"/>
        </w:rPr>
        <w:t>和业绩证明文件复印件</w:t>
      </w:r>
    </w:p>
    <w:p>
      <w:pPr>
        <w:pStyle w:val="22"/>
        <w:bidi w:val="0"/>
        <w:rPr>
          <w:color w:val="auto"/>
          <w:highlight w:val="none"/>
          <w:lang w:val="en-US" w:eastAsia="zh-CN"/>
        </w:rPr>
      </w:pPr>
      <w:r>
        <w:rPr>
          <w:rFonts w:hint="eastAsia"/>
          <w:color w:val="auto"/>
          <w:highlight w:val="none"/>
          <w:lang w:val="en-US" w:eastAsia="zh-CN"/>
        </w:rPr>
        <w:br w:type="page"/>
      </w:r>
      <w:r>
        <w:rPr>
          <w:rFonts w:hint="eastAsia"/>
          <w:color w:val="auto"/>
          <w:highlight w:val="none"/>
          <w:lang w:val="en-US" w:eastAsia="zh-CN"/>
        </w:rPr>
        <w:t>四、响应性文件</w:t>
      </w:r>
    </w:p>
    <w:p>
      <w:pPr>
        <w:autoSpaceDE/>
        <w:autoSpaceDN/>
        <w:bidi w:val="0"/>
        <w:ind w:firstLine="0" w:firstLineChars="0"/>
        <w:jc w:val="center"/>
        <w:rPr>
          <w:rFonts w:hint="eastAsia"/>
          <w:color w:val="auto"/>
          <w:highlight w:val="none"/>
          <w:lang w:val="en-US" w:eastAsia="zh-CN"/>
        </w:rPr>
      </w:pPr>
      <w:r>
        <w:rPr>
          <w:rFonts w:hint="eastAsia"/>
          <w:color w:val="auto"/>
          <w:highlight w:val="none"/>
          <w:lang w:val="en-US" w:eastAsia="zh-CN"/>
        </w:rPr>
        <w:t>（一）响应承诺函</w:t>
      </w:r>
    </w:p>
    <w:p>
      <w:pPr>
        <w:pStyle w:val="2"/>
        <w:spacing w:line="360" w:lineRule="auto"/>
        <w:rPr>
          <w:rFonts w:hint="eastAsia"/>
          <w:color w:val="auto"/>
          <w:highlight w:val="none"/>
          <w:lang w:val="en-US" w:eastAsia="zh-CN"/>
        </w:rPr>
      </w:pPr>
      <w:r>
        <w:rPr>
          <w:rFonts w:hint="eastAsia"/>
          <w:color w:val="auto"/>
          <w:highlight w:val="none"/>
          <w:lang w:val="en-US" w:eastAsia="zh-CN"/>
        </w:rPr>
        <w:t>1.根据第三章“项目要求”内容，做出整体承诺，格式自理。</w:t>
      </w:r>
    </w:p>
    <w:p>
      <w:pPr>
        <w:pStyle w:val="2"/>
        <w:spacing w:line="360" w:lineRule="auto"/>
        <w:rPr>
          <w:rFonts w:hint="eastAsia" w:eastAsia="宋体"/>
          <w:color w:val="auto"/>
          <w:highlight w:val="none"/>
          <w:lang w:val="en-US" w:eastAsia="zh-CN"/>
        </w:rPr>
      </w:pPr>
      <w:r>
        <w:rPr>
          <w:rFonts w:hint="eastAsia"/>
          <w:color w:val="auto"/>
          <w:highlight w:val="none"/>
          <w:lang w:val="en-US" w:eastAsia="zh-CN"/>
        </w:rPr>
        <w:t>2.</w:t>
      </w:r>
      <w:r>
        <w:rPr>
          <w:rFonts w:hint="eastAsia" w:ascii="Cambria Math" w:hAnsi="Cambria Math"/>
          <w:color w:val="auto"/>
          <w:szCs w:val="20"/>
          <w:highlight w:val="none"/>
        </w:rPr>
        <w:t>完成本项目年度审计，</w:t>
      </w:r>
      <w:r>
        <w:rPr>
          <w:rFonts w:hint="eastAsia" w:ascii="Cambria Math" w:hAnsi="Cambria Math"/>
          <w:color w:val="auto"/>
          <w:szCs w:val="20"/>
          <w:highlight w:val="none"/>
          <w:lang w:val="en-US" w:eastAsia="zh-CN"/>
        </w:rPr>
        <w:t xml:space="preserve">  </w:t>
      </w:r>
      <w:r>
        <w:rPr>
          <w:rFonts w:hint="eastAsia" w:ascii="Cambria Math" w:hAnsi="Cambria Math"/>
          <w:color w:val="auto"/>
          <w:szCs w:val="20"/>
          <w:highlight w:val="none"/>
        </w:rPr>
        <w:t>个工作日以内出具审计报告</w:t>
      </w:r>
      <w:r>
        <w:rPr>
          <w:rFonts w:hint="eastAsia" w:ascii="Cambria Math" w:hAnsi="Cambria Math"/>
          <w:color w:val="auto"/>
          <w:szCs w:val="20"/>
          <w:highlight w:val="none"/>
          <w:lang w:eastAsia="zh-CN"/>
        </w:rPr>
        <w:t>。</w:t>
      </w:r>
    </w:p>
    <w:p>
      <w:pPr>
        <w:pStyle w:val="2"/>
        <w:spacing w:line="360" w:lineRule="auto"/>
        <w:rPr>
          <w:rFonts w:hint="eastAsia"/>
          <w:color w:val="auto"/>
          <w:highlight w:val="none"/>
          <w:lang w:val="en-US" w:eastAsia="zh-CN"/>
        </w:rPr>
      </w:pPr>
      <w:r>
        <w:rPr>
          <w:rFonts w:hint="eastAsia"/>
          <w:color w:val="auto"/>
          <w:highlight w:val="none"/>
          <w:lang w:val="en-US" w:eastAsia="zh-CN"/>
        </w:rPr>
        <w:t>3.增值服务（备注：根据实际情况进行承诺，并删除此备注信息）：</w:t>
      </w:r>
    </w:p>
    <w:p>
      <w:pPr>
        <w:pStyle w:val="2"/>
        <w:spacing w:line="360" w:lineRule="auto"/>
        <w:rPr>
          <w:rFonts w:hint="eastAsia" w:ascii="Cambria Math" w:hAnsi="Cambria Math"/>
          <w:color w:val="auto"/>
          <w:szCs w:val="20"/>
          <w:highlight w:val="none"/>
        </w:rPr>
      </w:pPr>
      <w:r>
        <w:rPr>
          <w:rFonts w:hint="eastAsia" w:ascii="Cambria Math" w:hAnsi="Cambria Math"/>
          <w:color w:val="auto"/>
          <w:szCs w:val="20"/>
          <w:highlight w:val="none"/>
        </w:rPr>
        <w:t>（1）免费提供管理建议书服务</w:t>
      </w:r>
    </w:p>
    <w:p>
      <w:pPr>
        <w:pStyle w:val="2"/>
        <w:spacing w:line="360" w:lineRule="auto"/>
        <w:rPr>
          <w:rFonts w:hint="eastAsia" w:ascii="Cambria Math" w:hAnsi="Cambria Math"/>
          <w:color w:val="auto"/>
          <w:szCs w:val="20"/>
          <w:highlight w:val="none"/>
        </w:rPr>
      </w:pPr>
      <w:r>
        <w:rPr>
          <w:rFonts w:hint="eastAsia" w:ascii="Cambria Math" w:hAnsi="Cambria Math"/>
          <w:color w:val="auto"/>
          <w:szCs w:val="20"/>
          <w:highlight w:val="none"/>
        </w:rPr>
        <w:t>（2）免费提供业务咨询和政策解读服务</w:t>
      </w:r>
    </w:p>
    <w:p>
      <w:pPr>
        <w:pStyle w:val="2"/>
        <w:spacing w:line="360" w:lineRule="auto"/>
        <w:rPr>
          <w:rFonts w:hint="eastAsia" w:ascii="Cambria Math" w:hAnsi="Cambria Math"/>
          <w:color w:val="auto"/>
          <w:szCs w:val="20"/>
          <w:highlight w:val="none"/>
        </w:rPr>
      </w:pPr>
      <w:r>
        <w:rPr>
          <w:rFonts w:hint="eastAsia" w:ascii="Cambria Math" w:hAnsi="Cambria Math"/>
          <w:color w:val="auto"/>
          <w:szCs w:val="20"/>
          <w:highlight w:val="none"/>
        </w:rPr>
        <w:t>（3）免费提供不少于1次/年业务培训</w:t>
      </w:r>
    </w:p>
    <w:p>
      <w:pPr>
        <w:bidi w:val="0"/>
        <w:jc w:val="center"/>
        <w:rPr>
          <w:rFonts w:hint="eastAsia"/>
          <w:color w:val="auto"/>
          <w:highlight w:val="none"/>
          <w:lang w:val="en-US" w:eastAsia="zh-CN"/>
        </w:rPr>
      </w:pPr>
      <w:r>
        <w:rPr>
          <w:rFonts w:hint="eastAsia"/>
          <w:color w:val="auto"/>
          <w:highlight w:val="none"/>
          <w:lang w:val="en-US" w:eastAsia="zh-CN"/>
        </w:rPr>
        <w:br w:type="page"/>
      </w:r>
      <w:r>
        <w:rPr>
          <w:rFonts w:hint="eastAsia"/>
          <w:color w:val="auto"/>
          <w:highlight w:val="none"/>
          <w:lang w:val="en-US" w:eastAsia="zh-CN"/>
        </w:rPr>
        <w:t>（二）服务连续性预案</w:t>
      </w:r>
    </w:p>
    <w:p>
      <w:pPr>
        <w:bidi w:val="0"/>
        <w:jc w:val="center"/>
        <w:rPr>
          <w:rFonts w:hint="eastAsia"/>
          <w:color w:val="auto"/>
          <w:highlight w:val="none"/>
          <w:lang w:val="en-US" w:eastAsia="zh-CN"/>
        </w:rPr>
      </w:pPr>
      <w:r>
        <w:rPr>
          <w:rFonts w:hint="eastAsia"/>
          <w:color w:val="auto"/>
          <w:highlight w:val="none"/>
          <w:lang w:val="en-US" w:eastAsia="zh-CN"/>
        </w:rPr>
        <w:br w:type="page"/>
      </w:r>
      <w:r>
        <w:rPr>
          <w:rFonts w:hint="eastAsia"/>
          <w:color w:val="auto"/>
          <w:highlight w:val="none"/>
          <w:lang w:val="en-US" w:eastAsia="zh-CN"/>
        </w:rPr>
        <w:t>（三）项目实施方案</w:t>
      </w:r>
    </w:p>
    <w:p>
      <w:pPr>
        <w:bidi w:val="0"/>
        <w:rPr>
          <w:color w:val="auto"/>
          <w:highlight w:val="none"/>
          <w:lang w:val="en-US" w:eastAsia="zh-CN"/>
        </w:rPr>
      </w:pPr>
    </w:p>
    <w:p>
      <w:pPr>
        <w:bidi w:val="0"/>
        <w:rPr>
          <w:rFonts w:hint="eastAsia"/>
          <w:color w:val="auto"/>
          <w:highlight w:val="none"/>
          <w:lang w:val="en-US" w:eastAsia="zh-CN"/>
        </w:rPr>
      </w:pPr>
    </w:p>
    <w:p>
      <w:pPr>
        <w:bidi w:val="0"/>
        <w:rPr>
          <w:color w:val="auto"/>
          <w:highlight w:val="none"/>
          <w:lang w:val="en-US" w:eastAsia="zh-CN"/>
        </w:rPr>
        <w:sectPr>
          <w:pgSz w:w="11906" w:h="16838"/>
          <w:pgMar w:top="1440" w:right="1800" w:bottom="1440" w:left="1800" w:header="851" w:footer="992" w:gutter="0"/>
          <w:pgNumType w:fmt="numberInDash"/>
          <w:cols w:space="720" w:num="1"/>
          <w:docGrid w:type="lines" w:linePitch="326" w:charSpace="0"/>
        </w:sectPr>
      </w:pPr>
    </w:p>
    <w:p>
      <w:pPr>
        <w:pStyle w:val="22"/>
        <w:bidi w:val="0"/>
        <w:rPr>
          <w:color w:val="auto"/>
          <w:highlight w:val="none"/>
        </w:rPr>
      </w:pPr>
      <w:r>
        <w:rPr>
          <w:rFonts w:hint="eastAsia"/>
          <w:color w:val="auto"/>
          <w:highlight w:val="none"/>
          <w:lang w:val="en-US" w:eastAsia="zh-CN"/>
        </w:rPr>
        <w:t>五、</w:t>
      </w:r>
      <w:r>
        <w:rPr>
          <w:rFonts w:hint="eastAsia"/>
          <w:color w:val="auto"/>
          <w:highlight w:val="none"/>
        </w:rPr>
        <w:t>参选保证金</w:t>
      </w: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spacing w:line="360" w:lineRule="auto"/>
        <w:rPr>
          <w:rFonts w:ascii="宋体" w:cs="等线 Light"/>
          <w:color w:val="auto"/>
          <w:highlight w:val="none"/>
        </w:rPr>
      </w:pPr>
    </w:p>
    <w:p>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10" name="直线 4"/>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4"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NDvGdUAAAAIAQAADwAAAAAA&#10;AAABACAAAAAiAAAAZHJzL2Rvd25yZXYueG1sUEsBAhQAFAAAAAgAh07iQGAmLNcWAgAAIAQAAA4A&#10;AAAAAAAAAQAgAAAAJAEAAGRycy9lMm9Eb2MueG1sUEsFBgAAAAAGAAYAWQEAAKwFAAAAAA==&#10;">
                <v:fill on="f" focussize="0,0"/>
                <v:stroke weight="0.25pt" color="#000000" joinstyle="miter"/>
                <v:imagedata o:title=""/>
                <o:lock v:ext="edit" aspectratio="f"/>
              </v:line>
            </w:pict>
          </mc:Fallback>
        </mc:AlternateContent>
      </w:r>
    </w:p>
    <w:p>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保证金交款凭据复印件</w:t>
      </w:r>
    </w:p>
    <w:p>
      <w:pPr>
        <w:pStyle w:val="22"/>
        <w:rPr>
          <w:rFonts w:hint="eastAsia"/>
          <w:color w:val="auto"/>
          <w:highlight w:val="none"/>
        </w:rPr>
      </w:pPr>
      <w:r>
        <w:rPr>
          <w:rFonts w:hint="eastAsia"/>
          <w:color w:val="auto"/>
          <w:highlight w:val="none"/>
          <w:lang w:val="en-US" w:eastAsia="zh-CN"/>
        </w:rPr>
        <w:t>六、职业记录相关资料</w:t>
      </w:r>
    </w:p>
    <w:p>
      <w:pPr>
        <w:pStyle w:val="22"/>
        <w:rPr>
          <w:rFonts w:hint="eastAsia"/>
          <w:color w:val="auto"/>
          <w:highlight w:val="none"/>
        </w:rPr>
      </w:pPr>
      <w:r>
        <w:rPr>
          <w:color w:val="auto"/>
          <w:highlight w:val="none"/>
          <w:lang w:val="en-US" w:eastAsia="zh-CN"/>
        </w:rPr>
        <w:br w:type="page"/>
      </w:r>
      <w:r>
        <w:rPr>
          <w:color w:val="auto"/>
          <w:highlight w:val="none"/>
          <w:lang w:val="en-US" w:eastAsia="zh-CN"/>
        </w:rPr>
        <w:t>七</w:t>
      </w:r>
      <w:r>
        <w:rPr>
          <w:rFonts w:hint="eastAsia"/>
          <w:color w:val="auto"/>
          <w:highlight w:val="none"/>
          <w:lang w:val="en-US" w:eastAsia="zh-CN"/>
        </w:rPr>
        <w:t>、</w:t>
      </w:r>
      <w:r>
        <w:rPr>
          <w:rFonts w:hint="eastAsia" w:ascii="Cambria Math" w:hAnsi="Cambria Math"/>
          <w:color w:val="auto"/>
          <w:szCs w:val="20"/>
          <w:highlight w:val="none"/>
        </w:rPr>
        <w:t>人员素质</w:t>
      </w:r>
      <w:r>
        <w:rPr>
          <w:rFonts w:hint="eastAsia"/>
          <w:color w:val="auto"/>
          <w:highlight w:val="none"/>
          <w:lang w:val="en-US" w:eastAsia="zh-CN"/>
        </w:rPr>
        <w:t>相关资料</w:t>
      </w:r>
    </w:p>
    <w:p>
      <w:pPr>
        <w:pStyle w:val="22"/>
        <w:rPr>
          <w:rFonts w:hint="eastAsia"/>
          <w:color w:val="auto"/>
          <w:highlight w:val="none"/>
          <w:lang w:val="en-US" w:eastAsia="zh-CN"/>
        </w:rPr>
      </w:pPr>
      <w:r>
        <w:rPr>
          <w:color w:val="auto"/>
          <w:highlight w:val="none"/>
          <w:lang w:val="en-US" w:eastAsia="zh-CN"/>
        </w:rPr>
        <w:br w:type="page"/>
      </w:r>
      <w:r>
        <w:rPr>
          <w:color w:val="auto"/>
          <w:highlight w:val="none"/>
          <w:lang w:val="en-US" w:eastAsia="zh-CN"/>
        </w:rPr>
        <w:t>八</w:t>
      </w:r>
      <w:r>
        <w:rPr>
          <w:rFonts w:hint="eastAsia"/>
          <w:color w:val="auto"/>
          <w:highlight w:val="none"/>
          <w:lang w:val="en-US" w:eastAsia="zh-CN"/>
        </w:rPr>
        <w:t>、</w:t>
      </w:r>
      <w:r>
        <w:rPr>
          <w:rFonts w:hint="eastAsia" w:ascii="Cambria Math" w:hAnsi="Cambria Math"/>
          <w:color w:val="auto"/>
          <w:szCs w:val="20"/>
          <w:highlight w:val="none"/>
        </w:rPr>
        <w:t>项目主要负责人情况</w:t>
      </w:r>
      <w:r>
        <w:rPr>
          <w:rFonts w:hint="eastAsia"/>
          <w:color w:val="auto"/>
          <w:highlight w:val="none"/>
          <w:lang w:val="en-US" w:eastAsia="zh-CN"/>
        </w:rPr>
        <w:t>相关资料</w:t>
      </w:r>
    </w:p>
    <w:p>
      <w:pPr>
        <w:pStyle w:val="22"/>
        <w:rPr>
          <w:rFonts w:hint="eastAsia"/>
          <w:color w:val="auto"/>
          <w:highlight w:val="none"/>
          <w:lang w:val="en-US" w:eastAsia="zh-CN"/>
        </w:rPr>
      </w:pPr>
      <w:r>
        <w:rPr>
          <w:rFonts w:hint="eastAsia"/>
          <w:color w:val="auto"/>
          <w:szCs w:val="20"/>
          <w:highlight w:val="none"/>
          <w:lang w:val="en-US" w:eastAsia="zh-CN"/>
        </w:rPr>
        <w:br w:type="page"/>
      </w:r>
      <w:r>
        <w:rPr>
          <w:rFonts w:hint="eastAsia"/>
          <w:color w:val="auto"/>
          <w:szCs w:val="20"/>
          <w:highlight w:val="none"/>
          <w:lang w:val="en-US" w:eastAsia="zh-CN"/>
        </w:rPr>
        <w:t>九、</w:t>
      </w:r>
      <w:r>
        <w:rPr>
          <w:rFonts w:hint="eastAsia" w:ascii="Cambria Math" w:hAnsi="Cambria Math"/>
          <w:color w:val="auto"/>
          <w:szCs w:val="20"/>
          <w:highlight w:val="none"/>
        </w:rPr>
        <w:t>核心成员情况</w:t>
      </w:r>
      <w:r>
        <w:rPr>
          <w:rFonts w:hint="eastAsia"/>
          <w:color w:val="auto"/>
          <w:highlight w:val="none"/>
          <w:lang w:val="en-US" w:eastAsia="zh-CN"/>
        </w:rPr>
        <w:t>相关资料</w:t>
      </w:r>
    </w:p>
    <w:p>
      <w:pPr>
        <w:pStyle w:val="22"/>
        <w:rPr>
          <w:rFonts w:hint="eastAsia"/>
          <w:color w:val="auto"/>
          <w:highlight w:val="none"/>
          <w:lang w:val="en-US" w:eastAsia="zh-CN"/>
        </w:rPr>
      </w:pPr>
      <w:r>
        <w:rPr>
          <w:rFonts w:hint="eastAsia"/>
          <w:color w:val="auto"/>
          <w:szCs w:val="20"/>
          <w:highlight w:val="none"/>
          <w:lang w:val="en-US" w:eastAsia="zh-CN"/>
        </w:rPr>
        <w:br w:type="page"/>
      </w:r>
      <w:r>
        <w:rPr>
          <w:rFonts w:hint="eastAsia"/>
          <w:color w:val="auto"/>
          <w:szCs w:val="20"/>
          <w:highlight w:val="none"/>
          <w:lang w:val="en-US" w:eastAsia="zh-CN"/>
        </w:rPr>
        <w:t>十、</w:t>
      </w:r>
      <w:r>
        <w:rPr>
          <w:rFonts w:hint="eastAsia" w:ascii="Cambria Math" w:hAnsi="Cambria Math"/>
          <w:color w:val="auto"/>
          <w:szCs w:val="20"/>
          <w:highlight w:val="none"/>
        </w:rPr>
        <w:t>现场非核心成员情况</w:t>
      </w:r>
      <w:r>
        <w:rPr>
          <w:rFonts w:hint="eastAsia"/>
          <w:color w:val="auto"/>
          <w:highlight w:val="none"/>
          <w:lang w:val="en-US" w:eastAsia="zh-CN"/>
        </w:rPr>
        <w:t>相关资料</w:t>
      </w:r>
    </w:p>
    <w:p>
      <w:pPr>
        <w:pStyle w:val="22"/>
        <w:rPr>
          <w:rFonts w:hint="eastAsia" w:ascii="Cambria Math" w:hAnsi="Cambria Math"/>
          <w:color w:val="auto"/>
          <w:szCs w:val="20"/>
          <w:highlight w:val="none"/>
        </w:rPr>
      </w:pPr>
      <w:r>
        <w:rPr>
          <w:rFonts w:hint="eastAsia"/>
          <w:color w:val="auto"/>
          <w:szCs w:val="20"/>
          <w:highlight w:val="none"/>
          <w:lang w:val="en-US" w:eastAsia="zh-CN"/>
        </w:rPr>
        <w:br w:type="page"/>
      </w:r>
      <w:r>
        <w:rPr>
          <w:rFonts w:hint="eastAsia"/>
          <w:color w:val="auto"/>
          <w:szCs w:val="20"/>
          <w:highlight w:val="none"/>
          <w:lang w:val="en-US" w:eastAsia="zh-CN"/>
        </w:rPr>
        <w:t>十一、</w:t>
      </w:r>
      <w:r>
        <w:rPr>
          <w:rFonts w:hint="eastAsia" w:ascii="Cambria Math" w:hAnsi="Cambria Math"/>
          <w:color w:val="auto"/>
          <w:szCs w:val="20"/>
          <w:highlight w:val="none"/>
          <w:lang w:val="en-US" w:eastAsia="zh-CN"/>
        </w:rPr>
        <w:t>审计服务</w:t>
      </w:r>
      <w:r>
        <w:rPr>
          <w:rFonts w:hint="eastAsia" w:ascii="Cambria Math" w:hAnsi="Cambria Math"/>
          <w:color w:val="auto"/>
          <w:szCs w:val="20"/>
          <w:highlight w:val="none"/>
        </w:rPr>
        <w:t>工作方案</w:t>
      </w:r>
    </w:p>
    <w:p>
      <w:pPr>
        <w:pStyle w:val="22"/>
        <w:rPr>
          <w:rFonts w:hint="eastAsia"/>
          <w:color w:val="auto"/>
          <w:highlight w:val="none"/>
          <w:lang w:val="en-US" w:eastAsia="zh-CN"/>
        </w:rPr>
      </w:pPr>
      <w:r>
        <w:rPr>
          <w:rFonts w:hint="eastAsia"/>
          <w:color w:val="auto"/>
          <w:szCs w:val="20"/>
          <w:highlight w:val="none"/>
          <w:lang w:val="en-US" w:eastAsia="zh-CN"/>
        </w:rPr>
        <w:br w:type="page"/>
      </w:r>
      <w:r>
        <w:rPr>
          <w:rFonts w:hint="eastAsia"/>
          <w:color w:val="auto"/>
          <w:szCs w:val="20"/>
          <w:highlight w:val="none"/>
          <w:lang w:val="en-US" w:eastAsia="zh-CN"/>
        </w:rPr>
        <w:t>十二、</w:t>
      </w:r>
      <w:r>
        <w:rPr>
          <w:rFonts w:hint="eastAsia" w:ascii="Cambria Math" w:hAnsi="Cambria Math"/>
          <w:color w:val="auto"/>
          <w:szCs w:val="20"/>
          <w:highlight w:val="none"/>
        </w:rPr>
        <w:t>行业业务经验</w:t>
      </w:r>
      <w:r>
        <w:rPr>
          <w:rFonts w:hint="eastAsia"/>
          <w:color w:val="auto"/>
          <w:highlight w:val="none"/>
          <w:lang w:val="en-US" w:eastAsia="zh-CN"/>
        </w:rPr>
        <w:t>相关资料</w:t>
      </w:r>
    </w:p>
    <w:p>
      <w:pPr>
        <w:pStyle w:val="22"/>
        <w:rPr>
          <w:color w:val="auto"/>
          <w:highlight w:val="none"/>
          <w:lang w:val="en-US" w:eastAsia="zh-CN"/>
        </w:rPr>
      </w:pPr>
      <w:r>
        <w:rPr>
          <w:rFonts w:hint="eastAsia"/>
          <w:color w:val="auto"/>
          <w:szCs w:val="20"/>
          <w:highlight w:val="none"/>
          <w:lang w:val="en-US" w:eastAsia="zh-CN"/>
        </w:rPr>
        <w:br w:type="page"/>
      </w:r>
      <w:r>
        <w:rPr>
          <w:rFonts w:hint="eastAsia"/>
          <w:color w:val="auto"/>
          <w:szCs w:val="20"/>
          <w:highlight w:val="none"/>
          <w:lang w:val="en-US" w:eastAsia="zh-CN"/>
        </w:rPr>
        <w:t>十三、</w:t>
      </w:r>
      <w:r>
        <w:rPr>
          <w:rFonts w:hint="eastAsia" w:ascii="Cambria Math" w:hAnsi="Cambria Math"/>
          <w:color w:val="auto"/>
          <w:szCs w:val="20"/>
          <w:highlight w:val="none"/>
        </w:rPr>
        <w:t>专业业务经验</w:t>
      </w:r>
      <w:r>
        <w:rPr>
          <w:rFonts w:hint="eastAsia"/>
          <w:color w:val="auto"/>
          <w:highlight w:val="none"/>
          <w:lang w:val="en-US" w:eastAsia="zh-CN"/>
        </w:rPr>
        <w:t>相关资料</w:t>
      </w:r>
    </w:p>
    <w:p>
      <w:pPr>
        <w:bidi w:val="0"/>
        <w:ind w:left="0" w:firstLine="0" w:firstLineChars="0"/>
        <w:jc w:val="center"/>
        <w:rPr>
          <w:rStyle w:val="23"/>
          <w:rFonts w:hint="eastAsia"/>
          <w:bCs/>
          <w:snapToGrid w:val="0"/>
          <w:color w:val="auto"/>
          <w:highlight w:val="none"/>
        </w:rPr>
      </w:pPr>
      <w:r>
        <w:rPr>
          <w:rFonts w:hint="eastAsia"/>
          <w:color w:val="auto"/>
          <w:highlight w:val="none"/>
          <w:lang w:val="en-US" w:eastAsia="zh-CN"/>
        </w:rPr>
        <w:br w:type="page"/>
      </w:r>
      <w:r>
        <w:rPr>
          <w:rFonts w:hint="eastAsia"/>
          <w:color w:val="auto"/>
          <w:highlight w:val="none"/>
          <w:lang w:val="en-US" w:eastAsia="zh-CN"/>
        </w:rPr>
        <w:t>十四、其他（如有）</w:t>
      </w:r>
    </w:p>
    <w:sectPr>
      <w:pgSz w:w="11906" w:h="16838"/>
      <w:pgMar w:top="1440" w:right="1800" w:bottom="1440" w:left="1800" w:header="851" w:footer="992"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17830" cy="381000"/>
              <wp:effectExtent l="0" t="0" r="0" b="0"/>
              <wp:wrapNone/>
              <wp:docPr id="1" name="文本框 2"/>
              <wp:cNvGraphicFramePr/>
              <a:graphic xmlns:a="http://schemas.openxmlformats.org/drawingml/2006/main">
                <a:graphicData uri="http://schemas.microsoft.com/office/word/2010/wordprocessingShape">
                  <wps:wsp>
                    <wps:cNvSpPr/>
                    <wps:spPr>
                      <a:xfrm>
                        <a:off x="0" y="0"/>
                        <a:ext cx="418109" cy="381000"/>
                      </a:xfrm>
                      <a:prstGeom prst="rect">
                        <a:avLst/>
                      </a:prstGeom>
                      <a:noFill/>
                      <a:ln w="6350" cap="flat" cmpd="sng">
                        <a:noFill/>
                        <a:prstDash val="solid"/>
                        <a:round/>
                      </a:ln>
                    </wps:spPr>
                    <wps:txbx>
                      <w:txbxContent>
                        <w:p>
                          <w:pPr>
                            <w:pStyle w:val="1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30pt;width:32.9pt;mso-position-horizontal:center;mso-position-horizontal-relative:margin;mso-wrap-style:none;z-index:251659264;mso-width-relative:page;mso-height-relative:page;" filled="f" stroked="f" coordsize="21600,21600" o:gfxdata="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fTLq9YAAAADAQAADwAAAAAAAAABACAAAAAiAAAAZHJzL2Rv&#10;d25yZXYueG1sUEsBAhQAFAAAAAgAh07iQDXy9EgDAgAA9AMAAA4AAAAAAAAAAQAgAAAAJQEAAGRy&#10;cy9lMm9Eb2MueG1sUEsFBgAAAAAGAAYAWQEAAJoFAAAAAA==&#10;">
              <v:fill on="f" focussize="0,0"/>
              <v:stroke on="f" weight="0.5pt" joinstyle="round"/>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17830" cy="381000"/>
              <wp:effectExtent l="0" t="0" r="0" b="0"/>
              <wp:wrapNone/>
              <wp:docPr id="4" name="文本框 1"/>
              <wp:cNvGraphicFramePr/>
              <a:graphic xmlns:a="http://schemas.openxmlformats.org/drawingml/2006/main">
                <a:graphicData uri="http://schemas.microsoft.com/office/word/2010/wordprocessingShape">
                  <wps:wsp>
                    <wps:cNvSpPr/>
                    <wps:spPr>
                      <a:xfrm>
                        <a:off x="0" y="0"/>
                        <a:ext cx="418109" cy="380999"/>
                      </a:xfrm>
                      <a:prstGeom prst="rect">
                        <a:avLst/>
                      </a:prstGeom>
                      <a:noFill/>
                      <a:ln w="6350" cap="flat" cmpd="sng">
                        <a:noFill/>
                        <a:prstDash val="solid"/>
                        <a:round/>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32.9pt;mso-position-horizontal:center;mso-position-horizontal-relative:margin;mso-wrap-style:none;z-index:251659264;mso-width-relative:page;mso-height-relative:page;" filled="f" stroked="f" coordsize="21600,21600" o:gfxdata="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0y6vWAAAAAwEAAA8AAAAAAAAAAQAgAAAAIgAAAGRycy9k&#10;b3ducmV2LnhtbFBLAQIUABQAAAAIAIdO4kCI2MAiBAIAAPQDAAAOAAAAAAAAAAEAIAAAACUBAABk&#10;cnMvZTJvRG9jLnhtbFBLBQYAAAAABgAGAFkBAACbBQAAAAA=&#10;">
              <v:fill on="f" focussize="0,0"/>
              <v:stroke on="f" weight="0.5pt" joinstyle="round"/>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81330" cy="381000"/>
              <wp:effectExtent l="0" t="0" r="0" b="0"/>
              <wp:wrapNone/>
              <wp:docPr id="7" name="文本框 1"/>
              <wp:cNvGraphicFramePr/>
              <a:graphic xmlns:a="http://schemas.openxmlformats.org/drawingml/2006/main">
                <a:graphicData uri="http://schemas.microsoft.com/office/word/2010/wordprocessingShape">
                  <wps:wsp>
                    <wps:cNvSpPr/>
                    <wps:spPr>
                      <a:xfrm>
                        <a:off x="0" y="0"/>
                        <a:ext cx="481431" cy="380999"/>
                      </a:xfrm>
                      <a:prstGeom prst="rect">
                        <a:avLst/>
                      </a:prstGeom>
                      <a:noFill/>
                      <a:ln w="6350" cap="flat" cmpd="sng">
                        <a:noFill/>
                        <a:prstDash val="solid"/>
                        <a:round/>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37.9pt;mso-position-horizontal:center;mso-position-horizontal-relative:margin;mso-wrap-style:none;z-index:251659264;mso-width-relative:page;mso-height-relative:page;" filled="f" stroked="f" coordsize="21600,21600" o:gfxdata="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LczI1gAAAAMBAAAPAAAAAAAAAAEAIAAAACIAAABkcnMv&#10;ZG93bnJldi54bWxQSwECFAAUAAAACACHTuJAx/m+XgUCAAD0AwAADgAAAAAAAAABACAAAAAlAQAA&#10;ZHJzL2Uyb0RvYy54bWxQSwUGAAAAAAYABgBZAQAAnAUAAAAA&#10;">
              <v:fill on="f" focussize="0,0"/>
              <v:stroke on="f" weight="0.5pt" joinstyle="round"/>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977F8"/>
    <w:multiLevelType w:val="multilevel"/>
    <w:tmpl w:val="0CA977F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jE4MmQxZjA1Y2YxYjcxZTkzZjljNGM2ODFmNzIxYzcifQ=="/>
  </w:docVars>
  <w:rsids>
    <w:rsidRoot w:val="00000000"/>
    <w:rsid w:val="0C6C00A7"/>
    <w:rsid w:val="1B8A0B27"/>
    <w:rsid w:val="1BD75B6F"/>
    <w:rsid w:val="4141293F"/>
    <w:rsid w:val="427C428B"/>
    <w:rsid w:val="5019366F"/>
    <w:rsid w:val="51717FAB"/>
    <w:rsid w:val="51AE428B"/>
    <w:rsid w:val="55A50338"/>
    <w:rsid w:val="5BC92B3B"/>
    <w:rsid w:val="639343EA"/>
    <w:rsid w:val="7D012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3">
    <w:name w:val="heading 1"/>
    <w:basedOn w:val="1"/>
    <w:next w:val="1"/>
    <w:autoRedefine/>
    <w:qFormat/>
    <w:uiPriority w:val="0"/>
    <w:pPr>
      <w:tabs>
        <w:tab w:val="left" w:pos="3360"/>
      </w:tabs>
      <w:snapToGrid w:val="0"/>
      <w:spacing w:before="0" w:line="600" w:lineRule="exact"/>
      <w:ind w:right="0" w:firstLine="0" w:firstLineChars="0"/>
      <w:jc w:val="center"/>
      <w:outlineLvl w:val="0"/>
    </w:pPr>
    <w:rPr>
      <w:rFonts w:ascii="宋体" w:eastAsia="宋体" w:cs="等线 Light"/>
      <w:b/>
      <w:snapToGrid w:val="0"/>
      <w:kern w:val="0"/>
      <w:sz w:val="44"/>
      <w:szCs w:val="44"/>
    </w:rPr>
  </w:style>
  <w:style w:type="paragraph" w:styleId="4">
    <w:name w:val="heading 2"/>
    <w:basedOn w:val="1"/>
    <w:next w:val="1"/>
    <w:autoRedefine/>
    <w:qFormat/>
    <w:uiPriority w:val="0"/>
    <w:pPr>
      <w:spacing w:line="600" w:lineRule="exact"/>
      <w:ind w:firstLine="0" w:firstLineChars="0"/>
      <w:outlineLvl w:val="1"/>
    </w:pPr>
    <w:rPr>
      <w:rFonts w:ascii="宋体" w:cs="Times New Roman"/>
      <w:b/>
      <w:bCs/>
      <w:snapToGrid w:val="0"/>
      <w:szCs w:val="24"/>
    </w:rPr>
  </w:style>
  <w:style w:type="paragraph" w:styleId="5">
    <w:name w:val="heading 3"/>
    <w:basedOn w:val="1"/>
    <w:next w:val="1"/>
    <w:autoRedefine/>
    <w:uiPriority w:val="0"/>
    <w:pPr>
      <w:keepNext w:val="0"/>
      <w:keepLines w:val="0"/>
      <w:widowControl w:val="0"/>
      <w:spacing w:before="0" w:after="0" w:line="600" w:lineRule="exact"/>
      <w:outlineLvl w:val="2"/>
    </w:pPr>
    <w:rPr>
      <w:rFonts w:eastAsia="宋体"/>
      <w:b/>
      <w:bCs/>
      <w:szCs w:val="32"/>
    </w:rPr>
  </w:style>
  <w:style w:type="paragraph" w:styleId="6">
    <w:name w:val="heading 4"/>
    <w:basedOn w:val="1"/>
    <w:next w:val="1"/>
    <w:link w:val="20"/>
    <w:autoRedefine/>
    <w:qFormat/>
    <w:uiPriority w:val="0"/>
    <w:pPr>
      <w:keepNext w:val="0"/>
      <w:keepLines w:val="0"/>
      <w:widowControl w:val="0"/>
      <w:spacing w:line="600" w:lineRule="exact"/>
      <w:ind w:firstLine="200" w:firstLineChars="200"/>
      <w:outlineLvl w:val="3"/>
    </w:pPr>
    <w:rPr>
      <w:rFonts w:ascii="Calibri Light" w:hAnsi="Calibri Light" w:eastAsia="宋体" w:cs="Times New Roman"/>
      <w:bCs/>
      <w:szCs w:val="28"/>
    </w:rPr>
  </w:style>
  <w:style w:type="paragraph" w:styleId="7">
    <w:name w:val="heading 5"/>
    <w:basedOn w:val="1"/>
    <w:next w:val="1"/>
    <w:link w:val="21"/>
    <w:autoRedefine/>
    <w:qFormat/>
    <w:uiPriority w:val="0"/>
    <w:pPr>
      <w:keepNext w:val="0"/>
      <w:keepLines w:val="0"/>
      <w:widowControl w:val="0"/>
      <w:spacing w:beforeAutospacing="0" w:afterAutospacing="0" w:line="360" w:lineRule="auto"/>
      <w:ind w:firstLine="0" w:firstLineChars="0"/>
      <w:jc w:val="center"/>
      <w:outlineLvl w:val="4"/>
    </w:pPr>
    <w:rPr>
      <w:rFonts w:eastAsia="宋体"/>
      <w:b/>
      <w:sz w:val="28"/>
    </w:rPr>
  </w:style>
  <w:style w:type="paragraph" w:styleId="8">
    <w:name w:val="heading 6"/>
    <w:basedOn w:val="1"/>
    <w:next w:val="1"/>
    <w:autoRedefine/>
    <w:uiPriority w:val="0"/>
    <w:pPr>
      <w:keepNext/>
      <w:keepLines/>
      <w:widowControl w:val="0"/>
      <w:spacing w:before="240" w:beforeAutospacing="0" w:after="64" w:afterAutospacing="0" w:line="317" w:lineRule="auto"/>
      <w:outlineLvl w:val="5"/>
    </w:pPr>
    <w:rPr>
      <w:rFonts w:ascii="Arial" w:hAnsi="Arial" w:eastAsia="黑体"/>
      <w:b/>
      <w:sz w:val="24"/>
    </w:rPr>
  </w:style>
  <w:style w:type="character" w:default="1" w:styleId="16">
    <w:name w:val="Default Paragraph Font"/>
    <w:autoRedefine/>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before="100" w:beforeAutospacing="1" w:after="120"/>
    </w:pPr>
  </w:style>
  <w:style w:type="paragraph" w:styleId="9">
    <w:name w:val="annotation text"/>
    <w:basedOn w:val="1"/>
    <w:autoRedefine/>
    <w:qFormat/>
    <w:uiPriority w:val="0"/>
    <w:pPr>
      <w:jc w:val="left"/>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Subtitle"/>
    <w:basedOn w:val="1"/>
    <w:autoRedefine/>
    <w:qFormat/>
    <w:uiPriority w:val="0"/>
    <w:pPr>
      <w:spacing w:before="240" w:beforeAutospacing="0" w:after="60" w:afterAutospacing="0" w:line="312" w:lineRule="auto"/>
      <w:jc w:val="center"/>
      <w:outlineLvl w:val="1"/>
    </w:pPr>
    <w:rPr>
      <w:rFonts w:ascii="Arial" w:hAnsi="Arial"/>
      <w:b/>
      <w:kern w:val="28"/>
      <w:sz w:val="32"/>
    </w:rPr>
  </w:style>
  <w:style w:type="paragraph" w:styleId="14">
    <w:name w:val="annotation subject"/>
    <w:basedOn w:val="9"/>
    <w:next w:val="9"/>
    <w:autoRedefine/>
    <w:qFormat/>
    <w:uiPriority w:val="0"/>
    <w:rPr>
      <w:b/>
    </w:rPr>
  </w:style>
  <w:style w:type="character" w:styleId="17">
    <w:name w:val="Strong"/>
    <w:basedOn w:val="16"/>
    <w:autoRedefine/>
    <w:qFormat/>
    <w:uiPriority w:val="0"/>
    <w:rPr>
      <w:b/>
      <w:bCs/>
    </w:rPr>
  </w:style>
  <w:style w:type="character" w:styleId="18">
    <w:name w:val="FollowedHyperlink"/>
    <w:basedOn w:val="16"/>
    <w:autoRedefine/>
    <w:qFormat/>
    <w:uiPriority w:val="0"/>
    <w:rPr>
      <w:color w:val="800080"/>
      <w:u w:val="single"/>
    </w:rPr>
  </w:style>
  <w:style w:type="character" w:styleId="19">
    <w:name w:val="Hyperlink"/>
    <w:basedOn w:val="16"/>
    <w:autoRedefine/>
    <w:qFormat/>
    <w:uiPriority w:val="0"/>
    <w:rPr>
      <w:color w:val="0000FF"/>
      <w:u w:val="single"/>
    </w:rPr>
  </w:style>
  <w:style w:type="character" w:customStyle="1" w:styleId="20">
    <w:name w:val="heading 4 Char"/>
    <w:basedOn w:val="16"/>
    <w:link w:val="6"/>
    <w:autoRedefine/>
    <w:qFormat/>
    <w:uiPriority w:val="0"/>
    <w:rPr>
      <w:rFonts w:ascii="Calibri Light" w:hAnsi="Calibri Light" w:eastAsia="宋体" w:cs="Times New Roman"/>
      <w:bCs/>
      <w:kern w:val="2"/>
      <w:sz w:val="24"/>
      <w:szCs w:val="28"/>
      <w:lang w:val="en-US" w:eastAsia="zh-CN" w:bidi="ar-SA"/>
    </w:rPr>
  </w:style>
  <w:style w:type="character" w:customStyle="1" w:styleId="21">
    <w:name w:val="heading 5 Char"/>
    <w:basedOn w:val="16"/>
    <w:link w:val="7"/>
    <w:autoRedefine/>
    <w:qFormat/>
    <w:uiPriority w:val="0"/>
    <w:rPr>
      <w:rFonts w:ascii="Cambria Math" w:hAnsi="Cambria Math" w:eastAsia="宋体" w:cs="Cambria Math"/>
      <w:b/>
      <w:kern w:val="2"/>
      <w:sz w:val="28"/>
      <w:szCs w:val="20"/>
      <w:lang w:val="en-US" w:eastAsia="zh-CN" w:bidi="ar-SA"/>
    </w:rPr>
  </w:style>
  <w:style w:type="paragraph" w:customStyle="1" w:styleId="22">
    <w:name w:val="参选文件格式1"/>
    <w:basedOn w:val="1"/>
    <w:next w:val="1"/>
    <w:link w:val="23"/>
    <w:autoRedefine/>
    <w:qFormat/>
    <w:uiPriority w:val="0"/>
    <w:pPr>
      <w:spacing w:line="360" w:lineRule="auto"/>
      <w:ind w:firstLine="0" w:firstLineChars="0"/>
      <w:jc w:val="center"/>
      <w:outlineLvl w:val="1"/>
    </w:pPr>
    <w:rPr>
      <w:rFonts w:eastAsia="宋体"/>
      <w:b/>
      <w:sz w:val="28"/>
    </w:rPr>
  </w:style>
  <w:style w:type="character" w:customStyle="1" w:styleId="23">
    <w:name w:val="参选文件格式1 Char"/>
    <w:basedOn w:val="16"/>
    <w:link w:val="22"/>
    <w:autoRedefine/>
    <w:qFormat/>
    <w:uiPriority w:val="0"/>
    <w:rPr>
      <w:rFonts w:ascii="Cambria Math" w:hAnsi="Cambria Math" w:eastAsia="宋体" w:cs="Cambria Math"/>
      <w:b/>
      <w:kern w:val="2"/>
      <w:sz w:val="28"/>
      <w:szCs w:val="20"/>
      <w:lang w:val="en-US" w:eastAsia="zh-CN" w:bidi="ar-SA"/>
    </w:rPr>
  </w:style>
  <w:style w:type="paragraph" w:customStyle="1" w:styleId="24">
    <w:name w:val="参选文件格式2"/>
    <w:basedOn w:val="1"/>
    <w:next w:val="1"/>
    <w:autoRedefine/>
    <w:qFormat/>
    <w:uiPriority w:val="0"/>
    <w:pPr>
      <w:ind w:firstLine="0" w:firstLineChars="0"/>
      <w:jc w:val="center"/>
      <w:outlineLvl w:val="2"/>
    </w:pPr>
    <w:rPr>
      <w:rFonts w:eastAsia="宋体"/>
      <w:bCs/>
      <w:szCs w:val="32"/>
    </w:rPr>
  </w:style>
  <w:style w:type="paragraph" w:customStyle="1" w:styleId="25">
    <w:name w:val="参选文件格式3"/>
    <w:basedOn w:val="1"/>
    <w:link w:val="26"/>
    <w:autoRedefine/>
    <w:qFormat/>
    <w:uiPriority w:val="0"/>
    <w:pPr>
      <w:tabs>
        <w:tab w:val="left" w:pos="6300"/>
      </w:tabs>
      <w:snapToGrid w:val="0"/>
      <w:spacing w:line="600" w:lineRule="exact"/>
      <w:ind w:firstLine="0" w:firstLineChars="0"/>
      <w:jc w:val="center"/>
    </w:pPr>
    <w:rPr>
      <w:rFonts w:ascii="宋体" w:eastAsia="宋体"/>
      <w:b/>
      <w:snapToGrid w:val="0"/>
      <w:kern w:val="0"/>
      <w:u w:val="none"/>
    </w:rPr>
  </w:style>
  <w:style w:type="character" w:customStyle="1" w:styleId="26">
    <w:name w:val="参选文件格式3 Char"/>
    <w:basedOn w:val="16"/>
    <w:link w:val="25"/>
    <w:autoRedefine/>
    <w:qFormat/>
    <w:uiPriority w:val="0"/>
    <w:rPr>
      <w:rFonts w:ascii="宋体" w:eastAsia="宋体" w:cs="Cambria Math"/>
      <w:b/>
      <w:snapToGrid w:val="0"/>
      <w:kern w:val="0"/>
      <w:sz w:val="24"/>
      <w:szCs w:val="20"/>
      <w:u w:val="none"/>
      <w:lang w:val="en-US" w:eastAsia="zh-CN" w:bidi="ar-SA"/>
    </w:rPr>
  </w:style>
  <w:style w:type="character" w:customStyle="1" w:styleId="27">
    <w:name w:val="font11"/>
    <w:basedOn w:val="16"/>
    <w:autoRedefine/>
    <w:qFormat/>
    <w:uiPriority w:val="0"/>
    <w:rPr>
      <w:rFonts w:ascii="宋体" w:eastAsia="宋体" w:cs="宋体"/>
      <w:b/>
      <w:bCs/>
      <w:color w:val="000000"/>
      <w:sz w:val="21"/>
      <w:szCs w:val="21"/>
      <w:u w:val="none"/>
    </w:rPr>
  </w:style>
  <w:style w:type="character" w:customStyle="1" w:styleId="28">
    <w:name w:val="font21"/>
    <w:basedOn w:val="16"/>
    <w:autoRedefine/>
    <w:qFormat/>
    <w:uiPriority w:val="0"/>
    <w:rPr>
      <w:rFonts w:ascii="宋体" w:eastAsia="宋体" w:cs="宋体"/>
      <w:color w:val="000000"/>
      <w:sz w:val="21"/>
      <w:szCs w:val="21"/>
      <w:u w:val="none"/>
    </w:rPr>
  </w:style>
  <w:style w:type="character" w:customStyle="1" w:styleId="29">
    <w:name w:val="font31"/>
    <w:basedOn w:val="16"/>
    <w:autoRedefine/>
    <w:qFormat/>
    <w:uiPriority w:val="0"/>
    <w:rPr>
      <w:rFonts w:asci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62</Pages>
  <Words>17837</Words>
  <Characters>18951</Characters>
  <Lines>1286</Lines>
  <Paragraphs>762</Paragraphs>
  <TotalTime>0</TotalTime>
  <ScaleCrop>false</ScaleCrop>
  <LinksUpToDate>false</LinksUpToDate>
  <CharactersWithSpaces>19677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admin</cp:lastModifiedBy>
  <cp:lastPrinted>2024-01-19T09:29:00Z</cp:lastPrinted>
  <dcterms:modified xsi:type="dcterms:W3CDTF">2024-05-20T03:45:12Z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C13ADDA59BF9457EA58C0B86CBE3BCDD_13</vt:lpwstr>
  </property>
</Properties>
</file>